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leftChars="0" w:right="0"/>
        <w:textAlignment w:val="auto"/>
        <w:outlineLvl w:val="9"/>
        <w:rPr>
          <w:rFonts w:hint="eastAsia" w:ascii="黑体" w:hAnsi="黑体" w:eastAsia="黑体" w:cs="黑体"/>
          <w:color w:val="auto"/>
          <w:spacing w:val="10"/>
          <w:szCs w:val="32"/>
          <w:u w:val="none"/>
        </w:rPr>
      </w:pPr>
      <w:r>
        <w:rPr>
          <w:rFonts w:hint="eastAsia" w:ascii="黑体" w:hAnsi="黑体" w:eastAsia="黑体" w:cs="黑体"/>
          <w:color w:val="auto"/>
          <w:spacing w:val="10"/>
          <w:szCs w:val="32"/>
          <w:u w:val="none"/>
        </w:rPr>
        <w:t>附件2</w:t>
      </w:r>
    </w:p>
    <w:p>
      <w:pPr>
        <w:widowControl w:val="0"/>
        <w:wordWrap/>
        <w:adjustRightInd/>
        <w:snapToGrid/>
        <w:spacing w:before="0" w:after="0" w:line="560" w:lineRule="exact"/>
        <w:ind w:left="0" w:leftChars="0" w:right="0"/>
        <w:jc w:val="center"/>
        <w:textAlignment w:val="auto"/>
        <w:outlineLvl w:val="9"/>
        <w:rPr>
          <w:rFonts w:hint="eastAsia" w:ascii="宋体" w:hAnsi="宋体" w:eastAsia="宋体" w:cs="方正小标宋简体"/>
          <w:color w:val="auto"/>
          <w:spacing w:val="10"/>
          <w:sz w:val="44"/>
          <w:szCs w:val="44"/>
          <w:u w:val="none"/>
        </w:rPr>
      </w:pPr>
    </w:p>
    <w:p>
      <w:pPr>
        <w:widowControl w:val="0"/>
        <w:wordWrap/>
        <w:adjustRightInd/>
        <w:snapToGrid/>
        <w:spacing w:before="0" w:after="0" w:line="560" w:lineRule="exact"/>
        <w:ind w:left="0" w:leftChars="0" w:right="0"/>
        <w:jc w:val="center"/>
        <w:textAlignment w:val="auto"/>
        <w:outlineLvl w:val="9"/>
        <w:rPr>
          <w:rFonts w:hint="eastAsia" w:ascii="宋体" w:hAnsi="宋体" w:eastAsia="方正小标宋简体" w:cs="方正小标宋简体"/>
          <w:color w:val="auto"/>
          <w:spacing w:val="10"/>
          <w:sz w:val="44"/>
          <w:szCs w:val="44"/>
          <w:u w:val="none"/>
          <w:lang w:val="en-US" w:eastAsia="zh-CN"/>
        </w:rPr>
      </w:pPr>
      <w:r>
        <w:rPr>
          <w:rFonts w:hint="eastAsia" w:ascii="宋体" w:hAnsi="宋体" w:eastAsia="宋体" w:cs="方正小标宋简体"/>
          <w:color w:val="auto"/>
          <w:spacing w:val="10"/>
          <w:sz w:val="44"/>
          <w:szCs w:val="44"/>
          <w:u w:val="none"/>
        </w:rPr>
        <w:t>2020</w:t>
      </w:r>
      <w:r>
        <w:rPr>
          <w:rFonts w:hint="eastAsia" w:ascii="方正小标宋简体" w:hAnsi="宋体" w:eastAsia="方正小标宋简体" w:cs="方正小标宋简体"/>
          <w:color w:val="auto"/>
          <w:spacing w:val="10"/>
          <w:sz w:val="44"/>
          <w:szCs w:val="44"/>
          <w:u w:val="none"/>
        </w:rPr>
        <w:t>年度“五比五晒”推进高质量发展活动市直单位考评办法</w:t>
      </w:r>
      <w:r>
        <w:rPr>
          <w:rFonts w:hint="eastAsia" w:ascii="方正小标宋简体" w:hAnsi="宋体" w:eastAsia="方正小标宋简体" w:cs="方正小标宋简体"/>
          <w:color w:val="auto"/>
          <w:spacing w:val="10"/>
          <w:sz w:val="44"/>
          <w:szCs w:val="44"/>
          <w:u w:val="none"/>
          <w:lang w:eastAsia="zh-CN"/>
        </w:rPr>
        <w:t>及</w:t>
      </w:r>
      <w:r>
        <w:rPr>
          <w:rFonts w:hint="eastAsia" w:ascii="宋体" w:hAnsi="宋体" w:eastAsia="方正小标宋简体" w:cs="方正小标宋简体"/>
          <w:color w:val="auto"/>
          <w:spacing w:val="10"/>
          <w:sz w:val="44"/>
          <w:szCs w:val="44"/>
          <w:u w:val="none"/>
          <w:lang w:val="en-US" w:eastAsia="zh-CN"/>
        </w:rPr>
        <w:t>考评</w:t>
      </w:r>
    </w:p>
    <w:p>
      <w:pPr>
        <w:widowControl w:val="0"/>
        <w:wordWrap/>
        <w:adjustRightInd/>
        <w:snapToGrid/>
        <w:spacing w:before="0" w:after="0" w:line="560" w:lineRule="exact"/>
        <w:ind w:left="0" w:leftChars="0" w:right="0"/>
        <w:jc w:val="center"/>
        <w:textAlignment w:val="auto"/>
        <w:outlineLvl w:val="9"/>
        <w:rPr>
          <w:rFonts w:hint="eastAsia" w:ascii="方正小标宋简体" w:hAnsi="宋体" w:eastAsia="方正小标宋简体" w:cs="方正小标宋简体"/>
          <w:snapToGrid w:val="0"/>
          <w:color w:val="auto"/>
          <w:spacing w:val="10"/>
          <w:sz w:val="44"/>
          <w:szCs w:val="44"/>
          <w:u w:val="none"/>
          <w:lang w:eastAsia="zh-CN"/>
        </w:rPr>
      </w:pPr>
      <w:r>
        <w:rPr>
          <w:rFonts w:hint="eastAsia" w:ascii="宋体" w:hAnsi="宋体" w:eastAsia="方正小标宋简体" w:cs="方正小标宋简体"/>
          <w:color w:val="auto"/>
          <w:spacing w:val="10"/>
          <w:sz w:val="44"/>
          <w:szCs w:val="44"/>
          <w:u w:val="none"/>
          <w:lang w:val="en-US" w:eastAsia="zh-CN"/>
        </w:rPr>
        <w:t>细化方案</w:t>
      </w:r>
      <w:r>
        <w:rPr>
          <w:rFonts w:hint="eastAsia" w:ascii="方正小标宋简体" w:hAnsi="宋体" w:eastAsia="方正小标宋简体" w:cs="方正小标宋简体"/>
          <w:color w:val="auto"/>
          <w:spacing w:val="10"/>
          <w:sz w:val="44"/>
          <w:szCs w:val="44"/>
          <w:u w:val="none"/>
          <w:lang w:eastAsia="zh-CN"/>
        </w:rPr>
        <w:t>（修订稿）</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eastAsia="黑体" w:cs="黑体"/>
          <w:snapToGrid w:val="0"/>
          <w:color w:val="auto"/>
          <w:spacing w:val="10"/>
          <w:szCs w:val="32"/>
          <w:u w:val="none"/>
        </w:rPr>
      </w:pP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eastAsia="黑体" w:cs="黑体"/>
          <w:snapToGrid w:val="0"/>
          <w:color w:val="auto"/>
          <w:spacing w:val="10"/>
          <w:szCs w:val="32"/>
          <w:u w:val="none"/>
        </w:rPr>
      </w:pPr>
      <w:r>
        <w:rPr>
          <w:rFonts w:hint="eastAsia" w:ascii="宋体" w:hAnsi="宋体" w:eastAsia="黑体" w:cs="黑体"/>
          <w:snapToGrid w:val="0"/>
          <w:color w:val="auto"/>
          <w:spacing w:val="10"/>
          <w:szCs w:val="32"/>
          <w:u w:val="none"/>
        </w:rPr>
        <w:t>一、考评对象</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r>
        <w:rPr>
          <w:rFonts w:hint="eastAsia" w:ascii="宋体" w:hAnsi="宋体" w:cs="仿宋_GB2312"/>
          <w:color w:val="auto"/>
          <w:spacing w:val="10"/>
          <w:szCs w:val="32"/>
          <w:u w:val="none"/>
        </w:rPr>
        <w:t>综合考虑市直各单位服务经济发展和项目建设职能情况，分为三个组进行考评。第一组为综合经济管理、服务和监管部门组（共42个单位），第二组为党群机构、组织协调和司法部门组（共34个单位），第三组为开发区与国有企业组（共5个单位）。</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eastAsia="黑体" w:cs="黑体"/>
          <w:bCs/>
          <w:snapToGrid w:val="0"/>
          <w:color w:val="auto"/>
          <w:spacing w:val="10"/>
          <w:szCs w:val="32"/>
          <w:u w:val="none"/>
        </w:rPr>
      </w:pPr>
      <w:r>
        <w:rPr>
          <w:rFonts w:hint="eastAsia" w:ascii="宋体" w:hAnsi="宋体" w:eastAsia="黑体" w:cs="黑体"/>
          <w:bCs/>
          <w:snapToGrid w:val="0"/>
          <w:color w:val="auto"/>
          <w:spacing w:val="10"/>
          <w:szCs w:val="32"/>
          <w:u w:val="none"/>
        </w:rPr>
        <w:t>二、考评内容及考评单位</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eastAsia="楷体_GB2312" w:cs="楷体_GB2312"/>
          <w:color w:val="auto"/>
          <w:spacing w:val="10"/>
          <w:szCs w:val="32"/>
          <w:u w:val="none"/>
        </w:rPr>
      </w:pPr>
      <w:r>
        <w:rPr>
          <w:rFonts w:hint="eastAsia" w:ascii="宋体" w:hAnsi="宋体" w:eastAsia="楷体_GB2312"/>
          <w:snapToGrid w:val="0"/>
          <w:color w:val="auto"/>
          <w:spacing w:val="10"/>
          <w:szCs w:val="32"/>
          <w:u w:val="none"/>
        </w:rPr>
        <w:t>（一）第一组考评内容（总分值100分，另扣分项5分、加分项15分）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bCs/>
          <w:color w:val="auto"/>
          <w:spacing w:val="10"/>
          <w:szCs w:val="32"/>
          <w:u w:val="none"/>
          <w:shd w:val="clear" w:color="auto" w:fill="FEFEFE"/>
        </w:rPr>
      </w:pPr>
      <w:r>
        <w:rPr>
          <w:rFonts w:hint="eastAsia" w:ascii="宋体" w:hAnsi="宋体" w:cs="仿宋"/>
          <w:bCs/>
          <w:snapToGrid w:val="0"/>
          <w:color w:val="auto"/>
          <w:spacing w:val="10"/>
          <w:szCs w:val="32"/>
          <w:u w:val="none"/>
        </w:rPr>
        <w:t>1.为基层减负（采用扣分法，违反则扣1-5分）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主要考核市直各单位落实市委办《关于解决形式主义突出问题为基层减负十八条措施的通知》精神，力戒形式主义、官僚主义，为基层减负</w:t>
      </w:r>
      <w:r>
        <w:rPr>
          <w:rFonts w:hint="eastAsia" w:ascii="宋体" w:hAnsi="宋体" w:cs="仿宋"/>
          <w:snapToGrid w:val="0"/>
          <w:color w:val="auto"/>
          <w:spacing w:val="10"/>
          <w:szCs w:val="32"/>
          <w:u w:val="none"/>
        </w:rPr>
        <w:t>落实情况</w:t>
      </w:r>
      <w:r>
        <w:rPr>
          <w:rFonts w:hint="eastAsia" w:ascii="宋体" w:hAnsi="宋体" w:cs="仿宋"/>
          <w:color w:val="auto"/>
          <w:spacing w:val="10"/>
          <w:szCs w:val="32"/>
          <w:u w:val="none"/>
        </w:rPr>
        <w:t>。</w:t>
      </w:r>
    </w:p>
    <w:p>
      <w:pPr>
        <w:widowControl w:val="0"/>
        <w:wordWrap/>
        <w:adjustRightInd/>
        <w:snapToGrid/>
        <w:spacing w:before="0" w:after="0" w:line="560" w:lineRule="exact"/>
        <w:ind w:left="0" w:leftChars="0" w:right="0" w:firstLine="63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w:t>
      </w:r>
      <w:r>
        <w:rPr>
          <w:rFonts w:hint="eastAsia" w:ascii="宋体" w:hAnsi="宋体" w:cs="宋体"/>
          <w:color w:val="auto"/>
          <w:spacing w:val="10"/>
          <w:szCs w:val="32"/>
          <w:u w:val="none"/>
        </w:rPr>
        <w:t>1</w:t>
      </w:r>
      <w:r>
        <w:rPr>
          <w:rFonts w:hint="eastAsia" w:ascii="宋体" w:hAnsi="宋体" w:cs="仿宋"/>
          <w:color w:val="auto"/>
          <w:spacing w:val="10"/>
          <w:szCs w:val="32"/>
          <w:u w:val="none"/>
        </w:rPr>
        <w:t>）精简文件和缩减会议情况</w:t>
      </w:r>
      <w:r>
        <w:rPr>
          <w:rFonts w:hint="eastAsia" w:ascii="宋体" w:hAnsi="宋体" w:cs="仿宋"/>
          <w:bCs/>
          <w:color w:val="auto"/>
          <w:spacing w:val="10"/>
          <w:szCs w:val="32"/>
          <w:u w:val="none"/>
        </w:rPr>
        <w:t>（最多扣</w:t>
      </w:r>
      <w:r>
        <w:rPr>
          <w:rFonts w:hint="eastAsia" w:ascii="宋体" w:hAnsi="宋体" w:cs="宋体"/>
          <w:bCs/>
          <w:color w:val="auto"/>
          <w:spacing w:val="10"/>
          <w:szCs w:val="32"/>
          <w:u w:val="none"/>
        </w:rPr>
        <w:t>3</w:t>
      </w:r>
      <w:r>
        <w:rPr>
          <w:rFonts w:hint="eastAsia" w:ascii="宋体" w:hAnsi="宋体" w:cs="仿宋"/>
          <w:color w:val="auto"/>
          <w:spacing w:val="10"/>
          <w:szCs w:val="32"/>
          <w:u w:val="none"/>
        </w:rPr>
        <w:t>分，由市委办、市政府办负责考评）。</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w:t>
      </w:r>
      <w:r>
        <w:rPr>
          <w:rFonts w:hint="eastAsia" w:ascii="宋体" w:hAnsi="宋体" w:cs="宋体"/>
          <w:color w:val="auto"/>
          <w:spacing w:val="10"/>
          <w:szCs w:val="32"/>
          <w:u w:val="none"/>
        </w:rPr>
        <w:t>2</w:t>
      </w:r>
      <w:r>
        <w:rPr>
          <w:rFonts w:hint="eastAsia" w:ascii="宋体" w:hAnsi="宋体" w:cs="仿宋"/>
          <w:color w:val="auto"/>
          <w:spacing w:val="10"/>
          <w:szCs w:val="32"/>
          <w:u w:val="none"/>
        </w:rPr>
        <w:t>）规范督查检查考核情况</w:t>
      </w:r>
      <w:r>
        <w:rPr>
          <w:rFonts w:hint="eastAsia" w:ascii="宋体" w:hAnsi="宋体" w:cs="仿宋"/>
          <w:bCs/>
          <w:color w:val="auto"/>
          <w:spacing w:val="10"/>
          <w:szCs w:val="32"/>
          <w:u w:val="none"/>
        </w:rPr>
        <w:t>（最多扣</w:t>
      </w:r>
      <w:r>
        <w:rPr>
          <w:rFonts w:hint="eastAsia" w:ascii="宋体" w:hAnsi="宋体" w:cs="宋体"/>
          <w:bCs/>
          <w:color w:val="auto"/>
          <w:spacing w:val="10"/>
          <w:szCs w:val="32"/>
          <w:u w:val="none"/>
        </w:rPr>
        <w:t>2</w:t>
      </w:r>
      <w:r>
        <w:rPr>
          <w:rFonts w:hint="eastAsia" w:ascii="宋体" w:hAnsi="宋体" w:cs="仿宋"/>
          <w:color w:val="auto"/>
          <w:spacing w:val="10"/>
          <w:szCs w:val="32"/>
          <w:u w:val="none"/>
        </w:rPr>
        <w:t>分，由市委督查室、市政府督查室负责考评）。</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bCs/>
          <w:snapToGrid w:val="0"/>
          <w:color w:val="auto"/>
          <w:spacing w:val="10"/>
          <w:szCs w:val="32"/>
          <w:u w:val="none"/>
        </w:rPr>
      </w:pPr>
      <w:r>
        <w:rPr>
          <w:rFonts w:hint="eastAsia" w:ascii="宋体" w:hAnsi="宋体" w:cs="仿宋"/>
          <w:bCs/>
          <w:snapToGrid w:val="0"/>
          <w:color w:val="auto"/>
          <w:spacing w:val="10"/>
          <w:szCs w:val="32"/>
          <w:u w:val="none"/>
        </w:rPr>
        <w:t>2.项目服务（分值25分）</w:t>
      </w:r>
    </w:p>
    <w:p>
      <w:pPr>
        <w:widowControl w:val="0"/>
        <w:wordWrap/>
        <w:adjustRightInd/>
        <w:snapToGrid/>
        <w:spacing w:before="0" w:after="0" w:line="560" w:lineRule="exact"/>
        <w:ind w:left="0" w:leftChars="0" w:right="0" w:firstLine="63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主要考核市直各单位立足岗位职责，做好项目审批、协调和要素保障等方面服务工作情况。</w:t>
      </w:r>
    </w:p>
    <w:p>
      <w:pPr>
        <w:widowControl w:val="0"/>
        <w:wordWrap/>
        <w:adjustRightInd/>
        <w:snapToGrid/>
        <w:spacing w:before="0" w:after="0" w:line="560" w:lineRule="exact"/>
        <w:ind w:left="0" w:leftChars="0" w:right="0" w:firstLine="630"/>
        <w:textAlignment w:val="auto"/>
        <w:outlineLvl w:val="9"/>
        <w:rPr>
          <w:rFonts w:hint="eastAsia" w:ascii="宋体" w:hAnsi="宋体" w:cs="仿宋"/>
          <w:bCs/>
          <w:color w:val="auto"/>
          <w:spacing w:val="10"/>
          <w:szCs w:val="32"/>
          <w:u w:val="none"/>
        </w:rPr>
      </w:pPr>
      <w:r>
        <w:rPr>
          <w:rFonts w:hint="eastAsia" w:ascii="宋体" w:hAnsi="宋体" w:cs="仿宋"/>
          <w:color w:val="auto"/>
          <w:spacing w:val="10"/>
          <w:szCs w:val="32"/>
          <w:u w:val="none"/>
        </w:rPr>
        <w:t>（</w:t>
      </w:r>
      <w:r>
        <w:rPr>
          <w:rFonts w:hint="eastAsia" w:ascii="宋体" w:hAnsi="宋体" w:cs="宋体"/>
          <w:color w:val="auto"/>
          <w:spacing w:val="10"/>
          <w:szCs w:val="32"/>
          <w:u w:val="none"/>
        </w:rPr>
        <w:t>1</w:t>
      </w:r>
      <w:r>
        <w:rPr>
          <w:rFonts w:hint="eastAsia" w:ascii="宋体" w:hAnsi="宋体" w:cs="仿宋"/>
          <w:color w:val="auto"/>
          <w:spacing w:val="10"/>
          <w:szCs w:val="32"/>
          <w:u w:val="none"/>
        </w:rPr>
        <w:t>）项目审批服务和提升服务质量情况（分值</w:t>
      </w:r>
      <w:r>
        <w:rPr>
          <w:rFonts w:hint="eastAsia" w:ascii="宋体" w:hAnsi="宋体" w:cs="宋体"/>
          <w:color w:val="auto"/>
          <w:spacing w:val="10"/>
          <w:szCs w:val="32"/>
          <w:u w:val="none"/>
        </w:rPr>
        <w:t>10</w:t>
      </w:r>
      <w:r>
        <w:rPr>
          <w:rFonts w:hint="eastAsia" w:ascii="宋体" w:hAnsi="宋体" w:cs="仿宋"/>
          <w:bCs/>
          <w:color w:val="auto"/>
          <w:spacing w:val="10"/>
          <w:szCs w:val="32"/>
          <w:u w:val="none"/>
        </w:rPr>
        <w:t>分，由市行政服务中心管委会负责考评）。</w:t>
      </w:r>
    </w:p>
    <w:p>
      <w:pPr>
        <w:widowControl w:val="0"/>
        <w:wordWrap/>
        <w:adjustRightInd/>
        <w:snapToGrid/>
        <w:spacing w:before="0" w:after="0" w:line="560" w:lineRule="exact"/>
        <w:ind w:left="0" w:leftChars="0" w:right="0" w:firstLine="630"/>
        <w:textAlignment w:val="auto"/>
        <w:outlineLvl w:val="9"/>
        <w:rPr>
          <w:rFonts w:hint="eastAsia" w:ascii="宋体" w:hAnsi="宋体" w:cs="仿宋"/>
          <w:bCs/>
          <w:color w:val="auto"/>
          <w:spacing w:val="10"/>
          <w:szCs w:val="32"/>
          <w:u w:val="none"/>
        </w:rPr>
      </w:pPr>
      <w:r>
        <w:rPr>
          <w:rFonts w:hint="eastAsia" w:ascii="宋体" w:hAnsi="宋体" w:cs="仿宋"/>
          <w:bCs/>
          <w:color w:val="auto"/>
          <w:spacing w:val="10"/>
          <w:szCs w:val="32"/>
          <w:u w:val="none"/>
        </w:rPr>
        <w:t>（</w:t>
      </w:r>
      <w:r>
        <w:rPr>
          <w:rFonts w:hint="eastAsia" w:ascii="宋体" w:hAnsi="宋体" w:cs="宋体"/>
          <w:bCs/>
          <w:color w:val="auto"/>
          <w:spacing w:val="10"/>
          <w:szCs w:val="32"/>
          <w:u w:val="none"/>
        </w:rPr>
        <w:t>2</w:t>
      </w:r>
      <w:r>
        <w:rPr>
          <w:rFonts w:hint="eastAsia" w:ascii="宋体" w:hAnsi="宋体" w:cs="仿宋"/>
          <w:bCs/>
          <w:color w:val="auto"/>
          <w:spacing w:val="10"/>
          <w:szCs w:val="32"/>
          <w:u w:val="none"/>
        </w:rPr>
        <w:t>）“e三明”办理情况</w:t>
      </w:r>
      <w:r>
        <w:rPr>
          <w:rFonts w:hint="eastAsia" w:ascii="宋体" w:hAnsi="宋体" w:cs="仿宋"/>
          <w:snapToGrid w:val="0"/>
          <w:color w:val="auto"/>
          <w:spacing w:val="10"/>
          <w:szCs w:val="32"/>
          <w:u w:val="none"/>
        </w:rPr>
        <w:t>（分值</w:t>
      </w:r>
      <w:r>
        <w:rPr>
          <w:rFonts w:hint="eastAsia" w:ascii="宋体" w:hAnsi="宋体" w:cs="宋体"/>
          <w:snapToGrid w:val="0"/>
          <w:color w:val="auto"/>
          <w:spacing w:val="10"/>
          <w:szCs w:val="32"/>
          <w:u w:val="none"/>
        </w:rPr>
        <w:t>10</w:t>
      </w:r>
      <w:r>
        <w:rPr>
          <w:rFonts w:hint="eastAsia" w:ascii="宋体" w:hAnsi="宋体" w:cs="仿宋"/>
          <w:snapToGrid w:val="0"/>
          <w:color w:val="auto"/>
          <w:spacing w:val="10"/>
          <w:szCs w:val="32"/>
          <w:u w:val="none"/>
        </w:rPr>
        <w:t>分，由“</w:t>
      </w:r>
      <w:r>
        <w:rPr>
          <w:rFonts w:hint="eastAsia" w:ascii="宋体" w:hAnsi="宋体" w:cs="仿宋"/>
          <w:bCs/>
          <w:color w:val="auto"/>
          <w:spacing w:val="10"/>
          <w:szCs w:val="32"/>
          <w:u w:val="none"/>
        </w:rPr>
        <w:t>e三明</w:t>
      </w:r>
      <w:r>
        <w:rPr>
          <w:rFonts w:hint="eastAsia" w:ascii="宋体" w:hAnsi="宋体" w:cs="仿宋"/>
          <w:snapToGrid w:val="0"/>
          <w:color w:val="auto"/>
          <w:spacing w:val="10"/>
          <w:szCs w:val="32"/>
          <w:u w:val="none"/>
        </w:rPr>
        <w:t>”</w:t>
      </w:r>
      <w:r>
        <w:rPr>
          <w:rFonts w:hint="eastAsia" w:ascii="宋体" w:hAnsi="宋体" w:cs="仿宋"/>
          <w:bCs/>
          <w:color w:val="auto"/>
          <w:spacing w:val="10"/>
          <w:szCs w:val="32"/>
          <w:u w:val="none"/>
        </w:rPr>
        <w:t>办负责考评</w:t>
      </w:r>
      <w:r>
        <w:rPr>
          <w:rFonts w:hint="eastAsia" w:ascii="宋体" w:hAnsi="宋体" w:cs="仿宋"/>
          <w:snapToGrid w:val="0"/>
          <w:color w:val="auto"/>
          <w:spacing w:val="10"/>
          <w:szCs w:val="32"/>
          <w:u w:val="none"/>
        </w:rPr>
        <w:t>）。</w:t>
      </w:r>
    </w:p>
    <w:p>
      <w:pPr>
        <w:widowControl w:val="0"/>
        <w:wordWrap/>
        <w:adjustRightInd/>
        <w:snapToGrid/>
        <w:spacing w:before="0" w:after="0" w:line="560" w:lineRule="exact"/>
        <w:ind w:left="0" w:leftChars="0" w:right="0" w:firstLine="630"/>
        <w:textAlignment w:val="auto"/>
        <w:outlineLvl w:val="9"/>
        <w:rPr>
          <w:rFonts w:hint="eastAsia" w:ascii="宋体" w:hAnsi="宋体" w:cs="仿宋"/>
          <w:bCs/>
          <w:color w:val="auto"/>
          <w:spacing w:val="10"/>
          <w:szCs w:val="32"/>
          <w:u w:val="none"/>
        </w:rPr>
      </w:pPr>
      <w:r>
        <w:rPr>
          <w:rFonts w:hint="eastAsia" w:ascii="宋体" w:hAnsi="宋体" w:cs="仿宋"/>
          <w:bCs/>
          <w:color w:val="auto"/>
          <w:spacing w:val="10"/>
          <w:szCs w:val="32"/>
          <w:u w:val="none"/>
        </w:rPr>
        <w:t>（</w:t>
      </w:r>
      <w:r>
        <w:rPr>
          <w:rFonts w:hint="eastAsia" w:ascii="宋体" w:hAnsi="宋体" w:cs="宋体"/>
          <w:bCs/>
          <w:color w:val="auto"/>
          <w:spacing w:val="10"/>
          <w:szCs w:val="32"/>
          <w:u w:val="none"/>
        </w:rPr>
        <w:t>3</w:t>
      </w:r>
      <w:r>
        <w:rPr>
          <w:rFonts w:hint="eastAsia" w:ascii="宋体" w:hAnsi="宋体" w:cs="仿宋"/>
          <w:bCs/>
          <w:color w:val="auto"/>
          <w:spacing w:val="10"/>
          <w:szCs w:val="32"/>
          <w:u w:val="none"/>
        </w:rPr>
        <w:t>）简政放权、深化“放管服”改革情况（分值</w:t>
      </w:r>
      <w:r>
        <w:rPr>
          <w:rFonts w:hint="eastAsia" w:ascii="宋体" w:hAnsi="宋体" w:cs="宋体"/>
          <w:bCs/>
          <w:color w:val="auto"/>
          <w:spacing w:val="10"/>
          <w:szCs w:val="32"/>
          <w:u w:val="none"/>
        </w:rPr>
        <w:t>5</w:t>
      </w:r>
      <w:r>
        <w:rPr>
          <w:rFonts w:hint="eastAsia" w:ascii="宋体" w:hAnsi="宋体" w:cs="仿宋"/>
          <w:bCs/>
          <w:color w:val="auto"/>
          <w:spacing w:val="10"/>
          <w:szCs w:val="32"/>
          <w:u w:val="none"/>
        </w:rPr>
        <w:t>分，由市审改办负责考评）。</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bCs/>
          <w:snapToGrid w:val="0"/>
          <w:color w:val="auto"/>
          <w:spacing w:val="10"/>
          <w:szCs w:val="32"/>
          <w:u w:val="none"/>
        </w:rPr>
      </w:pPr>
      <w:r>
        <w:rPr>
          <w:rFonts w:hint="eastAsia" w:ascii="宋体" w:hAnsi="宋体" w:cs="仿宋"/>
          <w:bCs/>
          <w:snapToGrid w:val="0"/>
          <w:color w:val="auto"/>
          <w:spacing w:val="10"/>
          <w:szCs w:val="32"/>
          <w:u w:val="none"/>
        </w:rPr>
        <w:t>3.项目推进（分值15分）</w:t>
      </w:r>
    </w:p>
    <w:p>
      <w:pPr>
        <w:widowControl w:val="0"/>
        <w:wordWrap/>
        <w:adjustRightInd/>
        <w:snapToGrid/>
        <w:spacing w:before="0" w:after="0" w:line="560" w:lineRule="exact"/>
        <w:ind w:left="0" w:leftChars="0" w:right="0" w:firstLine="63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主要考核市直各单位推进重大项目重要环节突破、“十四五”规划项目情况、挂钩服务“五个十”重大项目和省、市重点项目情况。</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w:t>
      </w:r>
      <w:r>
        <w:rPr>
          <w:rFonts w:hint="eastAsia" w:ascii="宋体" w:hAnsi="宋体" w:cs="宋体"/>
          <w:color w:val="auto"/>
          <w:spacing w:val="10"/>
          <w:szCs w:val="32"/>
          <w:u w:val="none"/>
        </w:rPr>
        <w:t>1</w:t>
      </w:r>
      <w:r>
        <w:rPr>
          <w:rFonts w:hint="eastAsia" w:ascii="宋体" w:hAnsi="宋体" w:cs="仿宋"/>
          <w:color w:val="auto"/>
          <w:spacing w:val="10"/>
          <w:szCs w:val="32"/>
          <w:u w:val="none"/>
        </w:rPr>
        <w:t>）推进重大项目重要环节突破情况（分值</w:t>
      </w:r>
      <w:r>
        <w:rPr>
          <w:rFonts w:hint="eastAsia" w:ascii="宋体" w:hAnsi="宋体" w:cs="宋体"/>
          <w:color w:val="auto"/>
          <w:spacing w:val="10"/>
          <w:szCs w:val="32"/>
          <w:u w:val="none"/>
        </w:rPr>
        <w:t>6</w:t>
      </w:r>
      <w:r>
        <w:rPr>
          <w:rFonts w:hint="eastAsia" w:ascii="宋体" w:hAnsi="宋体" w:cs="仿宋"/>
          <w:color w:val="auto"/>
          <w:spacing w:val="10"/>
          <w:szCs w:val="32"/>
          <w:u w:val="none"/>
        </w:rPr>
        <w:t>分，由市发改委负责考评）。主要考核市直各单位保障和服务总投资</w:t>
      </w:r>
      <w:r>
        <w:rPr>
          <w:rFonts w:hint="eastAsia" w:ascii="宋体" w:hAnsi="宋体" w:cs="宋体"/>
          <w:color w:val="auto"/>
          <w:spacing w:val="10"/>
          <w:szCs w:val="32"/>
          <w:u w:val="none"/>
        </w:rPr>
        <w:t>5000</w:t>
      </w:r>
      <w:r>
        <w:rPr>
          <w:rFonts w:hint="eastAsia" w:ascii="宋体" w:hAnsi="宋体" w:cs="仿宋"/>
          <w:color w:val="auto"/>
          <w:spacing w:val="10"/>
          <w:szCs w:val="32"/>
          <w:u w:val="none"/>
        </w:rPr>
        <w:t>万元以上重大项目情况，每个重大项目只要有一个重要环节〔重要环节指项目建议书、可研（核准）、初设、概算、林地审批及土地农转用、许可等〕取得突破，参与推动工作的单位即可得分；获得国家层面突破的每个得</w:t>
      </w:r>
      <w:r>
        <w:rPr>
          <w:rFonts w:hint="eastAsia" w:ascii="宋体" w:hAnsi="宋体" w:cs="宋体"/>
          <w:color w:val="auto"/>
          <w:spacing w:val="10"/>
          <w:szCs w:val="32"/>
          <w:u w:val="none"/>
        </w:rPr>
        <w:t>6</w:t>
      </w:r>
      <w:r>
        <w:rPr>
          <w:rFonts w:hint="eastAsia" w:ascii="宋体" w:hAnsi="宋体" w:cs="仿宋"/>
          <w:color w:val="auto"/>
          <w:spacing w:val="10"/>
          <w:szCs w:val="32"/>
          <w:u w:val="none"/>
        </w:rPr>
        <w:t>分、省级层面的每个得</w:t>
      </w:r>
      <w:r>
        <w:rPr>
          <w:rFonts w:hint="eastAsia" w:ascii="宋体" w:hAnsi="宋体" w:cs="宋体"/>
          <w:color w:val="auto"/>
          <w:spacing w:val="10"/>
          <w:szCs w:val="32"/>
          <w:u w:val="none"/>
        </w:rPr>
        <w:t>3</w:t>
      </w:r>
      <w:r>
        <w:rPr>
          <w:rFonts w:hint="eastAsia" w:ascii="宋体" w:hAnsi="宋体" w:cs="仿宋"/>
          <w:color w:val="auto"/>
          <w:spacing w:val="10"/>
          <w:szCs w:val="32"/>
          <w:u w:val="none"/>
        </w:rPr>
        <w:t>分，一个单位封顶得</w:t>
      </w:r>
      <w:r>
        <w:rPr>
          <w:rFonts w:hint="eastAsia" w:ascii="宋体" w:hAnsi="宋体" w:cs="宋体"/>
          <w:color w:val="auto"/>
          <w:spacing w:val="10"/>
          <w:szCs w:val="32"/>
          <w:u w:val="none"/>
        </w:rPr>
        <w:t>6</w:t>
      </w:r>
      <w:r>
        <w:rPr>
          <w:rFonts w:hint="eastAsia" w:ascii="宋体" w:hAnsi="宋体" w:cs="仿宋"/>
          <w:color w:val="auto"/>
          <w:spacing w:val="10"/>
          <w:szCs w:val="32"/>
          <w:u w:val="none"/>
        </w:rPr>
        <w:t>分。每个项目突破以市直各单位提供的国家或省级结果性回复文件进行认定。未参与推进重大项目重要环节突破的单位，按该项工作参与单位最低得分的</w:t>
      </w:r>
      <w:r>
        <w:rPr>
          <w:rFonts w:hint="eastAsia" w:ascii="宋体" w:hAnsi="宋体" w:cs="宋体"/>
          <w:color w:val="auto"/>
          <w:spacing w:val="10"/>
          <w:szCs w:val="32"/>
          <w:u w:val="none"/>
        </w:rPr>
        <w:t>90</w:t>
      </w:r>
      <w:r>
        <w:rPr>
          <w:rFonts w:hint="eastAsia" w:ascii="宋体" w:hAnsi="宋体" w:cs="仿宋"/>
          <w:color w:val="auto"/>
          <w:spacing w:val="10"/>
          <w:szCs w:val="32"/>
          <w:u w:val="none"/>
        </w:rPr>
        <w:t>%计算得分。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楷体"/>
          <w:bCs/>
          <w:snapToGrid w:val="0"/>
          <w:color w:val="auto"/>
          <w:spacing w:val="10"/>
          <w:szCs w:val="32"/>
          <w:u w:val="none"/>
        </w:rPr>
      </w:pPr>
      <w:r>
        <w:rPr>
          <w:rFonts w:hint="eastAsia" w:ascii="宋体" w:hAnsi="宋体" w:cs="仿宋"/>
          <w:color w:val="auto"/>
          <w:spacing w:val="10"/>
          <w:szCs w:val="32"/>
          <w:u w:val="none"/>
        </w:rPr>
        <w:t>（</w:t>
      </w:r>
      <w:r>
        <w:rPr>
          <w:rFonts w:hint="eastAsia" w:ascii="宋体" w:hAnsi="宋体" w:cs="宋体"/>
          <w:color w:val="auto"/>
          <w:spacing w:val="10"/>
          <w:szCs w:val="32"/>
          <w:u w:val="none"/>
        </w:rPr>
        <w:t>2</w:t>
      </w:r>
      <w:r>
        <w:rPr>
          <w:rFonts w:hint="eastAsia" w:ascii="宋体" w:hAnsi="宋体" w:cs="仿宋"/>
          <w:color w:val="auto"/>
          <w:spacing w:val="10"/>
          <w:szCs w:val="32"/>
          <w:u w:val="none"/>
        </w:rPr>
        <w:t>）“十四五”规划项目情况（分值4分，由市发改委负责考评）。主要考核市直各单位实际参与市“十四五”规划编制情况（如前期课题编制、重点专项规划编制、重点储备项目谋划管理等等），参与单位按时完成即可得满分，未按时完成的按实际完成进度计算得分；未参与单位按该项工作参与单位最低得分的90%计算得分</w:t>
      </w:r>
      <w:r>
        <w:rPr>
          <w:rFonts w:hint="eastAsia" w:ascii="宋体" w:hAnsi="宋体" w:cs="仿宋_GB2312"/>
          <w:snapToGrid w:val="0"/>
          <w:color w:val="auto"/>
          <w:spacing w:val="10"/>
          <w:szCs w:val="32"/>
          <w:u w:val="none"/>
        </w:rPr>
        <w:t>。</w:t>
      </w:r>
    </w:p>
    <w:p>
      <w:pPr>
        <w:widowControl w:val="0"/>
        <w:wordWrap/>
        <w:adjustRightInd/>
        <w:snapToGrid/>
        <w:spacing w:before="0" w:after="0" w:line="560" w:lineRule="exact"/>
        <w:ind w:left="0" w:leftChars="0" w:right="0" w:firstLine="630"/>
        <w:textAlignment w:val="auto"/>
        <w:outlineLvl w:val="9"/>
        <w:rPr>
          <w:rFonts w:hint="eastAsia" w:ascii="宋体" w:hAnsi="宋体" w:cs="仿宋"/>
          <w:color w:val="auto"/>
          <w:spacing w:val="10"/>
          <w:szCs w:val="32"/>
          <w:u w:val="none"/>
        </w:rPr>
      </w:pPr>
      <w:r>
        <w:rPr>
          <w:rFonts w:hint="eastAsia" w:ascii="宋体" w:hAnsi="宋体" w:cs="仿宋"/>
          <w:bCs/>
          <w:color w:val="auto"/>
          <w:spacing w:val="10"/>
          <w:szCs w:val="32"/>
          <w:u w:val="none"/>
        </w:rPr>
        <w:t>（</w:t>
      </w:r>
      <w:r>
        <w:rPr>
          <w:rFonts w:hint="eastAsia" w:ascii="宋体" w:hAnsi="宋体" w:cs="宋体"/>
          <w:bCs/>
          <w:color w:val="auto"/>
          <w:spacing w:val="10"/>
          <w:szCs w:val="32"/>
          <w:u w:val="none"/>
        </w:rPr>
        <w:t>3</w:t>
      </w:r>
      <w:r>
        <w:rPr>
          <w:rFonts w:hint="eastAsia" w:ascii="宋体" w:hAnsi="宋体" w:cs="仿宋"/>
          <w:bCs/>
          <w:color w:val="auto"/>
          <w:spacing w:val="10"/>
          <w:szCs w:val="32"/>
          <w:u w:val="none"/>
        </w:rPr>
        <w:t>）</w:t>
      </w:r>
      <w:r>
        <w:rPr>
          <w:rFonts w:hint="eastAsia" w:ascii="宋体" w:hAnsi="宋体" w:cs="仿宋"/>
          <w:color w:val="auto"/>
          <w:spacing w:val="10"/>
          <w:szCs w:val="32"/>
          <w:u w:val="none"/>
        </w:rPr>
        <w:t>挂钩服务“五个十”重大项目和省、市重点项目情况（分值</w:t>
      </w:r>
      <w:r>
        <w:rPr>
          <w:rFonts w:hint="eastAsia" w:ascii="宋体" w:hAnsi="宋体" w:cs="宋体"/>
          <w:color w:val="auto"/>
          <w:spacing w:val="10"/>
          <w:szCs w:val="32"/>
          <w:u w:val="none"/>
        </w:rPr>
        <w:t>5</w:t>
      </w:r>
      <w:r>
        <w:rPr>
          <w:rFonts w:hint="eastAsia" w:ascii="宋体" w:hAnsi="宋体" w:cs="仿宋"/>
          <w:color w:val="auto"/>
          <w:spacing w:val="10"/>
          <w:szCs w:val="32"/>
          <w:u w:val="none"/>
        </w:rPr>
        <w:t>分，由市委督查室、市政府督查室、市发改委负责考评）。主要考核市直各单位挂钩服务“五个十”重大项目和省、市重点项目情况（除“五个十”重大项目安排的市直责任单位外，其他市直单位可从市发改委推荐的在建省、市重点项目中抽取项目进行挂钩服务），以扣分方式计算。某个项目季度被市委、市政府或省、市效能办通报工作推进不力、进度滞后，每通报一次，该项目扣</w:t>
      </w:r>
      <w:r>
        <w:rPr>
          <w:rFonts w:hint="eastAsia" w:ascii="宋体" w:hAnsi="宋体" w:cs="宋体"/>
          <w:color w:val="auto"/>
          <w:spacing w:val="10"/>
          <w:szCs w:val="32"/>
          <w:u w:val="none"/>
        </w:rPr>
        <w:t>0</w:t>
      </w:r>
      <w:r>
        <w:rPr>
          <w:rFonts w:hint="eastAsia" w:ascii="宋体" w:hAnsi="宋体" w:cs="仿宋"/>
          <w:color w:val="auto"/>
          <w:spacing w:val="10"/>
          <w:szCs w:val="32"/>
          <w:u w:val="none"/>
        </w:rPr>
        <w:t>.</w:t>
      </w:r>
      <w:r>
        <w:rPr>
          <w:rFonts w:hint="eastAsia" w:ascii="宋体" w:hAnsi="宋体" w:cs="宋体"/>
          <w:color w:val="auto"/>
          <w:spacing w:val="10"/>
          <w:szCs w:val="32"/>
          <w:u w:val="none"/>
        </w:rPr>
        <w:t>5</w:t>
      </w:r>
      <w:r>
        <w:rPr>
          <w:rFonts w:hint="eastAsia" w:ascii="宋体" w:hAnsi="宋体" w:cs="仿宋"/>
          <w:color w:val="auto"/>
          <w:spacing w:val="10"/>
          <w:szCs w:val="32"/>
          <w:u w:val="none"/>
        </w:rPr>
        <w:t>分，则某挂钩服务单位被扣分数=（该单位挂钩服务项目累计被通报次数×</w:t>
      </w:r>
      <w:r>
        <w:rPr>
          <w:rFonts w:hint="eastAsia" w:ascii="宋体" w:hAnsi="宋体" w:cs="宋体"/>
          <w:color w:val="auto"/>
          <w:spacing w:val="10"/>
          <w:szCs w:val="32"/>
          <w:u w:val="none"/>
        </w:rPr>
        <w:t>0.5</w:t>
      </w:r>
      <w:r>
        <w:rPr>
          <w:rFonts w:hint="eastAsia" w:ascii="宋体" w:hAnsi="宋体" w:cs="仿宋"/>
          <w:color w:val="auto"/>
          <w:spacing w:val="10"/>
          <w:szCs w:val="32"/>
          <w:u w:val="none"/>
        </w:rPr>
        <w:t>）×（各单位挂钩服务项目平均数÷该单位挂钩服务项目数），分值扣完为止。不参加挂钩服务项目的单位不得分。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bCs/>
          <w:snapToGrid w:val="0"/>
          <w:color w:val="auto"/>
          <w:spacing w:val="10"/>
          <w:szCs w:val="32"/>
          <w:u w:val="none"/>
        </w:rPr>
      </w:pPr>
      <w:r>
        <w:rPr>
          <w:rFonts w:hint="eastAsia" w:ascii="宋体" w:hAnsi="宋体" w:cs="仿宋"/>
          <w:bCs/>
          <w:snapToGrid w:val="0"/>
          <w:color w:val="auto"/>
          <w:spacing w:val="10"/>
          <w:szCs w:val="32"/>
          <w:u w:val="none"/>
        </w:rPr>
        <w:t>4.政策争取（采用加分法，最多加10分）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主要考核市直各单位为我市争取特殊政策支持和典型支持情况。</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（1）争取特殊政策支持情况（最多加</w:t>
      </w:r>
      <w:r>
        <w:rPr>
          <w:rFonts w:hint="eastAsia" w:ascii="宋体" w:hAnsi="宋体" w:cs="宋体"/>
          <w:color w:val="auto"/>
          <w:spacing w:val="10"/>
          <w:szCs w:val="32"/>
          <w:u w:val="none"/>
        </w:rPr>
        <w:t>7</w:t>
      </w:r>
      <w:r>
        <w:rPr>
          <w:rFonts w:hint="eastAsia" w:ascii="宋体" w:hAnsi="宋体" w:cs="仿宋"/>
          <w:color w:val="auto"/>
          <w:spacing w:val="10"/>
          <w:szCs w:val="32"/>
          <w:u w:val="none"/>
        </w:rPr>
        <w:t>分，由市发改委负责考评）的考核，按照争取到省级及以上给予我市经济社会发展、生态文明建设、重点产业或重点项目“一业一策”“一企一策”等特殊政策支持的单位，一个国家级政策加</w:t>
      </w:r>
      <w:r>
        <w:rPr>
          <w:rFonts w:hint="eastAsia" w:ascii="宋体" w:hAnsi="宋体" w:cs="宋体"/>
          <w:color w:val="auto"/>
          <w:spacing w:val="10"/>
          <w:szCs w:val="32"/>
          <w:u w:val="none"/>
        </w:rPr>
        <w:t>7</w:t>
      </w:r>
      <w:r>
        <w:rPr>
          <w:rFonts w:hint="eastAsia" w:ascii="宋体" w:hAnsi="宋体" w:cs="仿宋"/>
          <w:color w:val="auto"/>
          <w:spacing w:val="10"/>
          <w:szCs w:val="32"/>
          <w:u w:val="none"/>
        </w:rPr>
        <w:t>分，一个省级政策加</w:t>
      </w:r>
      <w:r>
        <w:rPr>
          <w:rFonts w:hint="eastAsia" w:ascii="宋体" w:hAnsi="宋体" w:cs="宋体"/>
          <w:color w:val="auto"/>
          <w:spacing w:val="10"/>
          <w:szCs w:val="32"/>
          <w:u w:val="none"/>
        </w:rPr>
        <w:t>5</w:t>
      </w:r>
      <w:r>
        <w:rPr>
          <w:rFonts w:hint="eastAsia" w:ascii="宋体" w:hAnsi="宋体" w:cs="仿宋"/>
          <w:color w:val="auto"/>
          <w:spacing w:val="10"/>
          <w:szCs w:val="32"/>
          <w:u w:val="none"/>
        </w:rPr>
        <w:t>分，加满</w:t>
      </w:r>
      <w:r>
        <w:rPr>
          <w:rFonts w:hint="eastAsia" w:ascii="宋体" w:hAnsi="宋体" w:cs="宋体"/>
          <w:color w:val="auto"/>
          <w:spacing w:val="10"/>
          <w:szCs w:val="32"/>
          <w:u w:val="none"/>
        </w:rPr>
        <w:t>7</w:t>
      </w:r>
      <w:r>
        <w:rPr>
          <w:rFonts w:hint="eastAsia" w:ascii="宋体" w:hAnsi="宋体" w:cs="仿宋"/>
          <w:color w:val="auto"/>
          <w:spacing w:val="10"/>
          <w:szCs w:val="32"/>
          <w:u w:val="none"/>
        </w:rPr>
        <w:t>分为止。</w:t>
      </w:r>
    </w:p>
    <w:p>
      <w:pPr>
        <w:widowControl w:val="0"/>
        <w:wordWrap/>
        <w:adjustRightInd/>
        <w:snapToGrid/>
        <w:spacing w:before="0" w:after="0" w:line="560" w:lineRule="exact"/>
        <w:ind w:left="0" w:leftChars="0" w:right="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 xml:space="preserve">    （</w:t>
      </w:r>
      <w:r>
        <w:rPr>
          <w:rFonts w:hint="eastAsia" w:ascii="宋体" w:hAnsi="宋体" w:cs="宋体"/>
          <w:color w:val="auto"/>
          <w:spacing w:val="10"/>
          <w:szCs w:val="32"/>
          <w:u w:val="none"/>
        </w:rPr>
        <w:t>2</w:t>
      </w:r>
      <w:r>
        <w:rPr>
          <w:rFonts w:hint="eastAsia" w:ascii="宋体" w:hAnsi="宋体" w:cs="仿宋"/>
          <w:color w:val="auto"/>
          <w:spacing w:val="10"/>
          <w:szCs w:val="32"/>
          <w:u w:val="none"/>
        </w:rPr>
        <w:t>）典型支持情况（最多加</w:t>
      </w:r>
      <w:r>
        <w:rPr>
          <w:rFonts w:hint="eastAsia" w:ascii="宋体" w:hAnsi="宋体" w:cs="宋体"/>
          <w:color w:val="auto"/>
          <w:spacing w:val="10"/>
          <w:szCs w:val="32"/>
          <w:u w:val="none"/>
        </w:rPr>
        <w:t>3</w:t>
      </w:r>
      <w:r>
        <w:rPr>
          <w:rFonts w:hint="eastAsia" w:ascii="宋体" w:hAnsi="宋体" w:cs="仿宋"/>
          <w:color w:val="auto"/>
          <w:spacing w:val="10"/>
          <w:szCs w:val="32"/>
          <w:u w:val="none"/>
        </w:rPr>
        <w:t>分，由市发改委负责考评）的考核，按照争取到省级及以上在我市进行试点示范等典型支持，或者作为典型在全省、全国推广的单位，一个国家级试点示范加</w:t>
      </w:r>
      <w:r>
        <w:rPr>
          <w:rFonts w:hint="eastAsia" w:ascii="宋体" w:hAnsi="宋体" w:cs="宋体"/>
          <w:color w:val="auto"/>
          <w:spacing w:val="10"/>
          <w:szCs w:val="32"/>
          <w:u w:val="none"/>
        </w:rPr>
        <w:t>3</w:t>
      </w:r>
      <w:r>
        <w:rPr>
          <w:rFonts w:hint="eastAsia" w:ascii="宋体" w:hAnsi="宋体" w:cs="仿宋"/>
          <w:color w:val="auto"/>
          <w:spacing w:val="10"/>
          <w:szCs w:val="32"/>
          <w:u w:val="none"/>
        </w:rPr>
        <w:t>分，一个省级非普惠制试点示范加</w:t>
      </w:r>
      <w:r>
        <w:rPr>
          <w:rFonts w:hint="eastAsia" w:ascii="宋体" w:hAnsi="宋体" w:cs="宋体"/>
          <w:color w:val="auto"/>
          <w:spacing w:val="10"/>
          <w:szCs w:val="32"/>
          <w:u w:val="none"/>
        </w:rPr>
        <w:t>2</w:t>
      </w:r>
      <w:r>
        <w:rPr>
          <w:rFonts w:hint="eastAsia" w:ascii="宋体" w:hAnsi="宋体" w:cs="仿宋"/>
          <w:color w:val="auto"/>
          <w:spacing w:val="10"/>
          <w:szCs w:val="32"/>
          <w:u w:val="none"/>
        </w:rPr>
        <w:t>分，一个省级普惠制试点示范加</w:t>
      </w:r>
      <w:r>
        <w:rPr>
          <w:rFonts w:hint="eastAsia" w:ascii="宋体" w:hAnsi="宋体" w:cs="宋体"/>
          <w:color w:val="auto"/>
          <w:spacing w:val="10"/>
          <w:szCs w:val="32"/>
          <w:u w:val="none"/>
        </w:rPr>
        <w:t>1</w:t>
      </w:r>
      <w:r>
        <w:rPr>
          <w:rFonts w:hint="eastAsia" w:ascii="宋体" w:hAnsi="宋体" w:cs="仿宋"/>
          <w:color w:val="auto"/>
          <w:spacing w:val="10"/>
          <w:szCs w:val="32"/>
          <w:u w:val="none"/>
        </w:rPr>
        <w:t>分，加满</w:t>
      </w:r>
      <w:r>
        <w:rPr>
          <w:rFonts w:hint="eastAsia" w:ascii="宋体" w:hAnsi="宋体" w:cs="宋体"/>
          <w:color w:val="auto"/>
          <w:spacing w:val="10"/>
          <w:szCs w:val="32"/>
          <w:u w:val="none"/>
        </w:rPr>
        <w:t>3</w:t>
      </w:r>
      <w:r>
        <w:rPr>
          <w:rFonts w:hint="eastAsia" w:ascii="宋体" w:hAnsi="宋体" w:cs="仿宋"/>
          <w:color w:val="auto"/>
          <w:spacing w:val="10"/>
          <w:szCs w:val="32"/>
          <w:u w:val="none"/>
        </w:rPr>
        <w:t>分为止。</w:t>
      </w:r>
    </w:p>
    <w:p>
      <w:pPr>
        <w:widowControl w:val="0"/>
        <w:wordWrap/>
        <w:adjustRightInd/>
        <w:snapToGrid/>
        <w:spacing w:before="0" w:after="0" w:line="560" w:lineRule="exact"/>
        <w:ind w:left="0" w:leftChars="0" w:right="0" w:firstLine="649" w:firstLineChars="196"/>
        <w:textAlignment w:val="auto"/>
        <w:outlineLvl w:val="9"/>
        <w:rPr>
          <w:rFonts w:hint="eastAsia" w:ascii="宋体" w:hAnsi="宋体" w:cs="仿宋"/>
          <w:bCs/>
          <w:snapToGrid w:val="0"/>
          <w:color w:val="auto"/>
          <w:spacing w:val="10"/>
          <w:szCs w:val="32"/>
          <w:u w:val="none"/>
        </w:rPr>
      </w:pPr>
      <w:r>
        <w:rPr>
          <w:rFonts w:hint="eastAsia" w:ascii="宋体" w:hAnsi="宋体" w:cs="仿宋"/>
          <w:bCs/>
          <w:snapToGrid w:val="0"/>
          <w:color w:val="auto"/>
          <w:spacing w:val="10"/>
          <w:szCs w:val="32"/>
          <w:u w:val="none"/>
        </w:rPr>
        <w:t>5.资金争取（分值15分）</w:t>
      </w:r>
    </w:p>
    <w:p>
      <w:pPr>
        <w:widowControl w:val="0"/>
        <w:wordWrap/>
        <w:adjustRightInd/>
        <w:snapToGrid/>
        <w:spacing w:before="0" w:after="0" w:line="560" w:lineRule="exact"/>
        <w:ind w:left="0" w:leftChars="0" w:right="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 xml:space="preserve">    主要考核市直各单位争取省级及以上各类项目扶持资金（含捐赠）情况（分值</w:t>
      </w:r>
      <w:r>
        <w:rPr>
          <w:rFonts w:hint="eastAsia" w:ascii="宋体" w:hAnsi="宋体" w:cs="宋体"/>
          <w:color w:val="auto"/>
          <w:spacing w:val="10"/>
          <w:szCs w:val="32"/>
          <w:u w:val="none"/>
        </w:rPr>
        <w:t>15</w:t>
      </w:r>
      <w:r>
        <w:rPr>
          <w:rFonts w:hint="eastAsia" w:ascii="宋体" w:hAnsi="宋体" w:cs="仿宋"/>
          <w:color w:val="auto"/>
          <w:spacing w:val="10"/>
          <w:szCs w:val="32"/>
          <w:u w:val="none"/>
        </w:rPr>
        <w:t>分，由市财政局负责考评），以某单位争取的所有项目扶持资金(以省级及以上文件公布的金额为准)和捐赠资金为计算指标，用功效系数法计算得分。若某单位争取各类资金比上年度增长</w:t>
      </w:r>
      <w:r>
        <w:rPr>
          <w:rFonts w:hint="eastAsia" w:ascii="宋体" w:hAnsi="宋体" w:cs="宋体"/>
          <w:color w:val="auto"/>
          <w:spacing w:val="10"/>
          <w:szCs w:val="32"/>
          <w:u w:val="none"/>
        </w:rPr>
        <w:t>15</w:t>
      </w:r>
      <w:r>
        <w:rPr>
          <w:rFonts w:hint="eastAsia" w:ascii="宋体" w:hAnsi="宋体" w:cs="仿宋"/>
          <w:color w:val="auto"/>
          <w:spacing w:val="10"/>
          <w:szCs w:val="32"/>
          <w:u w:val="none"/>
        </w:rPr>
        <w:t>%及以上的，给予该单位以功效系数法计算分数的</w:t>
      </w:r>
      <w:r>
        <w:rPr>
          <w:rFonts w:hint="eastAsia" w:ascii="宋体" w:hAnsi="宋体" w:cs="宋体"/>
          <w:color w:val="auto"/>
          <w:spacing w:val="10"/>
          <w:szCs w:val="32"/>
          <w:u w:val="none"/>
        </w:rPr>
        <w:t>2</w:t>
      </w:r>
      <w:r>
        <w:rPr>
          <w:rFonts w:hint="eastAsia" w:ascii="宋体" w:hAnsi="宋体" w:cs="仿宋"/>
          <w:color w:val="auto"/>
          <w:spacing w:val="10"/>
          <w:szCs w:val="32"/>
          <w:u w:val="none"/>
        </w:rPr>
        <w:t>%奖励分。未争取到资金的单位（含无省级主管部门的单位），按争取到资金的单位最低得分的</w:t>
      </w:r>
      <w:r>
        <w:rPr>
          <w:rFonts w:hint="eastAsia" w:ascii="宋体" w:hAnsi="宋体" w:cs="宋体"/>
          <w:color w:val="auto"/>
          <w:spacing w:val="10"/>
          <w:szCs w:val="32"/>
          <w:u w:val="none"/>
        </w:rPr>
        <w:t>90</w:t>
      </w:r>
      <w:r>
        <w:rPr>
          <w:rFonts w:hint="eastAsia" w:ascii="宋体" w:hAnsi="宋体" w:cs="仿宋"/>
          <w:color w:val="auto"/>
          <w:spacing w:val="10"/>
          <w:szCs w:val="32"/>
          <w:u w:val="none"/>
        </w:rPr>
        <w:t>%计算得分。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bCs/>
          <w:snapToGrid w:val="0"/>
          <w:color w:val="auto"/>
          <w:spacing w:val="10"/>
          <w:szCs w:val="32"/>
          <w:u w:val="none"/>
        </w:rPr>
      </w:pPr>
      <w:r>
        <w:rPr>
          <w:rFonts w:hint="eastAsia" w:ascii="宋体" w:hAnsi="宋体" w:cs="仿宋"/>
          <w:bCs/>
          <w:snapToGrid w:val="0"/>
          <w:color w:val="auto"/>
          <w:spacing w:val="10"/>
          <w:szCs w:val="32"/>
          <w:u w:val="none"/>
        </w:rPr>
        <w:t>6.招商引资（分值10分，另加分项5分）</w:t>
      </w:r>
    </w:p>
    <w:p>
      <w:pPr>
        <w:widowControl w:val="0"/>
        <w:wordWrap/>
        <w:adjustRightInd/>
        <w:snapToGrid/>
        <w:spacing w:before="0" w:after="0" w:line="560" w:lineRule="exact"/>
        <w:ind w:left="0" w:leftChars="0" w:right="0"/>
        <w:textAlignment w:val="auto"/>
        <w:outlineLvl w:val="9"/>
        <w:rPr>
          <w:rFonts w:hint="eastAsia" w:ascii="宋体" w:hAnsi="宋体" w:cs="仿宋_GB2312"/>
          <w:color w:val="auto"/>
          <w:spacing w:val="10"/>
          <w:szCs w:val="32"/>
          <w:u w:val="none"/>
        </w:rPr>
      </w:pPr>
      <w:r>
        <w:rPr>
          <w:rFonts w:hint="eastAsia" w:ascii="宋体" w:hAnsi="宋体" w:cs="仿宋"/>
          <w:color w:val="auto"/>
          <w:spacing w:val="10"/>
          <w:szCs w:val="32"/>
          <w:u w:val="none"/>
        </w:rPr>
        <w:t xml:space="preserve">    </w:t>
      </w:r>
      <w:r>
        <w:rPr>
          <w:rFonts w:hint="eastAsia" w:ascii="宋体" w:hAnsi="宋体" w:cs="仿宋_GB2312"/>
          <w:color w:val="auto"/>
          <w:spacing w:val="10"/>
          <w:szCs w:val="32"/>
          <w:u w:val="none"/>
        </w:rPr>
        <w:t>主要考核市直各单位当年招商引进在三明市区或市县联办园区投资兴建3000万元及以上的工业项目(或</w:t>
      </w:r>
      <w:r>
        <w:rPr>
          <w:rFonts w:hint="eastAsia" w:ascii="宋体" w:hAnsi="宋体" w:cs="仿宋_GB2312"/>
          <w:bCs/>
          <w:color w:val="auto"/>
          <w:spacing w:val="10"/>
          <w:szCs w:val="32"/>
          <w:u w:val="none"/>
        </w:rPr>
        <w:t>跨区域建设项目)情况；或引进在市区注册资金1000万元及以上的服务业项目情况（分值10分，由市商务局牵头负责考评）。</w:t>
      </w:r>
      <w:r>
        <w:rPr>
          <w:rFonts w:hint="eastAsia" w:ascii="宋体" w:hAnsi="宋体" w:cs="仿宋_GB2312"/>
          <w:color w:val="auto"/>
          <w:spacing w:val="8"/>
          <w:szCs w:val="32"/>
          <w:u w:val="none"/>
        </w:rPr>
        <w:t>每个工业项目当年完成公司工商注册得1分，签订投资合同协议、缴纳保证金得1分，完成土地出让手续得2分，项目落地开工建设的得2分，项目当年产生的税收（含项目施工单位上缴地方的增值税等）达到15万元及以上得2分，达到30万元及以上的得4分，该项目最后得分为上述各项得分之和；每个服务业项目完成公司注册且注册资金在1000万元及以上的得1分，公司开始营业并产生营收的得2分，公司当年产生的税收达到10万元及以上的得3分，达到20万元及以上的得5分，达到30万元及以上的得7分，该项目最后得分为上述各项得分之和。</w:t>
      </w:r>
      <w:r>
        <w:rPr>
          <w:rFonts w:hint="eastAsia" w:ascii="宋体" w:hAnsi="宋体" w:cs="仿宋_GB2312"/>
          <w:color w:val="auto"/>
          <w:spacing w:val="10"/>
          <w:szCs w:val="32"/>
          <w:u w:val="none"/>
        </w:rPr>
        <w:t>农业二产项目参照工业项目考核，农业三产项目参照服务业项目考核。一个引进单位可以引资多个项目，各个项目得分可累加，引资单位最后得分，等于多个引进项目得分之和，最多不超过10分。属于引资单位上年度的招商引资项目，其中工业项目当年税收累计达300万元及以上、服务业项目当年税收累计达100万元及以上的，得满分。对引进项目为外资项目的</w:t>
      </w:r>
      <w:r>
        <w:rPr>
          <w:rFonts w:hint="eastAsia" w:ascii="宋体" w:hAnsi="宋体" w:cs="仿宋_GB2312"/>
          <w:color w:val="auto"/>
          <w:spacing w:val="10"/>
          <w:kern w:val="0"/>
          <w:szCs w:val="32"/>
          <w:u w:val="none"/>
        </w:rPr>
        <w:t>（含2020年以前备案外资项目），实际利用外资500万美元（以市外管局确认的到资为准）及以上的，得满分。</w:t>
      </w:r>
      <w:r>
        <w:rPr>
          <w:rFonts w:hint="eastAsia" w:ascii="宋体" w:hAnsi="宋体" w:cs="仿宋_GB2312"/>
          <w:color w:val="auto"/>
          <w:spacing w:val="10"/>
          <w:szCs w:val="32"/>
          <w:u w:val="none"/>
        </w:rPr>
        <w:t>对引进总投资5亿元以上重大产业项目在三明市区或市县联办园区落户的，只要当年完成公司注册且已交付土地款的得满分；若当年项目实现开工的，另奖励5分。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bCs/>
          <w:snapToGrid w:val="0"/>
          <w:color w:val="auto"/>
          <w:spacing w:val="10"/>
          <w:szCs w:val="32"/>
          <w:u w:val="none"/>
        </w:rPr>
      </w:pPr>
      <w:r>
        <w:rPr>
          <w:rFonts w:hint="eastAsia" w:ascii="宋体" w:hAnsi="宋体" w:cs="仿宋_GB2312"/>
          <w:bCs/>
          <w:snapToGrid w:val="0"/>
          <w:color w:val="auto"/>
          <w:spacing w:val="10"/>
          <w:szCs w:val="32"/>
          <w:u w:val="none"/>
        </w:rPr>
        <w:t>7.经济指标（分值20分）</w:t>
      </w:r>
    </w:p>
    <w:p>
      <w:pPr>
        <w:widowControl w:val="0"/>
        <w:wordWrap/>
        <w:adjustRightInd/>
        <w:snapToGrid/>
        <w:spacing w:before="0" w:after="0" w:line="560" w:lineRule="exact"/>
        <w:ind w:left="0" w:leftChars="0" w:right="0"/>
        <w:textAlignment w:val="auto"/>
        <w:outlineLvl w:val="9"/>
        <w:rPr>
          <w:rFonts w:hint="eastAsia" w:ascii="宋体" w:hAnsi="宋体" w:cs="仿宋"/>
          <w:color w:val="auto"/>
          <w:spacing w:val="10"/>
          <w:szCs w:val="32"/>
          <w:u w:val="none"/>
        </w:rPr>
      </w:pPr>
      <w:r>
        <w:rPr>
          <w:rFonts w:hint="eastAsia" w:ascii="宋体" w:hAnsi="宋体" w:cs="仿宋_GB2312"/>
          <w:color w:val="auto"/>
          <w:spacing w:val="10"/>
          <w:szCs w:val="32"/>
          <w:u w:val="none"/>
        </w:rPr>
        <w:t xml:space="preserve">    主要考核市直各单位负责的经济指标完成情况（分值20分，由市统计局负责考评，</w:t>
      </w:r>
      <w:r>
        <w:rPr>
          <w:rFonts w:hint="eastAsia" w:ascii="宋体" w:hAnsi="宋体" w:cs="仿宋_GB2312"/>
          <w:color w:val="auto"/>
          <w:spacing w:val="10"/>
          <w:szCs w:val="32"/>
          <w:u w:val="none"/>
        </w:rPr>
        <w:t>具体见附件</w:t>
      </w:r>
      <w:r>
        <w:rPr>
          <w:rFonts w:hint="eastAsia" w:ascii="宋体" w:hAnsi="宋体" w:cs="仿宋_GB2312"/>
          <w:color w:val="auto"/>
          <w:spacing w:val="10"/>
          <w:szCs w:val="32"/>
          <w:u w:val="none"/>
          <w:lang w:val="en-US" w:eastAsia="zh-CN"/>
        </w:rPr>
        <w:t>2-8</w:t>
      </w:r>
      <w:r>
        <w:rPr>
          <w:rFonts w:hint="eastAsia" w:ascii="宋体" w:hAnsi="宋体" w:cs="仿宋_GB2312"/>
          <w:color w:val="auto"/>
          <w:spacing w:val="10"/>
          <w:szCs w:val="32"/>
          <w:u w:val="none"/>
        </w:rPr>
        <w:t>）。以指标完成情况在全省九个设区市的排名为计分依据，排名级差1分，即居全省首位得20分，第2名得19分，第3名得18分，以此类推，第9名得12分。负责多个指标的单位该部分得分按照每项得分之和除以指标总数计算得分。对于涉及指标数据采集的统计局、国家统计局三明调查队，按所有涉及指标单位平均得分计算得分；其他未涉及经济指标的单位，按所有涉及指标单位平均得分的90%计算得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8.服务对象评议（分值10分）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主要考核服务对象对市直各单位的评议情况（分值</w:t>
      </w:r>
      <w:r>
        <w:rPr>
          <w:rFonts w:hint="eastAsia" w:ascii="宋体" w:hAnsi="宋体" w:cs="宋体"/>
          <w:color w:val="auto"/>
          <w:spacing w:val="10"/>
          <w:szCs w:val="32"/>
          <w:u w:val="none"/>
        </w:rPr>
        <w:t>10</w:t>
      </w:r>
      <w:r>
        <w:rPr>
          <w:rFonts w:hint="eastAsia" w:ascii="宋体" w:hAnsi="宋体" w:cs="仿宋"/>
          <w:color w:val="auto"/>
          <w:spacing w:val="10"/>
          <w:szCs w:val="32"/>
          <w:u w:val="none"/>
        </w:rPr>
        <w:t>分，由市行政服务中心管委会牵头负责考评）。</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9.综合评价（分值5分)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snapToGrid w:val="0"/>
          <w:color w:val="auto"/>
          <w:spacing w:val="10"/>
          <w:szCs w:val="32"/>
          <w:u w:val="none"/>
        </w:rPr>
      </w:pPr>
      <w:r>
        <w:rPr>
          <w:rFonts w:hint="eastAsia" w:ascii="宋体" w:hAnsi="宋体" w:cs="仿宋"/>
          <w:snapToGrid w:val="0"/>
          <w:color w:val="auto"/>
          <w:spacing w:val="10"/>
          <w:szCs w:val="32"/>
          <w:u w:val="none"/>
        </w:rPr>
        <w:t>（</w:t>
      </w:r>
      <w:r>
        <w:rPr>
          <w:rFonts w:hint="eastAsia" w:ascii="宋体" w:hAnsi="宋体" w:cs="宋体"/>
          <w:snapToGrid w:val="0"/>
          <w:color w:val="auto"/>
          <w:spacing w:val="10"/>
          <w:szCs w:val="32"/>
          <w:u w:val="none"/>
        </w:rPr>
        <w:t>1</w:t>
      </w:r>
      <w:r>
        <w:rPr>
          <w:rFonts w:hint="eastAsia" w:ascii="宋体" w:hAnsi="宋体" w:cs="仿宋"/>
          <w:snapToGrid w:val="0"/>
          <w:color w:val="auto"/>
          <w:spacing w:val="10"/>
          <w:szCs w:val="32"/>
          <w:u w:val="none"/>
        </w:rPr>
        <w:t>）市委市政府综合评价（分值</w:t>
      </w:r>
      <w:r>
        <w:rPr>
          <w:rFonts w:hint="eastAsia" w:ascii="宋体" w:hAnsi="宋体" w:cs="宋体"/>
          <w:snapToGrid w:val="0"/>
          <w:color w:val="auto"/>
          <w:spacing w:val="10"/>
          <w:szCs w:val="32"/>
          <w:u w:val="none"/>
        </w:rPr>
        <w:t>5</w:t>
      </w:r>
      <w:r>
        <w:rPr>
          <w:rFonts w:hint="eastAsia" w:ascii="宋体" w:hAnsi="宋体" w:cs="仿宋"/>
          <w:snapToGrid w:val="0"/>
          <w:color w:val="auto"/>
          <w:spacing w:val="10"/>
          <w:szCs w:val="32"/>
          <w:u w:val="none"/>
        </w:rPr>
        <w:t>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snapToGrid w:val="0"/>
          <w:color w:val="auto"/>
          <w:spacing w:val="10"/>
          <w:szCs w:val="32"/>
          <w:u w:val="none"/>
        </w:rPr>
      </w:pPr>
      <w:r>
        <w:rPr>
          <w:rFonts w:hint="eastAsia" w:ascii="宋体" w:hAnsi="宋体" w:cs="仿宋"/>
          <w:snapToGrid w:val="0"/>
          <w:color w:val="auto"/>
          <w:spacing w:val="10"/>
          <w:szCs w:val="32"/>
          <w:u w:val="none"/>
        </w:rPr>
        <w:t>由市委市政府主要领导牵头对市直各单位工作推进情况进行综合评价计分。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snapToGrid w:val="0"/>
          <w:color w:val="auto"/>
          <w:spacing w:val="10"/>
          <w:szCs w:val="32"/>
          <w:u w:val="none"/>
        </w:rPr>
      </w:pPr>
      <w:r>
        <w:rPr>
          <w:rFonts w:hint="eastAsia" w:ascii="宋体" w:hAnsi="宋体" w:cs="仿宋"/>
          <w:snapToGrid w:val="0"/>
          <w:color w:val="auto"/>
          <w:spacing w:val="10"/>
          <w:szCs w:val="32"/>
          <w:u w:val="none"/>
        </w:rPr>
        <w:t>（</w:t>
      </w:r>
      <w:r>
        <w:rPr>
          <w:rFonts w:hint="eastAsia" w:ascii="宋体" w:hAnsi="宋体" w:cs="宋体"/>
          <w:snapToGrid w:val="0"/>
          <w:color w:val="auto"/>
          <w:spacing w:val="10"/>
          <w:szCs w:val="32"/>
          <w:u w:val="none"/>
        </w:rPr>
        <w:t>2</w:t>
      </w:r>
      <w:r>
        <w:rPr>
          <w:rFonts w:hint="eastAsia" w:ascii="宋体" w:hAnsi="宋体" w:cs="仿宋"/>
          <w:snapToGrid w:val="0"/>
          <w:color w:val="auto"/>
          <w:spacing w:val="10"/>
          <w:szCs w:val="32"/>
          <w:u w:val="none"/>
        </w:rPr>
        <w:t>）对活动弄虚作假进行惩戒</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snapToGrid w:val="0"/>
          <w:color w:val="auto"/>
          <w:spacing w:val="10"/>
          <w:szCs w:val="32"/>
          <w:u w:val="none"/>
        </w:rPr>
      </w:pPr>
      <w:r>
        <w:rPr>
          <w:rFonts w:hint="eastAsia" w:ascii="宋体" w:hAnsi="宋体" w:cs="仿宋"/>
          <w:color w:val="auto"/>
          <w:spacing w:val="10"/>
          <w:szCs w:val="32"/>
          <w:u w:val="none"/>
        </w:rPr>
        <w:t>对在“五比五晒”推进高质量发展活动中弄虚作假的，一经核实实行一票否决并问责。</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楷体_GB2312"/>
          <w:color w:val="auto"/>
          <w:spacing w:val="10"/>
          <w:szCs w:val="32"/>
          <w:u w:val="none"/>
        </w:rPr>
      </w:pPr>
      <w:r>
        <w:rPr>
          <w:rFonts w:hint="eastAsia" w:ascii="宋体" w:hAnsi="宋体"/>
          <w:snapToGrid w:val="0"/>
          <w:color w:val="auto"/>
          <w:spacing w:val="10"/>
          <w:szCs w:val="32"/>
          <w:u w:val="none"/>
        </w:rPr>
        <w:t>（二）第二组考评内容（总分值100分，另扣分项15分、加分项25分）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1.为基层减负（采用扣分法，违反则扣1-15分）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主要考核市直各单位落实市委办《关于解决形式主义突出问题为基层减负十八条措施的通知》精神，力戒形式主义、官僚主义，为基层减负</w:t>
      </w:r>
      <w:r>
        <w:rPr>
          <w:rFonts w:hint="eastAsia" w:ascii="宋体" w:hAnsi="宋体" w:cs="仿宋"/>
          <w:snapToGrid w:val="0"/>
          <w:color w:val="auto"/>
          <w:spacing w:val="10"/>
          <w:szCs w:val="32"/>
          <w:u w:val="none"/>
        </w:rPr>
        <w:t>落实情况</w:t>
      </w:r>
      <w:r>
        <w:rPr>
          <w:rFonts w:hint="eastAsia" w:ascii="宋体" w:hAnsi="宋体" w:cs="仿宋"/>
          <w:color w:val="auto"/>
          <w:spacing w:val="10"/>
          <w:szCs w:val="32"/>
          <w:u w:val="none"/>
        </w:rPr>
        <w:t>。</w:t>
      </w:r>
    </w:p>
    <w:p>
      <w:pPr>
        <w:widowControl w:val="0"/>
        <w:wordWrap/>
        <w:adjustRightInd/>
        <w:snapToGrid/>
        <w:spacing w:before="0" w:after="0" w:line="560" w:lineRule="exact"/>
        <w:ind w:left="0" w:leftChars="0" w:right="0" w:firstLine="63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w:t>
      </w:r>
      <w:r>
        <w:rPr>
          <w:rFonts w:hint="eastAsia" w:ascii="宋体" w:hAnsi="宋体" w:cs="宋体"/>
          <w:color w:val="auto"/>
          <w:spacing w:val="10"/>
          <w:szCs w:val="32"/>
          <w:u w:val="none"/>
        </w:rPr>
        <w:t>1</w:t>
      </w:r>
      <w:r>
        <w:rPr>
          <w:rFonts w:hint="eastAsia" w:ascii="宋体" w:hAnsi="宋体" w:cs="仿宋"/>
          <w:color w:val="auto"/>
          <w:spacing w:val="10"/>
          <w:szCs w:val="32"/>
          <w:u w:val="none"/>
        </w:rPr>
        <w:t>）精简文件和缩减会议情况</w:t>
      </w:r>
      <w:r>
        <w:rPr>
          <w:rFonts w:hint="eastAsia" w:ascii="宋体" w:hAnsi="宋体" w:cs="仿宋"/>
          <w:bCs/>
          <w:color w:val="auto"/>
          <w:spacing w:val="10"/>
          <w:szCs w:val="32"/>
          <w:u w:val="none"/>
        </w:rPr>
        <w:t>（最多扣</w:t>
      </w:r>
      <w:r>
        <w:rPr>
          <w:rFonts w:hint="eastAsia" w:ascii="宋体" w:hAnsi="宋体" w:cs="宋体"/>
          <w:bCs/>
          <w:color w:val="auto"/>
          <w:spacing w:val="10"/>
          <w:szCs w:val="32"/>
          <w:u w:val="none"/>
        </w:rPr>
        <w:t>3</w:t>
      </w:r>
      <w:r>
        <w:rPr>
          <w:rFonts w:hint="eastAsia" w:ascii="宋体" w:hAnsi="宋体" w:cs="仿宋"/>
          <w:color w:val="auto"/>
          <w:spacing w:val="10"/>
          <w:szCs w:val="32"/>
          <w:u w:val="none"/>
        </w:rPr>
        <w:t>分，由市委办、市政府办负责考评）。</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w:t>
      </w:r>
      <w:r>
        <w:rPr>
          <w:rFonts w:hint="eastAsia" w:ascii="宋体" w:hAnsi="宋体" w:cs="宋体"/>
          <w:color w:val="auto"/>
          <w:spacing w:val="10"/>
          <w:szCs w:val="32"/>
          <w:u w:val="none"/>
        </w:rPr>
        <w:t>2</w:t>
      </w:r>
      <w:r>
        <w:rPr>
          <w:rFonts w:hint="eastAsia" w:ascii="宋体" w:hAnsi="宋体" w:cs="仿宋"/>
          <w:color w:val="auto"/>
          <w:spacing w:val="10"/>
          <w:szCs w:val="32"/>
          <w:u w:val="none"/>
        </w:rPr>
        <w:t>）规范督查检查考核情况</w:t>
      </w:r>
      <w:r>
        <w:rPr>
          <w:rFonts w:hint="eastAsia" w:ascii="宋体" w:hAnsi="宋体" w:cs="仿宋"/>
          <w:bCs/>
          <w:color w:val="auto"/>
          <w:spacing w:val="10"/>
          <w:szCs w:val="32"/>
          <w:u w:val="none"/>
        </w:rPr>
        <w:t>（最多扣</w:t>
      </w:r>
      <w:r>
        <w:rPr>
          <w:rFonts w:hint="eastAsia" w:ascii="宋体" w:hAnsi="宋体" w:cs="宋体"/>
          <w:bCs/>
          <w:color w:val="auto"/>
          <w:spacing w:val="10"/>
          <w:szCs w:val="32"/>
          <w:u w:val="none"/>
        </w:rPr>
        <w:t>2</w:t>
      </w:r>
      <w:r>
        <w:rPr>
          <w:rFonts w:hint="eastAsia" w:ascii="宋体" w:hAnsi="宋体" w:cs="仿宋"/>
          <w:color w:val="auto"/>
          <w:spacing w:val="10"/>
          <w:szCs w:val="32"/>
          <w:u w:val="none"/>
        </w:rPr>
        <w:t>分，由市委督查室、市政府督查室负责考评）。</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（3）整治形式主义和官僚主义负面清单情况（</w:t>
      </w:r>
      <w:r>
        <w:rPr>
          <w:rFonts w:hint="eastAsia" w:ascii="宋体" w:hAnsi="宋体" w:cs="仿宋"/>
          <w:bCs/>
          <w:color w:val="auto"/>
          <w:spacing w:val="10"/>
          <w:szCs w:val="32"/>
          <w:u w:val="none"/>
        </w:rPr>
        <w:t>最多扣</w:t>
      </w:r>
      <w:r>
        <w:rPr>
          <w:rFonts w:hint="eastAsia" w:ascii="宋体" w:hAnsi="宋体" w:cs="宋体"/>
          <w:bCs/>
          <w:color w:val="auto"/>
          <w:spacing w:val="10"/>
          <w:szCs w:val="32"/>
          <w:u w:val="none"/>
        </w:rPr>
        <w:t>10</w:t>
      </w:r>
      <w:r>
        <w:rPr>
          <w:rFonts w:hint="eastAsia" w:ascii="宋体" w:hAnsi="宋体" w:cs="仿宋"/>
          <w:color w:val="auto"/>
          <w:spacing w:val="10"/>
          <w:szCs w:val="32"/>
          <w:u w:val="none"/>
        </w:rPr>
        <w:t>分，由市直机关党工委负责考评）。</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2.履职尽责和服务保障“五比五晒”活动（分值65分）</w:t>
      </w:r>
    </w:p>
    <w:p>
      <w:pPr>
        <w:widowControl w:val="0"/>
        <w:wordWrap/>
        <w:adjustRightInd/>
        <w:snapToGrid/>
        <w:spacing w:before="0" w:after="0" w:line="560" w:lineRule="exact"/>
        <w:ind w:left="0" w:leftChars="0" w:right="0" w:firstLine="63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主要考核市直各单位履职尽责和做好服务保障“五比五晒”推进高质量发展活动工作情况（分值65分，由市直机关党工委负责考评）。</w:t>
      </w:r>
    </w:p>
    <w:p>
      <w:pPr>
        <w:widowControl w:val="0"/>
        <w:numPr>
          <w:ilvl w:val="0"/>
          <w:numId w:val="1"/>
        </w:numPr>
        <w:wordWrap/>
        <w:adjustRightInd/>
        <w:snapToGrid/>
        <w:spacing w:before="0" w:after="0" w:line="560" w:lineRule="exact"/>
        <w:ind w:left="0" w:leftChars="0" w:right="0" w:firstLine="63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主动服务“五比五晒”工作情况（分值25分）。</w:t>
      </w:r>
    </w:p>
    <w:p>
      <w:pPr>
        <w:widowControl w:val="0"/>
        <w:numPr>
          <w:ilvl w:val="0"/>
          <w:numId w:val="1"/>
        </w:numPr>
        <w:wordWrap/>
        <w:adjustRightInd/>
        <w:snapToGrid/>
        <w:spacing w:before="0" w:after="0" w:line="560" w:lineRule="exact"/>
        <w:ind w:left="0" w:leftChars="0" w:right="0" w:firstLine="63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“e三明”服务质量和效益情况（分值20分）。</w:t>
      </w:r>
    </w:p>
    <w:p>
      <w:pPr>
        <w:widowControl w:val="0"/>
        <w:numPr>
          <w:ilvl w:val="0"/>
          <w:numId w:val="1"/>
        </w:numPr>
        <w:wordWrap/>
        <w:adjustRightInd/>
        <w:snapToGrid/>
        <w:spacing w:before="0" w:after="0" w:line="560" w:lineRule="exact"/>
        <w:ind w:left="0" w:leftChars="0" w:right="0" w:firstLine="63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服务“两区”经济社会发展情况（分值20分）。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3.挂钩服务“五个十”重大项目和省、市重点项目（分值20分）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主要考核市直各单位挂钩服务“五个十”重大项目和省、市重点项目情况（分值20分，由市委督查室、市政府督查室、市发改委负责考评）（除“五个十”重大项目安排的市直责任单位外，其他市直单位可从市发改委推荐的在建省、市重点项目中抽取项目进行挂钩服务），以扣分方式计算。某个项目季度被市委、市政府或省、市效能办通报工作推进不力、进度滞后，每通报一次，该项目扣</w:t>
      </w:r>
      <w:r>
        <w:rPr>
          <w:rFonts w:hint="eastAsia" w:ascii="宋体" w:hAnsi="宋体" w:cs="宋体"/>
          <w:color w:val="auto"/>
          <w:spacing w:val="10"/>
          <w:szCs w:val="32"/>
          <w:u w:val="none"/>
        </w:rPr>
        <w:t>2</w:t>
      </w:r>
      <w:r>
        <w:rPr>
          <w:rFonts w:hint="eastAsia" w:ascii="宋体" w:hAnsi="宋体" w:cs="仿宋"/>
          <w:color w:val="auto"/>
          <w:spacing w:val="10"/>
          <w:szCs w:val="32"/>
          <w:u w:val="none"/>
        </w:rPr>
        <w:t>分，则某挂钩服务单位被扣分数=（该单位挂钩服务项目累计被通报次数×</w:t>
      </w:r>
      <w:r>
        <w:rPr>
          <w:rFonts w:hint="eastAsia" w:ascii="宋体" w:hAnsi="宋体" w:cs="宋体"/>
          <w:color w:val="auto"/>
          <w:spacing w:val="10"/>
          <w:szCs w:val="32"/>
          <w:u w:val="none"/>
        </w:rPr>
        <w:t>2</w:t>
      </w:r>
      <w:r>
        <w:rPr>
          <w:rFonts w:hint="eastAsia" w:ascii="宋体" w:hAnsi="宋体" w:cs="仿宋"/>
          <w:color w:val="auto"/>
          <w:spacing w:val="10"/>
          <w:szCs w:val="32"/>
          <w:u w:val="none"/>
        </w:rPr>
        <w:t>）×（各单位挂钩服务项目平均数÷该单位挂钩服务项目数），分值扣完为止。不参加挂钩服务项目的单位不得分。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bCs/>
          <w:color w:val="auto"/>
          <w:spacing w:val="10"/>
          <w:szCs w:val="32"/>
          <w:u w:val="none"/>
        </w:rPr>
      </w:pPr>
      <w:r>
        <w:rPr>
          <w:rFonts w:hint="eastAsia" w:ascii="宋体" w:hAnsi="宋体" w:cs="仿宋"/>
          <w:bCs/>
          <w:snapToGrid w:val="0"/>
          <w:color w:val="auto"/>
          <w:spacing w:val="10"/>
          <w:szCs w:val="32"/>
          <w:u w:val="none"/>
        </w:rPr>
        <w:t>4.政策争取（采用加分法，最多加20分）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r>
        <w:rPr>
          <w:rFonts w:hint="eastAsia" w:ascii="宋体" w:hAnsi="宋体" w:cs="仿宋_GB2312"/>
          <w:color w:val="auto"/>
          <w:spacing w:val="10"/>
          <w:szCs w:val="32"/>
          <w:u w:val="none"/>
        </w:rPr>
        <w:t>主要考核市直各单位为我市争取特殊政策支持和典型支持情况。</w:t>
      </w:r>
    </w:p>
    <w:p>
      <w:pPr>
        <w:widowControl w:val="0"/>
        <w:numPr>
          <w:ilvl w:val="0"/>
          <w:numId w:val="2"/>
        </w:numPr>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争取特殊政策支持情况（最多加</w:t>
      </w:r>
      <w:r>
        <w:rPr>
          <w:rFonts w:hint="eastAsia" w:ascii="宋体" w:hAnsi="宋体" w:cs="宋体"/>
          <w:color w:val="auto"/>
          <w:spacing w:val="10"/>
          <w:szCs w:val="32"/>
          <w:u w:val="none"/>
        </w:rPr>
        <w:t>12</w:t>
      </w:r>
      <w:r>
        <w:rPr>
          <w:rFonts w:hint="eastAsia" w:ascii="宋体" w:hAnsi="宋体" w:cs="仿宋"/>
          <w:color w:val="auto"/>
          <w:spacing w:val="10"/>
          <w:szCs w:val="32"/>
          <w:u w:val="none"/>
        </w:rPr>
        <w:t>分，由市直机关党工委负责考评）的考核，按照争取到省级及以上给予我市经济社会发展等特殊政策支持的单位，一个国家级政策加</w:t>
      </w:r>
      <w:r>
        <w:rPr>
          <w:rFonts w:hint="eastAsia" w:ascii="宋体" w:hAnsi="宋体" w:cs="宋体"/>
          <w:color w:val="auto"/>
          <w:spacing w:val="10"/>
          <w:szCs w:val="32"/>
          <w:u w:val="none"/>
        </w:rPr>
        <w:t>12</w:t>
      </w:r>
      <w:r>
        <w:rPr>
          <w:rFonts w:hint="eastAsia" w:ascii="宋体" w:hAnsi="宋体" w:cs="仿宋"/>
          <w:color w:val="auto"/>
          <w:spacing w:val="10"/>
          <w:szCs w:val="32"/>
          <w:u w:val="none"/>
        </w:rPr>
        <w:t>分，一个省级政策加</w:t>
      </w:r>
      <w:r>
        <w:rPr>
          <w:rFonts w:hint="eastAsia" w:ascii="宋体" w:hAnsi="宋体" w:cs="宋体"/>
          <w:color w:val="auto"/>
          <w:spacing w:val="10"/>
          <w:szCs w:val="32"/>
          <w:u w:val="none"/>
        </w:rPr>
        <w:t>6</w:t>
      </w:r>
      <w:r>
        <w:rPr>
          <w:rFonts w:hint="eastAsia" w:ascii="宋体" w:hAnsi="宋体" w:cs="仿宋"/>
          <w:color w:val="auto"/>
          <w:spacing w:val="10"/>
          <w:szCs w:val="32"/>
          <w:u w:val="none"/>
        </w:rPr>
        <w:t>分，加满</w:t>
      </w:r>
      <w:r>
        <w:rPr>
          <w:rFonts w:hint="eastAsia" w:ascii="宋体" w:hAnsi="宋体" w:cs="宋体"/>
          <w:color w:val="auto"/>
          <w:spacing w:val="10"/>
          <w:szCs w:val="32"/>
          <w:u w:val="none"/>
        </w:rPr>
        <w:t>12</w:t>
      </w:r>
      <w:r>
        <w:rPr>
          <w:rFonts w:hint="eastAsia" w:ascii="宋体" w:hAnsi="宋体" w:cs="仿宋"/>
          <w:color w:val="auto"/>
          <w:spacing w:val="10"/>
          <w:szCs w:val="32"/>
          <w:u w:val="none"/>
        </w:rPr>
        <w:t>分为止。</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
          <w:color w:val="auto"/>
          <w:spacing w:val="10"/>
          <w:szCs w:val="32"/>
          <w:u w:val="none"/>
        </w:rPr>
        <w:t>（</w:t>
      </w:r>
      <w:r>
        <w:rPr>
          <w:rFonts w:hint="eastAsia" w:ascii="宋体" w:hAnsi="宋体" w:cs="宋体"/>
          <w:color w:val="auto"/>
          <w:spacing w:val="10"/>
          <w:szCs w:val="32"/>
          <w:u w:val="none"/>
        </w:rPr>
        <w:t>2</w:t>
      </w:r>
      <w:r>
        <w:rPr>
          <w:rFonts w:hint="eastAsia" w:ascii="宋体" w:hAnsi="宋体" w:cs="仿宋"/>
          <w:color w:val="auto"/>
          <w:spacing w:val="10"/>
          <w:szCs w:val="32"/>
          <w:u w:val="none"/>
        </w:rPr>
        <w:t>）典型支持情况（最多加</w:t>
      </w:r>
      <w:r>
        <w:rPr>
          <w:rFonts w:hint="eastAsia" w:ascii="宋体" w:hAnsi="宋体" w:cs="宋体"/>
          <w:color w:val="auto"/>
          <w:spacing w:val="10"/>
          <w:szCs w:val="32"/>
          <w:u w:val="none"/>
        </w:rPr>
        <w:t>8</w:t>
      </w:r>
      <w:r>
        <w:rPr>
          <w:rFonts w:hint="eastAsia" w:ascii="宋体" w:hAnsi="宋体" w:cs="仿宋"/>
          <w:color w:val="auto"/>
          <w:spacing w:val="10"/>
          <w:szCs w:val="32"/>
          <w:u w:val="none"/>
        </w:rPr>
        <w:t>分，由市直机关党工委负责考评）的考核，按照争取到省级及以上在我市进行试点示范等典型支持，或者作为典型在全省、全国推广的单位，一个国家级试点示范加</w:t>
      </w:r>
      <w:r>
        <w:rPr>
          <w:rFonts w:hint="eastAsia" w:ascii="宋体" w:hAnsi="宋体" w:cs="宋体"/>
          <w:color w:val="auto"/>
          <w:spacing w:val="10"/>
          <w:szCs w:val="32"/>
          <w:u w:val="none"/>
        </w:rPr>
        <w:t>8</w:t>
      </w:r>
      <w:r>
        <w:rPr>
          <w:rFonts w:hint="eastAsia" w:ascii="宋体" w:hAnsi="宋体" w:cs="仿宋"/>
          <w:color w:val="auto"/>
          <w:spacing w:val="10"/>
          <w:szCs w:val="32"/>
          <w:u w:val="none"/>
        </w:rPr>
        <w:t>分，一个省级非普惠制试点示范加</w:t>
      </w:r>
      <w:r>
        <w:rPr>
          <w:rFonts w:hint="eastAsia" w:ascii="宋体" w:hAnsi="宋体" w:cs="宋体"/>
          <w:color w:val="auto"/>
          <w:spacing w:val="10"/>
          <w:szCs w:val="32"/>
          <w:u w:val="none"/>
        </w:rPr>
        <w:t>4</w:t>
      </w:r>
      <w:r>
        <w:rPr>
          <w:rFonts w:hint="eastAsia" w:ascii="宋体" w:hAnsi="宋体" w:cs="仿宋"/>
          <w:color w:val="auto"/>
          <w:spacing w:val="10"/>
          <w:szCs w:val="32"/>
          <w:u w:val="none"/>
        </w:rPr>
        <w:t>分，一个省级普惠制试点示范加</w:t>
      </w:r>
      <w:r>
        <w:rPr>
          <w:rFonts w:hint="eastAsia" w:ascii="宋体" w:hAnsi="宋体" w:cs="宋体"/>
          <w:color w:val="auto"/>
          <w:spacing w:val="10"/>
          <w:szCs w:val="32"/>
          <w:u w:val="none"/>
        </w:rPr>
        <w:t>2</w:t>
      </w:r>
      <w:r>
        <w:rPr>
          <w:rFonts w:hint="eastAsia" w:ascii="宋体" w:hAnsi="宋体" w:cs="仿宋"/>
          <w:color w:val="auto"/>
          <w:spacing w:val="10"/>
          <w:szCs w:val="32"/>
          <w:u w:val="none"/>
        </w:rPr>
        <w:t>分，加满</w:t>
      </w:r>
      <w:r>
        <w:rPr>
          <w:rFonts w:hint="eastAsia" w:ascii="宋体" w:hAnsi="宋体" w:cs="宋体"/>
          <w:color w:val="auto"/>
          <w:spacing w:val="10"/>
          <w:szCs w:val="32"/>
          <w:u w:val="none"/>
        </w:rPr>
        <w:t>8</w:t>
      </w:r>
      <w:r>
        <w:rPr>
          <w:rFonts w:hint="eastAsia" w:ascii="宋体" w:hAnsi="宋体" w:cs="仿宋"/>
          <w:color w:val="auto"/>
          <w:spacing w:val="10"/>
          <w:szCs w:val="32"/>
          <w:u w:val="none"/>
        </w:rPr>
        <w:t>分为止。</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bCs/>
          <w:snapToGrid w:val="0"/>
          <w:color w:val="auto"/>
          <w:spacing w:val="10"/>
          <w:szCs w:val="32"/>
          <w:u w:val="none"/>
        </w:rPr>
      </w:pPr>
      <w:r>
        <w:rPr>
          <w:rFonts w:hint="eastAsia" w:ascii="宋体" w:hAnsi="宋体" w:cs="仿宋"/>
          <w:bCs/>
          <w:snapToGrid w:val="0"/>
          <w:color w:val="auto"/>
          <w:spacing w:val="10"/>
          <w:szCs w:val="32"/>
          <w:u w:val="none"/>
        </w:rPr>
        <w:t>5.招商引资（分值10分，另加分项5分）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color w:val="auto"/>
          <w:spacing w:val="10"/>
          <w:szCs w:val="32"/>
          <w:u w:val="none"/>
        </w:rPr>
      </w:pPr>
      <w:r>
        <w:rPr>
          <w:rFonts w:hint="eastAsia" w:ascii="宋体" w:hAnsi="宋体" w:cs="仿宋_GB2312"/>
          <w:color w:val="auto"/>
          <w:spacing w:val="10"/>
          <w:szCs w:val="32"/>
          <w:u w:val="none"/>
        </w:rPr>
        <w:t>主要考核市直各单位当年招商引进在三明市区或市县联办园区投资兴建3000万元及以上的工业项目(或</w:t>
      </w:r>
      <w:r>
        <w:rPr>
          <w:rFonts w:hint="eastAsia" w:ascii="宋体" w:hAnsi="宋体" w:cs="仿宋_GB2312"/>
          <w:bCs/>
          <w:color w:val="auto"/>
          <w:spacing w:val="10"/>
          <w:szCs w:val="32"/>
          <w:u w:val="none"/>
        </w:rPr>
        <w:t>跨区域建设项目)情况；或引进在市区注册资金1000万元及以上的服务业项目情况（分值10分，由市商务局牵头负责考评）。</w:t>
      </w:r>
      <w:r>
        <w:rPr>
          <w:rFonts w:hint="eastAsia" w:ascii="宋体" w:hAnsi="宋体" w:cs="仿宋_GB2312"/>
          <w:color w:val="auto"/>
          <w:spacing w:val="10"/>
          <w:szCs w:val="32"/>
          <w:u w:val="none"/>
        </w:rPr>
        <w:t>每个工业项目当年完成公司工商注册得1分，签订投资合同协议、缴纳保证金得1分，完成土地出让手续得2分，项目落地开工建设得2分，项目当年产生的税收（含项目施工单位上缴地方的增值税等）达到15万元及以上得2分，达到30万元及以上的得4分，该项目最后得分为上述各项得分之和；每个服务业项目完成公司注册且注册资金在1000万元及以上的得1分，公司开始营业并产生营收的得2分，公司当年产生的税收达到10万元及以上的得3分，达到20万元及以上的得5分，达到30万元及以上的得7分，该项目最后得分为上述各项得分之和。农业二产项目参照工业项目考核，农业三产项目参照服务业项目考核。</w:t>
      </w:r>
      <w:r>
        <w:rPr>
          <w:rFonts w:hint="eastAsia" w:ascii="宋体" w:hAnsi="宋体" w:cs="仿宋_GB2312"/>
          <w:color w:val="auto"/>
          <w:spacing w:val="8"/>
          <w:szCs w:val="32"/>
          <w:u w:val="none"/>
        </w:rPr>
        <w:t>一个引进单位可以引资多个项目，各个项目得分可累加，引资单位最后得分，等于多个引进项目得分之和，最多不超过10分。</w:t>
      </w:r>
      <w:r>
        <w:rPr>
          <w:rFonts w:hint="eastAsia" w:ascii="宋体" w:hAnsi="宋体" w:cs="仿宋_GB2312"/>
          <w:color w:val="auto"/>
          <w:spacing w:val="10"/>
          <w:szCs w:val="32"/>
          <w:u w:val="none"/>
        </w:rPr>
        <w:t>属于引资单位上年度的招商引资项目，其中工业项目当年税收累计达300万元及以上、服务业项目当年税收累计达100万元及以上的，得满分。对引进项目为外资项目的</w:t>
      </w:r>
      <w:r>
        <w:rPr>
          <w:rFonts w:hint="eastAsia" w:ascii="宋体" w:hAnsi="宋体" w:cs="仿宋_GB2312"/>
          <w:color w:val="auto"/>
          <w:spacing w:val="10"/>
          <w:kern w:val="0"/>
          <w:szCs w:val="32"/>
          <w:u w:val="none"/>
        </w:rPr>
        <w:t>（含2020年以前备案外资项目），实际利用外资500万美元（以市外管局确认的到资为准）及以上的，得满分。</w:t>
      </w:r>
      <w:r>
        <w:rPr>
          <w:rFonts w:hint="eastAsia" w:ascii="宋体" w:hAnsi="宋体" w:cs="仿宋_GB2312"/>
          <w:color w:val="auto"/>
          <w:spacing w:val="10"/>
          <w:szCs w:val="32"/>
          <w:u w:val="none"/>
        </w:rPr>
        <w:t>对引进总投资5亿元以上重大产业项目在三明市区或市县联办园区落户的，只要当年完成公司注册且已交付土地款的得满分；若当年项目实现开工的，另奖励5分</w:t>
      </w:r>
      <w:r>
        <w:rPr>
          <w:rFonts w:hint="eastAsia" w:ascii="宋体" w:hAnsi="宋体" w:cs="仿宋"/>
          <w:color w:val="auto"/>
          <w:spacing w:val="10"/>
          <w:szCs w:val="32"/>
          <w:u w:val="none"/>
        </w:rPr>
        <w:t>。</w:t>
      </w:r>
    </w:p>
    <w:p>
      <w:pPr>
        <w:widowControl w:val="0"/>
        <w:wordWrap/>
        <w:adjustRightInd/>
        <w:snapToGrid/>
        <w:spacing w:before="0" w:after="0" w:line="560" w:lineRule="exact"/>
        <w:ind w:left="0" w:leftChars="0" w:right="0"/>
        <w:textAlignment w:val="auto"/>
        <w:outlineLvl w:val="9"/>
        <w:rPr>
          <w:rFonts w:hint="eastAsia" w:ascii="宋体" w:hAnsi="宋体" w:cs="仿宋"/>
          <w:snapToGrid w:val="0"/>
          <w:color w:val="auto"/>
          <w:spacing w:val="10"/>
          <w:szCs w:val="32"/>
          <w:u w:val="none"/>
        </w:rPr>
      </w:pPr>
      <w:r>
        <w:rPr>
          <w:rFonts w:hint="eastAsia" w:ascii="宋体" w:hAnsi="宋体" w:cs="仿宋"/>
          <w:color w:val="auto"/>
          <w:spacing w:val="10"/>
          <w:szCs w:val="32"/>
          <w:u w:val="none"/>
        </w:rPr>
        <w:t xml:space="preserve">    6.</w:t>
      </w:r>
      <w:r>
        <w:rPr>
          <w:rFonts w:hint="eastAsia" w:ascii="宋体" w:hAnsi="宋体" w:cs="仿宋"/>
          <w:snapToGrid w:val="0"/>
          <w:color w:val="auto"/>
          <w:spacing w:val="10"/>
          <w:szCs w:val="32"/>
          <w:u w:val="none"/>
        </w:rPr>
        <w:t>综合评价</w:t>
      </w:r>
      <w:r>
        <w:rPr>
          <w:rFonts w:hint="eastAsia" w:ascii="宋体" w:hAnsi="宋体" w:cs="仿宋"/>
          <w:color w:val="auto"/>
          <w:spacing w:val="10"/>
          <w:szCs w:val="32"/>
          <w:u w:val="none"/>
        </w:rPr>
        <w:t>（</w:t>
      </w:r>
      <w:r>
        <w:rPr>
          <w:rFonts w:hint="eastAsia" w:ascii="宋体" w:hAnsi="宋体" w:cs="仿宋"/>
          <w:snapToGrid w:val="0"/>
          <w:color w:val="auto"/>
          <w:spacing w:val="10"/>
          <w:szCs w:val="32"/>
          <w:u w:val="none"/>
        </w:rPr>
        <w:t>分值5分)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snapToGrid w:val="0"/>
          <w:color w:val="auto"/>
          <w:spacing w:val="10"/>
          <w:szCs w:val="32"/>
          <w:u w:val="none"/>
        </w:rPr>
      </w:pPr>
      <w:r>
        <w:rPr>
          <w:rFonts w:hint="eastAsia" w:ascii="宋体" w:hAnsi="宋体" w:cs="仿宋"/>
          <w:snapToGrid w:val="0"/>
          <w:color w:val="auto"/>
          <w:spacing w:val="10"/>
          <w:szCs w:val="32"/>
          <w:u w:val="none"/>
        </w:rPr>
        <w:t>（</w:t>
      </w:r>
      <w:r>
        <w:rPr>
          <w:rFonts w:hint="eastAsia" w:ascii="宋体" w:hAnsi="宋体" w:cs="宋体"/>
          <w:snapToGrid w:val="0"/>
          <w:color w:val="auto"/>
          <w:spacing w:val="10"/>
          <w:szCs w:val="32"/>
          <w:u w:val="none"/>
        </w:rPr>
        <w:t>1</w:t>
      </w:r>
      <w:r>
        <w:rPr>
          <w:rFonts w:hint="eastAsia" w:ascii="宋体" w:hAnsi="宋体" w:cs="仿宋"/>
          <w:snapToGrid w:val="0"/>
          <w:color w:val="auto"/>
          <w:spacing w:val="10"/>
          <w:szCs w:val="32"/>
          <w:u w:val="none"/>
        </w:rPr>
        <w:t>）市委市政府综合评价(分值</w:t>
      </w:r>
      <w:r>
        <w:rPr>
          <w:rFonts w:hint="eastAsia" w:ascii="宋体" w:hAnsi="宋体" w:cs="宋体"/>
          <w:snapToGrid w:val="0"/>
          <w:color w:val="auto"/>
          <w:spacing w:val="10"/>
          <w:szCs w:val="32"/>
          <w:u w:val="none"/>
        </w:rPr>
        <w:t>5</w:t>
      </w:r>
      <w:r>
        <w:rPr>
          <w:rFonts w:hint="eastAsia" w:ascii="宋体" w:hAnsi="宋体" w:cs="仿宋"/>
          <w:snapToGrid w:val="0"/>
          <w:color w:val="auto"/>
          <w:spacing w:val="10"/>
          <w:szCs w:val="32"/>
          <w:u w:val="none"/>
        </w:rPr>
        <w:t>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snapToGrid w:val="0"/>
          <w:color w:val="auto"/>
          <w:spacing w:val="10"/>
          <w:szCs w:val="32"/>
          <w:u w:val="none"/>
        </w:rPr>
      </w:pPr>
      <w:r>
        <w:rPr>
          <w:rFonts w:hint="eastAsia" w:ascii="宋体" w:hAnsi="宋体" w:cs="仿宋_GB2312"/>
          <w:snapToGrid w:val="0"/>
          <w:color w:val="auto"/>
          <w:spacing w:val="10"/>
          <w:szCs w:val="32"/>
          <w:u w:val="none"/>
        </w:rPr>
        <w:t>由市委市政府主要领导牵头对市直各单位工作推进情况进行综合评价计分。</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
          <w:snapToGrid w:val="0"/>
          <w:color w:val="auto"/>
          <w:spacing w:val="10"/>
          <w:szCs w:val="32"/>
          <w:u w:val="none"/>
        </w:rPr>
      </w:pPr>
      <w:r>
        <w:rPr>
          <w:rFonts w:hint="eastAsia" w:ascii="宋体" w:hAnsi="宋体" w:cs="仿宋"/>
          <w:snapToGrid w:val="0"/>
          <w:color w:val="auto"/>
          <w:spacing w:val="10"/>
          <w:szCs w:val="32"/>
          <w:u w:val="none"/>
        </w:rPr>
        <w:t>（</w:t>
      </w:r>
      <w:r>
        <w:rPr>
          <w:rFonts w:hint="eastAsia" w:ascii="宋体" w:hAnsi="宋体" w:cs="宋体"/>
          <w:snapToGrid w:val="0"/>
          <w:color w:val="auto"/>
          <w:spacing w:val="10"/>
          <w:szCs w:val="32"/>
          <w:u w:val="none"/>
        </w:rPr>
        <w:t>2</w:t>
      </w:r>
      <w:r>
        <w:rPr>
          <w:rFonts w:hint="eastAsia" w:ascii="宋体" w:hAnsi="宋体" w:cs="仿宋"/>
          <w:snapToGrid w:val="0"/>
          <w:color w:val="auto"/>
          <w:spacing w:val="10"/>
          <w:szCs w:val="32"/>
          <w:u w:val="none"/>
        </w:rPr>
        <w:t>）对活动弄虚作假进行惩戒</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r>
        <w:rPr>
          <w:rFonts w:hint="eastAsia" w:ascii="宋体" w:hAnsi="宋体" w:cs="仿宋_GB2312"/>
          <w:color w:val="auto"/>
          <w:spacing w:val="10"/>
          <w:szCs w:val="32"/>
          <w:u w:val="none"/>
        </w:rPr>
        <w:t>对在“五比五晒”推进高质量发展活动中弄虚作假的，一经核实实行一票否决并问责。</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r>
        <w:rPr>
          <w:rFonts w:hint="eastAsia" w:ascii="宋体" w:hAnsi="宋体"/>
          <w:snapToGrid w:val="0"/>
          <w:color w:val="auto"/>
          <w:spacing w:val="10"/>
          <w:szCs w:val="32"/>
          <w:u w:val="none"/>
        </w:rPr>
        <w:t>（三）第三组考评内容</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snapToGrid w:val="0"/>
          <w:color w:val="auto"/>
          <w:spacing w:val="10"/>
          <w:szCs w:val="32"/>
          <w:u w:val="none"/>
        </w:rPr>
      </w:pPr>
      <w:r>
        <w:rPr>
          <w:rFonts w:hint="eastAsia" w:ascii="宋体" w:hAnsi="宋体" w:cs="仿宋_GB2312"/>
          <w:color w:val="auto"/>
          <w:spacing w:val="10"/>
          <w:szCs w:val="32"/>
          <w:u w:val="none"/>
        </w:rPr>
        <w:t>以经济、项目为主要考评指标，具体考评办法另行制定。</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eastAsia="黑体" w:cs="黑体"/>
          <w:snapToGrid w:val="0"/>
          <w:color w:val="auto"/>
          <w:spacing w:val="10"/>
          <w:szCs w:val="32"/>
          <w:u w:val="none"/>
        </w:rPr>
      </w:pPr>
      <w:r>
        <w:rPr>
          <w:rFonts w:hint="eastAsia" w:ascii="宋体" w:hAnsi="宋体" w:eastAsia="黑体" w:cs="黑体"/>
          <w:bCs/>
          <w:snapToGrid w:val="0"/>
          <w:color w:val="auto"/>
          <w:spacing w:val="10"/>
          <w:szCs w:val="32"/>
          <w:u w:val="none"/>
        </w:rPr>
        <w:t>三、考评组织</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snapToGrid w:val="0"/>
          <w:color w:val="auto"/>
          <w:spacing w:val="10"/>
          <w:szCs w:val="32"/>
          <w:u w:val="none"/>
        </w:rPr>
      </w:pPr>
      <w:r>
        <w:rPr>
          <w:rFonts w:hint="eastAsia" w:ascii="宋体" w:hAnsi="宋体" w:eastAsia="楷体_GB2312" w:cs="楷体"/>
          <w:bCs/>
          <w:snapToGrid w:val="0"/>
          <w:color w:val="auto"/>
          <w:spacing w:val="10"/>
          <w:szCs w:val="32"/>
          <w:u w:val="none"/>
        </w:rPr>
        <w:t>（一）考评程序。</w:t>
      </w:r>
      <w:r>
        <w:rPr>
          <w:rFonts w:hint="eastAsia" w:ascii="宋体" w:hAnsi="宋体"/>
          <w:snapToGrid w:val="0"/>
          <w:color w:val="auto"/>
          <w:spacing w:val="10"/>
          <w:szCs w:val="32"/>
          <w:u w:val="none"/>
        </w:rPr>
        <w:t>考评单位按照职责分工，每季度将</w:t>
      </w:r>
      <w:r>
        <w:rPr>
          <w:rFonts w:hint="eastAsia" w:ascii="宋体" w:hAnsi="宋体" w:cs="仿宋_GB2312"/>
          <w:color w:val="auto"/>
          <w:spacing w:val="10"/>
          <w:szCs w:val="32"/>
          <w:u w:val="none"/>
        </w:rPr>
        <w:t>市直各单位分项</w:t>
      </w:r>
      <w:r>
        <w:rPr>
          <w:rFonts w:hint="eastAsia" w:ascii="宋体" w:hAnsi="宋体"/>
          <w:snapToGrid w:val="0"/>
          <w:color w:val="auto"/>
          <w:spacing w:val="10"/>
          <w:szCs w:val="32"/>
          <w:u w:val="none"/>
        </w:rPr>
        <w:t>工作推进</w:t>
      </w:r>
      <w:r>
        <w:rPr>
          <w:rFonts w:hint="eastAsia" w:ascii="宋体" w:hAnsi="宋体" w:cs="仿宋_GB2312"/>
          <w:color w:val="auto"/>
          <w:spacing w:val="10"/>
          <w:szCs w:val="32"/>
          <w:u w:val="none"/>
        </w:rPr>
        <w:t>情况报送市活动领导小组办公室汇总，</w:t>
      </w:r>
      <w:r>
        <w:rPr>
          <w:rFonts w:hint="eastAsia" w:ascii="宋体" w:hAnsi="宋体"/>
          <w:snapToGrid w:val="0"/>
          <w:color w:val="auto"/>
          <w:spacing w:val="10"/>
          <w:szCs w:val="32"/>
          <w:u w:val="none"/>
        </w:rPr>
        <w:t>半年进行一次初评。年终进行总评，单项工作考评由牵头单位负责，汇总审核工作由市委督查室牵头负责，结果报市委、市政府研究确定。</w:t>
      </w:r>
    </w:p>
    <w:p>
      <w:pPr>
        <w:widowControl w:val="0"/>
        <w:wordWrap/>
        <w:adjustRightInd/>
        <w:snapToGrid/>
        <w:spacing w:before="0" w:after="0" w:line="560" w:lineRule="exact"/>
        <w:ind w:left="0" w:leftChars="0" w:right="0" w:firstLine="630"/>
        <w:textAlignment w:val="auto"/>
        <w:outlineLvl w:val="9"/>
        <w:rPr>
          <w:rFonts w:hint="eastAsia" w:ascii="宋体" w:hAnsi="宋体" w:eastAsia="仿宋" w:cs="仿宋"/>
          <w:snapToGrid w:val="0"/>
          <w:color w:val="auto"/>
          <w:spacing w:val="10"/>
          <w:szCs w:val="32"/>
          <w:u w:val="none"/>
        </w:rPr>
      </w:pPr>
      <w:r>
        <w:rPr>
          <w:rFonts w:hint="eastAsia" w:ascii="宋体" w:hAnsi="宋体" w:eastAsia="楷体_GB2312" w:cs="楷体"/>
          <w:bCs/>
          <w:snapToGrid w:val="0"/>
          <w:color w:val="auto"/>
          <w:spacing w:val="10"/>
          <w:szCs w:val="32"/>
          <w:u w:val="none"/>
        </w:rPr>
        <w:t>（二）奖项设置。</w:t>
      </w:r>
      <w:r>
        <w:rPr>
          <w:rFonts w:hint="eastAsia" w:ascii="宋体" w:hAnsi="宋体" w:eastAsia="仿宋" w:cs="仿宋"/>
          <w:color w:val="auto"/>
          <w:spacing w:val="10"/>
          <w:szCs w:val="32"/>
          <w:u w:val="none"/>
        </w:rPr>
        <w:t>市直第一组、第二组共表彰</w:t>
      </w:r>
      <w:r>
        <w:rPr>
          <w:rFonts w:hint="eastAsia" w:ascii="宋体" w:hAnsi="宋体" w:eastAsia="宋体" w:cs="宋体"/>
          <w:color w:val="auto"/>
          <w:spacing w:val="10"/>
          <w:szCs w:val="32"/>
          <w:u w:val="none"/>
        </w:rPr>
        <w:t>16</w:t>
      </w:r>
      <w:r>
        <w:rPr>
          <w:rFonts w:hint="eastAsia" w:ascii="宋体" w:hAnsi="宋体" w:eastAsia="仿宋" w:cs="仿宋"/>
          <w:color w:val="auto"/>
          <w:spacing w:val="10"/>
          <w:szCs w:val="32"/>
          <w:u w:val="none"/>
        </w:rPr>
        <w:t>名（按照分数高低，其中第一组表彰前</w:t>
      </w:r>
      <w:r>
        <w:rPr>
          <w:rFonts w:hint="eastAsia" w:ascii="宋体" w:hAnsi="宋体" w:eastAsia="宋体" w:cs="宋体"/>
          <w:color w:val="auto"/>
          <w:spacing w:val="10"/>
          <w:szCs w:val="32"/>
          <w:u w:val="none"/>
        </w:rPr>
        <w:t>9</w:t>
      </w:r>
      <w:r>
        <w:rPr>
          <w:rFonts w:hint="eastAsia" w:ascii="宋体" w:hAnsi="宋体" w:eastAsia="仿宋" w:cs="仿宋"/>
          <w:color w:val="auto"/>
          <w:spacing w:val="10"/>
          <w:szCs w:val="32"/>
          <w:u w:val="none"/>
        </w:rPr>
        <w:t>名，第二组表彰前</w:t>
      </w:r>
      <w:r>
        <w:rPr>
          <w:rFonts w:hint="eastAsia" w:ascii="宋体" w:hAnsi="宋体" w:eastAsia="宋体" w:cs="宋体"/>
          <w:color w:val="auto"/>
          <w:spacing w:val="10"/>
          <w:szCs w:val="32"/>
          <w:u w:val="none"/>
        </w:rPr>
        <w:t>7</w:t>
      </w:r>
      <w:r>
        <w:rPr>
          <w:rFonts w:hint="eastAsia" w:ascii="宋体" w:hAnsi="宋体" w:eastAsia="仿宋" w:cs="仿宋"/>
          <w:color w:val="auto"/>
          <w:spacing w:val="10"/>
          <w:szCs w:val="32"/>
          <w:u w:val="none"/>
        </w:rPr>
        <w:t>名）。同时，</w:t>
      </w:r>
      <w:r>
        <w:rPr>
          <w:rFonts w:hint="eastAsia" w:ascii="宋体" w:hAnsi="宋体" w:eastAsia="仿宋" w:cs="仿宋"/>
          <w:snapToGrid w:val="0"/>
          <w:color w:val="auto"/>
          <w:spacing w:val="10"/>
          <w:szCs w:val="32"/>
          <w:u w:val="none"/>
        </w:rPr>
        <w:t>对表现突出、成效显著的先进个人予以记功、嘉奖。</w:t>
      </w:r>
    </w:p>
    <w:p>
      <w:pPr>
        <w:widowControl w:val="0"/>
        <w:wordWrap/>
        <w:adjustRightInd/>
        <w:snapToGrid/>
        <w:spacing w:before="0" w:after="0" w:line="560" w:lineRule="exact"/>
        <w:ind w:left="0" w:leftChars="0" w:right="0" w:firstLine="662" w:firstLineChars="200"/>
        <w:textAlignment w:val="auto"/>
        <w:outlineLvl w:val="9"/>
        <w:rPr>
          <w:rFonts w:ascii="宋体" w:hAnsi="宋体" w:cs="仿宋_GB2312"/>
          <w:color w:val="auto"/>
          <w:spacing w:val="10"/>
          <w:szCs w:val="32"/>
          <w:u w:val="none"/>
        </w:rPr>
      </w:pPr>
      <w:r>
        <w:rPr>
          <w:rFonts w:hint="eastAsia" w:ascii="宋体" w:hAnsi="宋体" w:eastAsia="楷体_GB2312" w:cs="楷体"/>
          <w:bCs/>
          <w:snapToGrid w:val="0"/>
          <w:color w:val="auto"/>
          <w:spacing w:val="10"/>
          <w:szCs w:val="32"/>
          <w:u w:val="none"/>
        </w:rPr>
        <w:t>（三）</w:t>
      </w:r>
      <w:r>
        <w:rPr>
          <w:rFonts w:hint="eastAsia" w:ascii="宋体" w:hAnsi="宋体" w:cs="仿宋_GB2312"/>
          <w:color w:val="auto"/>
          <w:spacing w:val="10"/>
          <w:szCs w:val="32"/>
          <w:u w:val="none"/>
        </w:rPr>
        <w:t>相关考评细化方案由各牵头部门制定，于今年4月底前将报市委办审核认可。</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eastAsia="黑体" w:cs="黑体"/>
          <w:color w:val="auto"/>
          <w:spacing w:val="10"/>
          <w:szCs w:val="32"/>
          <w:u w:val="none"/>
        </w:rPr>
      </w:pPr>
      <w:r>
        <w:rPr>
          <w:rFonts w:hint="eastAsia" w:ascii="宋体" w:hAnsi="宋体" w:eastAsia="黑体" w:cs="黑体"/>
          <w:color w:val="auto"/>
          <w:spacing w:val="10"/>
          <w:szCs w:val="32"/>
          <w:u w:val="none"/>
        </w:rPr>
        <w:t>四、考评结果应用</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eastAsia="仿宋" w:cs="仿宋"/>
          <w:color w:val="auto"/>
          <w:spacing w:val="10"/>
          <w:szCs w:val="32"/>
          <w:u w:val="none"/>
        </w:rPr>
      </w:pPr>
      <w:r>
        <w:rPr>
          <w:rFonts w:hint="eastAsia" w:ascii="宋体" w:hAnsi="宋体" w:eastAsia="仿宋" w:cs="仿宋"/>
          <w:color w:val="auto"/>
          <w:spacing w:val="10"/>
          <w:szCs w:val="32"/>
          <w:u w:val="none"/>
        </w:rPr>
        <w:t>考评结果作为评价部门（单位）工作成效和年度绩效考评的主要依据。同时，对年终考评获得第一组前</w:t>
      </w:r>
      <w:r>
        <w:rPr>
          <w:rFonts w:hint="eastAsia" w:ascii="宋体" w:hAnsi="宋体" w:eastAsia="宋体" w:cs="宋体"/>
          <w:color w:val="auto"/>
          <w:spacing w:val="10"/>
          <w:szCs w:val="32"/>
          <w:u w:val="none"/>
        </w:rPr>
        <w:t>4</w:t>
      </w:r>
      <w:r>
        <w:rPr>
          <w:rFonts w:hint="eastAsia" w:ascii="宋体" w:hAnsi="宋体" w:eastAsia="仿宋" w:cs="仿宋"/>
          <w:color w:val="auto"/>
          <w:spacing w:val="10"/>
          <w:szCs w:val="32"/>
          <w:u w:val="none"/>
        </w:rPr>
        <w:t>名、第二组前</w:t>
      </w:r>
      <w:r>
        <w:rPr>
          <w:rFonts w:hint="eastAsia" w:ascii="宋体" w:hAnsi="宋体" w:eastAsia="宋体" w:cs="宋体"/>
          <w:color w:val="auto"/>
          <w:spacing w:val="10"/>
          <w:szCs w:val="32"/>
          <w:u w:val="none"/>
        </w:rPr>
        <w:t>3</w:t>
      </w:r>
      <w:r>
        <w:rPr>
          <w:rFonts w:hint="eastAsia" w:ascii="宋体" w:hAnsi="宋体" w:eastAsia="仿宋" w:cs="仿宋"/>
          <w:color w:val="auto"/>
          <w:spacing w:val="10"/>
          <w:szCs w:val="32"/>
          <w:u w:val="none"/>
        </w:rPr>
        <w:t>名的市直单位，各增加年度考核优秀指标</w:t>
      </w:r>
      <w:r>
        <w:rPr>
          <w:rFonts w:hint="eastAsia" w:ascii="宋体" w:hAnsi="宋体" w:eastAsia="宋体" w:cs="宋体"/>
          <w:color w:val="auto"/>
          <w:spacing w:val="10"/>
          <w:szCs w:val="32"/>
          <w:u w:val="none"/>
        </w:rPr>
        <w:t>1</w:t>
      </w:r>
      <w:r>
        <w:rPr>
          <w:rFonts w:hint="eastAsia" w:ascii="宋体" w:hAnsi="宋体" w:eastAsia="仿宋" w:cs="仿宋"/>
          <w:color w:val="auto"/>
          <w:spacing w:val="10"/>
          <w:szCs w:val="32"/>
          <w:u w:val="none"/>
        </w:rPr>
        <w:t>-</w:t>
      </w:r>
      <w:r>
        <w:rPr>
          <w:rFonts w:hint="eastAsia" w:ascii="宋体" w:hAnsi="宋体" w:eastAsia="宋体" w:cs="宋体"/>
          <w:color w:val="auto"/>
          <w:spacing w:val="10"/>
          <w:szCs w:val="32"/>
          <w:u w:val="none"/>
        </w:rPr>
        <w:t>2</w:t>
      </w:r>
      <w:r>
        <w:rPr>
          <w:rFonts w:hint="eastAsia" w:ascii="宋体" w:hAnsi="宋体" w:eastAsia="仿宋" w:cs="仿宋"/>
          <w:color w:val="auto"/>
          <w:spacing w:val="10"/>
          <w:szCs w:val="32"/>
          <w:u w:val="none"/>
        </w:rPr>
        <w:t>名（单位人数在</w:t>
      </w:r>
      <w:r>
        <w:rPr>
          <w:rFonts w:hint="eastAsia" w:ascii="宋体" w:hAnsi="宋体" w:eastAsia="宋体" w:cs="宋体"/>
          <w:color w:val="auto"/>
          <w:spacing w:val="10"/>
          <w:szCs w:val="32"/>
          <w:u w:val="none"/>
        </w:rPr>
        <w:t>20</w:t>
      </w:r>
      <w:r>
        <w:rPr>
          <w:rFonts w:hint="eastAsia" w:ascii="宋体" w:hAnsi="宋体" w:eastAsia="仿宋" w:cs="仿宋"/>
          <w:color w:val="auto"/>
          <w:spacing w:val="10"/>
          <w:szCs w:val="32"/>
          <w:u w:val="none"/>
        </w:rPr>
        <w:t>人以内的</w:t>
      </w:r>
      <w:r>
        <w:rPr>
          <w:rFonts w:hint="eastAsia" w:ascii="宋体" w:hAnsi="宋体" w:eastAsia="宋体" w:cs="宋体"/>
          <w:color w:val="auto"/>
          <w:spacing w:val="10"/>
          <w:szCs w:val="32"/>
          <w:u w:val="none"/>
        </w:rPr>
        <w:t>1</w:t>
      </w:r>
      <w:r>
        <w:rPr>
          <w:rFonts w:hint="eastAsia" w:ascii="宋体" w:hAnsi="宋体" w:eastAsia="仿宋" w:cs="仿宋"/>
          <w:color w:val="auto"/>
          <w:spacing w:val="10"/>
          <w:szCs w:val="32"/>
          <w:u w:val="none"/>
        </w:rPr>
        <w:t>名，</w:t>
      </w:r>
      <w:r>
        <w:rPr>
          <w:rFonts w:hint="eastAsia" w:ascii="宋体" w:hAnsi="宋体" w:eastAsia="宋体" w:cs="宋体"/>
          <w:color w:val="auto"/>
          <w:spacing w:val="10"/>
          <w:szCs w:val="32"/>
          <w:u w:val="none"/>
        </w:rPr>
        <w:t>20</w:t>
      </w:r>
      <w:r>
        <w:rPr>
          <w:rFonts w:hint="eastAsia" w:ascii="宋体" w:hAnsi="宋体" w:eastAsia="仿宋" w:cs="仿宋"/>
          <w:color w:val="auto"/>
          <w:spacing w:val="10"/>
          <w:szCs w:val="32"/>
          <w:u w:val="none"/>
        </w:rPr>
        <w:t>人以上的</w:t>
      </w:r>
      <w:r>
        <w:rPr>
          <w:rFonts w:hint="eastAsia" w:ascii="宋体" w:hAnsi="宋体" w:eastAsia="宋体" w:cs="宋体"/>
          <w:color w:val="auto"/>
          <w:spacing w:val="10"/>
          <w:szCs w:val="32"/>
          <w:u w:val="none"/>
        </w:rPr>
        <w:t>2</w:t>
      </w:r>
      <w:r>
        <w:rPr>
          <w:rFonts w:hint="eastAsia" w:ascii="宋体" w:hAnsi="宋体" w:eastAsia="仿宋" w:cs="仿宋"/>
          <w:color w:val="auto"/>
          <w:spacing w:val="10"/>
          <w:szCs w:val="32"/>
          <w:u w:val="none"/>
        </w:rPr>
        <w:t>名）；对年终考评获得第一组</w:t>
      </w:r>
      <w:r>
        <w:rPr>
          <w:rFonts w:hint="eastAsia" w:ascii="宋体" w:hAnsi="宋体" w:eastAsia="宋体" w:cs="宋体"/>
          <w:color w:val="auto"/>
          <w:spacing w:val="10"/>
          <w:szCs w:val="32"/>
          <w:u w:val="none"/>
        </w:rPr>
        <w:t>5</w:t>
      </w:r>
      <w:r>
        <w:rPr>
          <w:rFonts w:hint="eastAsia" w:ascii="宋体" w:hAnsi="宋体" w:eastAsia="仿宋" w:cs="仿宋"/>
          <w:color w:val="auto"/>
          <w:spacing w:val="10"/>
          <w:szCs w:val="32"/>
          <w:u w:val="none"/>
        </w:rPr>
        <w:t>名至</w:t>
      </w:r>
      <w:r>
        <w:rPr>
          <w:rFonts w:hint="eastAsia" w:ascii="宋体" w:hAnsi="宋体" w:eastAsia="宋体" w:cs="宋体"/>
          <w:color w:val="auto"/>
          <w:spacing w:val="10"/>
          <w:szCs w:val="32"/>
          <w:u w:val="none"/>
        </w:rPr>
        <w:t>9</w:t>
      </w:r>
      <w:r>
        <w:rPr>
          <w:rFonts w:hint="eastAsia" w:ascii="宋体" w:hAnsi="宋体" w:eastAsia="仿宋" w:cs="仿宋"/>
          <w:color w:val="auto"/>
          <w:spacing w:val="10"/>
          <w:szCs w:val="32"/>
          <w:u w:val="none"/>
        </w:rPr>
        <w:t>名、第二组</w:t>
      </w:r>
      <w:r>
        <w:rPr>
          <w:rFonts w:hint="eastAsia" w:ascii="宋体" w:hAnsi="宋体" w:eastAsia="宋体" w:cs="宋体"/>
          <w:color w:val="auto"/>
          <w:spacing w:val="10"/>
          <w:szCs w:val="32"/>
          <w:u w:val="none"/>
        </w:rPr>
        <w:t>4</w:t>
      </w:r>
      <w:r>
        <w:rPr>
          <w:rFonts w:hint="eastAsia" w:ascii="宋体" w:hAnsi="宋体" w:eastAsia="仿宋" w:cs="仿宋"/>
          <w:color w:val="auto"/>
          <w:spacing w:val="10"/>
          <w:szCs w:val="32"/>
          <w:u w:val="none"/>
        </w:rPr>
        <w:t>名至</w:t>
      </w:r>
      <w:r>
        <w:rPr>
          <w:rFonts w:hint="eastAsia" w:ascii="宋体" w:hAnsi="宋体" w:eastAsia="宋体" w:cs="宋体"/>
          <w:color w:val="auto"/>
          <w:spacing w:val="10"/>
          <w:szCs w:val="32"/>
          <w:u w:val="none"/>
        </w:rPr>
        <w:t>7</w:t>
      </w:r>
      <w:r>
        <w:rPr>
          <w:rFonts w:hint="eastAsia" w:ascii="宋体" w:hAnsi="宋体" w:eastAsia="仿宋" w:cs="仿宋"/>
          <w:color w:val="auto"/>
          <w:spacing w:val="10"/>
          <w:szCs w:val="32"/>
          <w:u w:val="none"/>
        </w:rPr>
        <w:t>名的市直单位，各增加年度考核优秀指标</w:t>
      </w:r>
      <w:r>
        <w:rPr>
          <w:rFonts w:hint="eastAsia" w:ascii="宋体" w:hAnsi="宋体" w:eastAsia="宋体" w:cs="宋体"/>
          <w:color w:val="auto"/>
          <w:spacing w:val="10"/>
          <w:szCs w:val="32"/>
          <w:u w:val="none"/>
        </w:rPr>
        <w:t>1</w:t>
      </w:r>
      <w:r>
        <w:rPr>
          <w:rFonts w:hint="eastAsia" w:ascii="宋体" w:hAnsi="宋体" w:eastAsia="仿宋" w:cs="仿宋"/>
          <w:color w:val="auto"/>
          <w:spacing w:val="10"/>
          <w:szCs w:val="32"/>
          <w:u w:val="none"/>
        </w:rPr>
        <w:t>名。</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eastAsia="黑体" w:cs="黑体"/>
          <w:color w:val="auto"/>
          <w:spacing w:val="10"/>
          <w:szCs w:val="32"/>
          <w:u w:val="none"/>
        </w:rPr>
      </w:pPr>
      <w:r>
        <w:rPr>
          <w:rFonts w:hint="eastAsia" w:ascii="宋体" w:hAnsi="宋体" w:eastAsia="黑体" w:cs="黑体"/>
          <w:color w:val="auto"/>
          <w:spacing w:val="10"/>
          <w:szCs w:val="32"/>
          <w:u w:val="none"/>
        </w:rPr>
        <w:t>五、相关说明</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r>
        <w:rPr>
          <w:rFonts w:hint="eastAsia" w:ascii="宋体" w:hAnsi="宋体" w:eastAsia="楷体_GB2312" w:cs="楷体"/>
          <w:bCs/>
          <w:snapToGrid w:val="0"/>
          <w:color w:val="auto"/>
          <w:spacing w:val="10"/>
          <w:szCs w:val="32"/>
          <w:u w:val="none"/>
        </w:rPr>
        <w:t>（一）功效系数法：</w:t>
      </w:r>
      <w:r>
        <w:rPr>
          <w:rFonts w:hint="eastAsia" w:ascii="宋体" w:hAnsi="宋体"/>
          <w:snapToGrid w:val="0"/>
          <w:color w:val="auto"/>
          <w:spacing w:val="10"/>
          <w:szCs w:val="32"/>
          <w:u w:val="none"/>
        </w:rPr>
        <w:t>本办法采用的功效系数法基础分占</w:t>
      </w:r>
      <w:r>
        <w:rPr>
          <w:rFonts w:hint="eastAsia" w:ascii="宋体" w:hAnsi="宋体" w:eastAsia="宋体" w:cs="宋体"/>
          <w:snapToGrid w:val="0"/>
          <w:color w:val="auto"/>
          <w:spacing w:val="10"/>
          <w:szCs w:val="32"/>
          <w:u w:val="none"/>
        </w:rPr>
        <w:t>60%</w:t>
      </w:r>
      <w:r>
        <w:rPr>
          <w:rFonts w:hint="eastAsia" w:ascii="宋体" w:hAnsi="宋体"/>
          <w:snapToGrid w:val="0"/>
          <w:color w:val="auto"/>
          <w:spacing w:val="10"/>
          <w:szCs w:val="32"/>
          <w:u w:val="none"/>
        </w:rPr>
        <w:t>，即</w:t>
      </w:r>
      <w:r>
        <w:rPr>
          <w:rFonts w:hint="eastAsia" w:ascii="宋体" w:hAnsi="宋体" w:cs="仿宋_GB2312"/>
          <w:color w:val="auto"/>
          <w:spacing w:val="10"/>
          <w:szCs w:val="32"/>
          <w:u w:val="none"/>
        </w:rPr>
        <w:t>某项得分=</w:t>
      </w:r>
      <w:r>
        <w:rPr>
          <w:rFonts w:hint="eastAsia" w:ascii="宋体" w:hAnsi="宋体" w:eastAsia="宋体" w:cs="宋体"/>
          <w:color w:val="auto"/>
          <w:spacing w:val="10"/>
          <w:szCs w:val="32"/>
          <w:u w:val="none"/>
        </w:rPr>
        <w:t>60%</w:t>
      </w:r>
      <w:r>
        <w:rPr>
          <w:rFonts w:hint="eastAsia" w:ascii="宋体" w:hAnsi="宋体" w:cs="仿宋_GB2312"/>
          <w:color w:val="auto"/>
          <w:spacing w:val="10"/>
          <w:szCs w:val="32"/>
          <w:u w:val="none"/>
        </w:rPr>
        <w:t>分值+［</w:t>
      </w:r>
      <w:r>
        <w:rPr>
          <w:rFonts w:hint="eastAsia" w:ascii="宋体" w:hAnsi="宋体" w:eastAsia="宋体" w:cs="宋体"/>
          <w:color w:val="auto"/>
          <w:spacing w:val="10"/>
          <w:szCs w:val="32"/>
          <w:u w:val="none"/>
        </w:rPr>
        <w:t>40%</w:t>
      </w:r>
      <w:r>
        <w:rPr>
          <w:rFonts w:hint="eastAsia" w:ascii="宋体" w:hAnsi="宋体" w:cs="仿宋_GB2312"/>
          <w:color w:val="auto"/>
          <w:spacing w:val="10"/>
          <w:szCs w:val="32"/>
          <w:u w:val="none"/>
        </w:rPr>
        <w:t>分值×（该项数值-最低数值）÷（最高数值-最低数值）］，四舍五入取小数点后两位。</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r>
        <w:rPr>
          <w:rFonts w:hint="eastAsia" w:ascii="宋体" w:hAnsi="宋体" w:eastAsia="楷体_GB2312" w:cs="楷体"/>
          <w:bCs/>
          <w:snapToGrid w:val="0"/>
          <w:color w:val="auto"/>
          <w:spacing w:val="10"/>
          <w:szCs w:val="32"/>
          <w:u w:val="none"/>
        </w:rPr>
        <w:t>（二）建设项目开工的认定标准：</w:t>
      </w:r>
      <w:r>
        <w:rPr>
          <w:rFonts w:hint="eastAsia" w:ascii="宋体" w:hAnsi="宋体" w:cs="仿宋_GB2312"/>
          <w:color w:val="auto"/>
          <w:spacing w:val="10"/>
          <w:szCs w:val="32"/>
          <w:u w:val="none"/>
        </w:rPr>
        <w:t>道路、防洪堤等线性工程项目主体土方开挖即可认定为项目开工，其它项目必须是主体基础</w:t>
      </w:r>
      <w:r>
        <w:rPr>
          <w:rFonts w:hint="eastAsia" w:ascii="宋体" w:hAnsi="宋体"/>
          <w:snapToGrid w:val="0"/>
          <w:color w:val="auto"/>
          <w:spacing w:val="10"/>
          <w:szCs w:val="32"/>
          <w:u w:val="none"/>
        </w:rPr>
        <w:t>砼体浇捣开始</w:t>
      </w:r>
      <w:r>
        <w:rPr>
          <w:rFonts w:hint="eastAsia" w:ascii="宋体" w:hAnsi="宋体" w:cs="仿宋_GB2312"/>
          <w:color w:val="auto"/>
          <w:spacing w:val="10"/>
          <w:szCs w:val="32"/>
          <w:u w:val="none"/>
        </w:rPr>
        <w:t>或桩基施工，方可认定为项目开工。</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r>
        <w:rPr>
          <w:rFonts w:hint="eastAsia" w:ascii="宋体" w:hAnsi="宋体" w:eastAsia="楷体_GB2312" w:cs="楷体"/>
          <w:bCs/>
          <w:snapToGrid w:val="0"/>
          <w:color w:val="auto"/>
          <w:spacing w:val="10"/>
          <w:szCs w:val="32"/>
          <w:u w:val="none"/>
        </w:rPr>
        <w:t>（三）引资单位的认定：</w:t>
      </w:r>
      <w:r>
        <w:rPr>
          <w:rFonts w:hint="eastAsia" w:ascii="宋体" w:hAnsi="宋体" w:cs="仿宋_GB2312"/>
          <w:color w:val="auto"/>
          <w:spacing w:val="10"/>
          <w:szCs w:val="32"/>
          <w:u w:val="none"/>
        </w:rPr>
        <w:t>一个项目上只能认定一个引资单位，市直单位的招商项目不得与县（市、区）的招商项目重复。</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r>
        <w:rPr>
          <w:rFonts w:hint="eastAsia" w:ascii="宋体" w:hAnsi="宋体" w:eastAsia="楷体_GB2312" w:cs="楷体"/>
          <w:bCs/>
          <w:snapToGrid w:val="0"/>
          <w:color w:val="auto"/>
          <w:spacing w:val="10"/>
          <w:szCs w:val="32"/>
          <w:u w:val="none"/>
        </w:rPr>
        <w:t>（四）争取特殊政策支持情况认定：</w:t>
      </w:r>
      <w:r>
        <w:rPr>
          <w:rFonts w:hint="eastAsia" w:ascii="宋体" w:hAnsi="宋体" w:cs="仿宋_GB2312"/>
          <w:color w:val="auto"/>
          <w:spacing w:val="10"/>
          <w:szCs w:val="32"/>
          <w:u w:val="none"/>
        </w:rPr>
        <w:t>以省级及以上</w:t>
      </w:r>
      <w:r>
        <w:rPr>
          <w:rFonts w:hint="eastAsia" w:ascii="宋体" w:hAnsi="宋体" w:eastAsia="宋体" w:cs="宋体"/>
          <w:color w:val="auto"/>
          <w:spacing w:val="10"/>
          <w:szCs w:val="32"/>
          <w:u w:val="none"/>
        </w:rPr>
        <w:t>2020</w:t>
      </w:r>
      <w:r>
        <w:rPr>
          <w:rFonts w:hint="eastAsia" w:ascii="宋体" w:hAnsi="宋体" w:cs="仿宋_GB2312"/>
          <w:color w:val="auto"/>
          <w:spacing w:val="10"/>
          <w:szCs w:val="32"/>
          <w:u w:val="none"/>
        </w:rPr>
        <w:t>年度下发单独针对我市的政策文件为依据。</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r>
        <w:rPr>
          <w:rFonts w:hint="eastAsia" w:ascii="宋体" w:hAnsi="宋体" w:eastAsia="楷体_GB2312" w:cs="楷体"/>
          <w:bCs/>
          <w:snapToGrid w:val="0"/>
          <w:color w:val="auto"/>
          <w:spacing w:val="10"/>
          <w:szCs w:val="32"/>
          <w:u w:val="none"/>
        </w:rPr>
        <w:t>（五）典型支持情况认定：</w:t>
      </w:r>
      <w:r>
        <w:rPr>
          <w:rFonts w:hint="eastAsia" w:ascii="宋体" w:hAnsi="宋体" w:cs="仿宋_GB2312"/>
          <w:color w:val="auto"/>
          <w:spacing w:val="10"/>
          <w:szCs w:val="32"/>
          <w:u w:val="none"/>
        </w:rPr>
        <w:t>以省级及以上</w:t>
      </w:r>
      <w:r>
        <w:rPr>
          <w:rFonts w:hint="eastAsia" w:ascii="宋体" w:hAnsi="宋体" w:eastAsia="宋体" w:cs="宋体"/>
          <w:color w:val="auto"/>
          <w:spacing w:val="10"/>
          <w:szCs w:val="32"/>
          <w:u w:val="none"/>
        </w:rPr>
        <w:t>2020</w:t>
      </w:r>
      <w:r>
        <w:rPr>
          <w:rFonts w:hint="eastAsia" w:ascii="宋体" w:hAnsi="宋体" w:cs="仿宋_GB2312"/>
          <w:color w:val="auto"/>
          <w:spacing w:val="10"/>
          <w:szCs w:val="32"/>
          <w:u w:val="none"/>
        </w:rPr>
        <w:t>年下发的正式文件或印发的通报和省级及以上刊发的典型材料为依据。〔注：普惠制试点或示范指全省</w:t>
      </w:r>
      <w:r>
        <w:rPr>
          <w:rFonts w:hint="eastAsia" w:ascii="宋体" w:hAnsi="宋体" w:eastAsia="宋体" w:cs="宋体"/>
          <w:color w:val="auto"/>
          <w:spacing w:val="10"/>
          <w:szCs w:val="32"/>
          <w:u w:val="none"/>
        </w:rPr>
        <w:t>5</w:t>
      </w:r>
      <w:r>
        <w:rPr>
          <w:rFonts w:hint="eastAsia" w:ascii="宋体" w:hAnsi="宋体" w:cs="仿宋_GB2312"/>
          <w:color w:val="auto"/>
          <w:spacing w:val="10"/>
          <w:szCs w:val="32"/>
          <w:u w:val="none"/>
        </w:rPr>
        <w:t>个（含</w:t>
      </w:r>
      <w:r>
        <w:rPr>
          <w:rFonts w:hint="eastAsia" w:ascii="宋体" w:hAnsi="宋体" w:eastAsia="宋体" w:cs="宋体"/>
          <w:color w:val="auto"/>
          <w:spacing w:val="10"/>
          <w:szCs w:val="32"/>
          <w:u w:val="none"/>
        </w:rPr>
        <w:t>5</w:t>
      </w:r>
      <w:r>
        <w:rPr>
          <w:rFonts w:hint="eastAsia" w:ascii="宋体" w:hAnsi="宋体" w:cs="仿宋_GB2312"/>
          <w:color w:val="auto"/>
          <w:spacing w:val="10"/>
          <w:szCs w:val="32"/>
          <w:u w:val="none"/>
        </w:rPr>
        <w:t>个）以上设区市均有获得的试点或示范。〕</w:t>
      </w:r>
    </w:p>
    <w:p>
      <w:pPr>
        <w:widowControl w:val="0"/>
        <w:wordWrap/>
        <w:adjustRightInd/>
        <w:snapToGrid/>
        <w:spacing w:before="0" w:after="0" w:line="560" w:lineRule="exact"/>
        <w:ind w:left="0" w:leftChars="0" w:right="0" w:firstLine="662" w:firstLineChars="200"/>
        <w:textAlignment w:val="auto"/>
        <w:outlineLvl w:val="9"/>
        <w:rPr>
          <w:rFonts w:hint="eastAsia" w:ascii="宋体" w:hAnsi="宋体" w:cs="仿宋_GB2312"/>
          <w:color w:val="auto"/>
          <w:spacing w:val="10"/>
          <w:szCs w:val="32"/>
          <w:u w:val="none"/>
        </w:rPr>
      </w:pP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eastAsia="zh-CN"/>
        </w:rPr>
      </w:pPr>
      <w:r>
        <w:rPr>
          <w:rFonts w:hint="eastAsia" w:ascii="宋体" w:hAnsi="宋体" w:cs="仿宋_GB2312"/>
          <w:color w:val="auto"/>
          <w:spacing w:val="10"/>
          <w:szCs w:val="32"/>
          <w:u w:val="none"/>
          <w:lang w:val="en-US" w:eastAsia="zh-CN"/>
        </w:rPr>
        <w:t>附件：2-1.</w:t>
      </w:r>
      <w:r>
        <w:rPr>
          <w:rFonts w:hint="eastAsia" w:ascii="宋体" w:hAnsi="宋体" w:cs="仿宋_GB2312"/>
          <w:color w:val="auto"/>
          <w:spacing w:val="10"/>
          <w:szCs w:val="32"/>
          <w:u w:val="none"/>
          <w:lang w:eastAsia="zh-CN"/>
        </w:rPr>
        <w:t>为基层减负考评细化方案</w:t>
      </w: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2-2.“e三明”办理情况考评细化方案</w:t>
      </w: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2-3.整治形式主义和官僚主义负面清单、履职尽 </w:t>
      </w: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责和服务保障“五比五晒”活动、政策争取考</w:t>
      </w: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评细化方案</w:t>
      </w: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2-4.资金争取考评细化方案</w:t>
      </w: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2-5.招商引资考评细化方案</w:t>
      </w: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2-6.项目审批服务和提升服务质量、服务对象评 </w:t>
      </w: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议考评细化方案</w:t>
      </w:r>
    </w:p>
    <w:p>
      <w:pPr>
        <w:wordWrap/>
        <w:adjustRightInd/>
        <w:snapToGrid/>
        <w:spacing w:before="0" w:after="0" w:line="540" w:lineRule="exact"/>
        <w:ind w:right="0" w:firstLine="662" w:firstLineChars="200"/>
        <w:jc w:val="both"/>
        <w:textAlignment w:val="auto"/>
        <w:outlineLvl w:val="9"/>
        <w:rPr>
          <w:rFonts w:hint="eastAsia"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2-7.市直单位考评分组</w:t>
      </w:r>
    </w:p>
    <w:p>
      <w:pPr>
        <w:wordWrap/>
        <w:adjustRightInd/>
        <w:snapToGrid/>
        <w:spacing w:before="0" w:after="0" w:line="540" w:lineRule="exact"/>
        <w:ind w:right="0" w:firstLine="662" w:firstLineChars="200"/>
        <w:jc w:val="both"/>
        <w:textAlignment w:val="auto"/>
        <w:outlineLvl w:val="9"/>
        <w:rPr>
          <w:rFonts w:hint="default" w:ascii="宋体" w:hAnsi="宋体" w:cs="仿宋_GB2312"/>
          <w:color w:val="auto"/>
          <w:spacing w:val="10"/>
          <w:szCs w:val="32"/>
          <w:u w:val="none"/>
          <w:lang w:val="en-US" w:eastAsia="zh-CN"/>
        </w:rPr>
      </w:pPr>
      <w:r>
        <w:rPr>
          <w:rFonts w:hint="eastAsia" w:ascii="宋体" w:hAnsi="宋体" w:cs="仿宋_GB2312"/>
          <w:color w:val="auto"/>
          <w:spacing w:val="10"/>
          <w:szCs w:val="32"/>
          <w:u w:val="none"/>
          <w:lang w:val="en-US" w:eastAsia="zh-CN"/>
        </w:rPr>
        <w:t xml:space="preserve">     2-8.市直单位经济指标考评表</w:t>
      </w:r>
    </w:p>
    <w:p>
      <w:pPr>
        <w:wordWrap/>
        <w:adjustRightInd/>
        <w:snapToGrid/>
        <w:spacing w:before="0" w:after="0" w:line="540" w:lineRule="exact"/>
        <w:ind w:left="2217" w:leftChars="500" w:right="0" w:hanging="662" w:hangingChars="200"/>
        <w:jc w:val="both"/>
        <w:textAlignment w:val="auto"/>
        <w:outlineLvl w:val="9"/>
        <w:rPr>
          <w:rFonts w:hint="default" w:ascii="宋体" w:hAnsi="宋体" w:cs="仿宋_GB2312"/>
          <w:color w:val="auto"/>
          <w:spacing w:val="10"/>
          <w:szCs w:val="32"/>
          <w:u w:val="none"/>
          <w:lang w:val="en-US" w:eastAsia="zh-CN"/>
        </w:rPr>
      </w:pPr>
    </w:p>
    <w:p>
      <w:pPr>
        <w:wordWrap/>
        <w:adjustRightInd/>
        <w:snapToGrid/>
        <w:spacing w:before="0" w:after="0" w:line="540" w:lineRule="exact"/>
        <w:ind w:left="2217" w:leftChars="500" w:right="0" w:hanging="662" w:hangingChars="200"/>
        <w:jc w:val="both"/>
        <w:textAlignment w:val="auto"/>
        <w:outlineLvl w:val="9"/>
        <w:rPr>
          <w:rFonts w:hint="default" w:ascii="宋体" w:hAnsi="宋体" w:cs="仿宋_GB2312"/>
          <w:color w:val="auto"/>
          <w:spacing w:val="10"/>
          <w:szCs w:val="32"/>
          <w:u w:val="none"/>
          <w:lang w:val="en-US" w:eastAsia="zh-CN"/>
        </w:rPr>
      </w:pPr>
    </w:p>
    <w:p>
      <w:pPr>
        <w:wordWrap/>
        <w:adjustRightInd/>
        <w:snapToGrid/>
        <w:spacing w:before="0" w:after="0" w:line="540" w:lineRule="exact"/>
        <w:ind w:left="0" w:leftChars="0" w:right="0" w:firstLine="2648" w:firstLineChars="800"/>
        <w:jc w:val="both"/>
        <w:textAlignment w:val="auto"/>
        <w:outlineLvl w:val="9"/>
        <w:rPr>
          <w:rFonts w:hint="default" w:ascii="宋体" w:hAnsi="宋体" w:cs="仿宋_GB2312"/>
          <w:color w:val="auto"/>
          <w:spacing w:val="10"/>
          <w:szCs w:val="32"/>
          <w:u w:val="none"/>
          <w:lang w:val="en-US" w:eastAsia="zh-CN"/>
        </w:rPr>
      </w:pPr>
    </w:p>
    <w:p>
      <w:pPr>
        <w:widowControl w:val="0"/>
        <w:wordWrap/>
        <w:adjustRightInd/>
        <w:snapToGrid/>
        <w:spacing w:before="0" w:after="0" w:line="560" w:lineRule="exact"/>
        <w:ind w:left="0" w:leftChars="0" w:right="0" w:firstLine="662" w:firstLineChars="200"/>
        <w:textAlignment w:val="auto"/>
        <w:outlineLvl w:val="9"/>
        <w:rPr>
          <w:rFonts w:hint="default" w:ascii="宋体" w:hAnsi="宋体" w:eastAsia="仿宋_GB2312" w:cs="仿宋_GB2312"/>
          <w:color w:val="auto"/>
          <w:spacing w:val="10"/>
          <w:szCs w:val="32"/>
          <w:u w:val="none"/>
          <w:lang w:val="en-US" w:eastAsia="zh-CN"/>
        </w:rPr>
      </w:pPr>
    </w:p>
    <w:p>
      <w:pPr>
        <w:widowControl w:val="0"/>
        <w:wordWrap/>
        <w:adjustRightInd/>
        <w:snapToGrid/>
        <w:spacing w:before="0" w:after="0" w:line="560" w:lineRule="exact"/>
        <w:ind w:left="0" w:leftChars="0" w:right="0"/>
        <w:textAlignment w:val="auto"/>
        <w:outlineLvl w:val="9"/>
        <w:rPr>
          <w:rFonts w:hint="eastAsia" w:ascii="宋体" w:hAnsi="宋体"/>
          <w:color w:val="auto"/>
          <w:spacing w:val="10"/>
          <w:szCs w:val="32"/>
          <w:u w:val="none"/>
        </w:rPr>
      </w:pPr>
    </w:p>
    <w:p>
      <w:pPr>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p>
    <w:p>
      <w:pPr>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p>
    <w:p>
      <w:pPr>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p>
    <w:p>
      <w:pPr>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p>
    <w:p>
      <w:pPr>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p>
    <w:p>
      <w:pPr>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p>
    <w:p>
      <w:pPr>
        <w:wordWrap/>
        <w:adjustRightInd/>
        <w:snapToGrid/>
        <w:spacing w:before="0" w:after="0" w:line="540" w:lineRule="exact"/>
        <w:ind w:left="0" w:leftChars="0" w:right="0"/>
        <w:jc w:val="both"/>
        <w:textAlignment w:val="auto"/>
        <w:outlineLvl w:val="9"/>
        <w:rPr>
          <w:rFonts w:hint="eastAsia" w:ascii="方正小标宋简体" w:hAnsi="方正小标宋简体" w:eastAsia="方正小标宋简体" w:cs="方正小标宋简体"/>
          <w:color w:val="auto"/>
          <w:sz w:val="44"/>
          <w:szCs w:val="44"/>
          <w:u w:val="none"/>
          <w:lang w:eastAsia="zh-CN"/>
        </w:rPr>
      </w:pPr>
    </w:p>
    <w:p>
      <w:pPr>
        <w:wordWrap/>
        <w:adjustRightInd/>
        <w:snapToGrid/>
        <w:spacing w:before="0" w:after="0" w:line="540" w:lineRule="exact"/>
        <w:ind w:left="0" w:leftChars="0" w:right="0"/>
        <w:jc w:val="left"/>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2-1</w:t>
      </w:r>
    </w:p>
    <w:p>
      <w:pPr>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p>
    <w:p>
      <w:pPr>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为基层减负考评细化方案</w:t>
      </w:r>
    </w:p>
    <w:p>
      <w:pPr>
        <w:wordWrap/>
        <w:adjustRightInd/>
        <w:snapToGrid/>
        <w:spacing w:before="0" w:after="0" w:line="540" w:lineRule="exact"/>
        <w:ind w:left="0" w:leftChars="0" w:right="0"/>
        <w:jc w:val="center"/>
        <w:textAlignment w:val="auto"/>
        <w:outlineLvl w:val="9"/>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lang w:eastAsia="zh-CN"/>
        </w:rPr>
        <w:t>（考评牵头单位：市委办、市政府办）</w:t>
      </w:r>
    </w:p>
    <w:p>
      <w:pPr>
        <w:wordWrap/>
        <w:adjustRightInd/>
        <w:snapToGrid/>
        <w:spacing w:before="0" w:after="0" w:line="540" w:lineRule="exact"/>
        <w:ind w:left="0" w:leftChars="0" w:right="0"/>
        <w:jc w:val="both"/>
        <w:textAlignment w:val="auto"/>
        <w:outlineLvl w:val="9"/>
        <w:rPr>
          <w:rFonts w:hint="eastAsia" w:ascii="仿宋" w:hAnsi="仿宋" w:eastAsia="仿宋" w:cs="仿宋"/>
          <w:color w:val="auto"/>
          <w:sz w:val="32"/>
          <w:szCs w:val="32"/>
          <w:u w:val="none"/>
          <w:lang w:eastAsia="zh-CN"/>
        </w:rPr>
      </w:pPr>
    </w:p>
    <w:p>
      <w:pPr>
        <w:wordWrap/>
        <w:adjustRightInd/>
        <w:snapToGrid/>
        <w:spacing w:before="0" w:after="0" w:line="540" w:lineRule="exact"/>
        <w:ind w:left="0" w:leftChars="0" w:right="0"/>
        <w:jc w:val="left"/>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lang w:eastAsia="zh-CN"/>
        </w:rPr>
        <w:t>一、</w:t>
      </w:r>
      <w:r>
        <w:rPr>
          <w:rFonts w:hint="eastAsia" w:ascii="黑体" w:hAnsi="黑体" w:eastAsia="黑体" w:cs="黑体"/>
          <w:color w:val="auto"/>
          <w:sz w:val="32"/>
          <w:szCs w:val="32"/>
          <w:u w:val="none"/>
        </w:rPr>
        <w:t>精简文件情况</w:t>
      </w:r>
      <w:r>
        <w:rPr>
          <w:rFonts w:hint="eastAsia" w:ascii="黑体" w:hAnsi="黑体" w:eastAsia="黑体" w:cs="黑体"/>
          <w:color w:val="auto"/>
          <w:sz w:val="32"/>
          <w:szCs w:val="32"/>
          <w:u w:val="none"/>
          <w:lang w:eastAsia="zh-CN"/>
        </w:rPr>
        <w:t>的</w:t>
      </w:r>
      <w:r>
        <w:rPr>
          <w:rFonts w:hint="eastAsia" w:ascii="黑体" w:hAnsi="黑体" w:eastAsia="黑体" w:cs="黑体"/>
          <w:color w:val="auto"/>
          <w:sz w:val="32"/>
          <w:szCs w:val="32"/>
          <w:u w:val="none"/>
        </w:rPr>
        <w:t>考评</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采用扣分法</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最多扣1.5分</w:t>
      </w:r>
      <w:r>
        <w:rPr>
          <w:rFonts w:hint="eastAsia" w:ascii="仿宋" w:hAnsi="仿宋" w:eastAsia="仿宋" w:cs="仿宋"/>
          <w:color w:val="auto"/>
          <w:sz w:val="32"/>
          <w:szCs w:val="32"/>
          <w:u w:val="none"/>
          <w:lang w:eastAsia="zh-CN"/>
        </w:rPr>
        <w:t>。</w:t>
      </w:r>
    </w:p>
    <w:p>
      <w:pPr>
        <w:wordWrap/>
        <w:adjustRightInd/>
        <w:snapToGrid/>
        <w:spacing w:before="0" w:after="0" w:line="540" w:lineRule="exact"/>
        <w:ind w:left="0" w:leftChars="0" w:right="0" w:firstLine="622" w:firstLineChars="200"/>
        <w:textAlignment w:val="auto"/>
        <w:outlineLvl w:val="9"/>
        <w:rPr>
          <w:rFonts w:hint="eastAsia" w:ascii="楷体" w:hAnsi="楷体" w:eastAsia="楷体" w:cs="楷体"/>
          <w:b/>
          <w:color w:val="auto"/>
          <w:sz w:val="32"/>
          <w:szCs w:val="32"/>
          <w:u w:val="none"/>
        </w:rPr>
      </w:pPr>
      <w:r>
        <w:rPr>
          <w:rFonts w:hint="eastAsia" w:ascii="楷体" w:hAnsi="楷体" w:eastAsia="楷体" w:cs="楷体"/>
          <w:b w:val="0"/>
          <w:bCs/>
          <w:color w:val="auto"/>
          <w:sz w:val="32"/>
          <w:szCs w:val="32"/>
          <w:u w:val="none"/>
          <w:lang w:eastAsia="zh-CN"/>
        </w:rPr>
        <w:t>（一）</w:t>
      </w:r>
      <w:r>
        <w:rPr>
          <w:rFonts w:hint="eastAsia" w:ascii="楷体" w:hAnsi="楷体" w:eastAsia="楷体" w:cs="楷体"/>
          <w:b w:val="0"/>
          <w:bCs/>
          <w:color w:val="auto"/>
          <w:sz w:val="32"/>
          <w:szCs w:val="32"/>
          <w:u w:val="none"/>
        </w:rPr>
        <w:t>落实文件数量“只减不增”要求</w:t>
      </w:r>
      <w:r>
        <w:rPr>
          <w:rFonts w:hint="eastAsia" w:ascii="楷体" w:hAnsi="楷体" w:eastAsia="楷体" w:cs="楷体"/>
          <w:color w:val="auto"/>
          <w:sz w:val="32"/>
          <w:szCs w:val="32"/>
          <w:u w:val="none"/>
        </w:rPr>
        <w:t>（分值0.5分，最多扣0.5分）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按照文件数量“只减不增”要求，2020年文件数量与2019年相比增1件以上（含1件）扣0.5分。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b/>
          <w:color w:val="auto"/>
          <w:sz w:val="32"/>
          <w:szCs w:val="32"/>
          <w:u w:val="none"/>
        </w:rPr>
        <w:t>注：</w:t>
      </w:r>
      <w:r>
        <w:rPr>
          <w:rFonts w:hint="eastAsia" w:ascii="仿宋" w:hAnsi="仿宋" w:eastAsia="仿宋" w:cs="仿宋"/>
          <w:color w:val="auto"/>
          <w:sz w:val="32"/>
          <w:szCs w:val="32"/>
          <w:u w:val="none"/>
        </w:rPr>
        <w:t>要求提供2020年度和2019年度同期发文目录清单，每季度根据市委办</w:t>
      </w:r>
      <w:r>
        <w:rPr>
          <w:rFonts w:hint="eastAsia" w:ascii="仿宋" w:hAnsi="仿宋" w:eastAsia="仿宋" w:cs="仿宋"/>
          <w:color w:val="auto"/>
          <w:sz w:val="32"/>
          <w:szCs w:val="32"/>
          <w:u w:val="none"/>
          <w:lang w:eastAsia="zh-CN"/>
        </w:rPr>
        <w:t>、市政府办</w:t>
      </w:r>
      <w:r>
        <w:rPr>
          <w:rFonts w:hint="eastAsia" w:ascii="仿宋" w:hAnsi="仿宋" w:eastAsia="仿宋" w:cs="仿宋"/>
          <w:color w:val="auto"/>
          <w:sz w:val="32"/>
          <w:szCs w:val="32"/>
          <w:u w:val="none"/>
        </w:rPr>
        <w:t>要求报送。</w:t>
      </w:r>
    </w:p>
    <w:p>
      <w:pPr>
        <w:wordWrap/>
        <w:adjustRightInd/>
        <w:snapToGrid/>
        <w:spacing w:before="0" w:after="0" w:line="540" w:lineRule="exact"/>
        <w:ind w:left="0" w:leftChars="0" w:right="0" w:firstLine="622" w:firstLineChars="200"/>
        <w:textAlignment w:val="auto"/>
        <w:outlineLvl w:val="9"/>
        <w:rPr>
          <w:rFonts w:hint="eastAsia" w:ascii="楷体" w:hAnsi="楷体" w:eastAsia="楷体" w:cs="楷体"/>
          <w:b/>
          <w:color w:val="auto"/>
          <w:sz w:val="32"/>
          <w:szCs w:val="32"/>
          <w:u w:val="none"/>
        </w:rPr>
      </w:pPr>
      <w:r>
        <w:rPr>
          <w:rFonts w:hint="eastAsia" w:ascii="楷体" w:hAnsi="楷体" w:eastAsia="楷体" w:cs="楷体"/>
          <w:b w:val="0"/>
          <w:bCs/>
          <w:color w:val="auto"/>
          <w:sz w:val="32"/>
          <w:szCs w:val="32"/>
          <w:u w:val="none"/>
          <w:lang w:eastAsia="zh-CN"/>
        </w:rPr>
        <w:t>（二）落实党内规范性文件备案审查工作要求（</w:t>
      </w:r>
      <w:r>
        <w:rPr>
          <w:rFonts w:hint="eastAsia" w:ascii="楷体" w:hAnsi="楷体" w:eastAsia="楷体" w:cs="楷体"/>
          <w:color w:val="auto"/>
          <w:sz w:val="32"/>
          <w:szCs w:val="32"/>
          <w:u w:val="none"/>
        </w:rPr>
        <w:t>分值0.6分，最多扣0.6分）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以市委、市政府或市委办、市政府办名义印发的规范性文件。①文件备案说明在文件印发后五天尚未报送的，扣0.2分。②起草文稿存在不合法、不合规性或不符合文风等问题，退回修改后仍未按要求修改到位的，扣0.3分；未在要求时限内反馈整改情况的，扣0.2分；被省委办公厅</w:t>
      </w:r>
      <w:r>
        <w:rPr>
          <w:rFonts w:hint="eastAsia" w:ascii="仿宋" w:hAnsi="仿宋" w:eastAsia="仿宋" w:cs="仿宋"/>
          <w:color w:val="auto"/>
          <w:sz w:val="32"/>
          <w:szCs w:val="32"/>
          <w:u w:val="none"/>
          <w:lang w:eastAsia="zh-CN"/>
        </w:rPr>
        <w:t>、省政府办公厅</w:t>
      </w:r>
      <w:r>
        <w:rPr>
          <w:rFonts w:hint="eastAsia" w:ascii="仿宋" w:hAnsi="仿宋" w:eastAsia="仿宋" w:cs="仿宋"/>
          <w:color w:val="auto"/>
          <w:sz w:val="32"/>
          <w:szCs w:val="32"/>
          <w:u w:val="none"/>
        </w:rPr>
        <w:t>纠正或提醒的，每件扣0.5分。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b/>
          <w:color w:val="auto"/>
          <w:sz w:val="32"/>
          <w:szCs w:val="32"/>
          <w:u w:val="none"/>
        </w:rPr>
        <w:t>注：</w:t>
      </w:r>
      <w:r>
        <w:rPr>
          <w:rFonts w:hint="eastAsia" w:ascii="仿宋" w:hAnsi="仿宋" w:eastAsia="仿宋" w:cs="仿宋"/>
          <w:color w:val="auto"/>
          <w:sz w:val="32"/>
          <w:szCs w:val="32"/>
          <w:u w:val="none"/>
        </w:rPr>
        <w:t>根据各单位报送市委办</w:t>
      </w:r>
      <w:r>
        <w:rPr>
          <w:rFonts w:hint="eastAsia" w:ascii="仿宋" w:hAnsi="仿宋" w:eastAsia="仿宋" w:cs="仿宋"/>
          <w:color w:val="auto"/>
          <w:sz w:val="32"/>
          <w:szCs w:val="32"/>
          <w:u w:val="none"/>
          <w:lang w:eastAsia="zh-CN"/>
        </w:rPr>
        <w:t>、市政府办</w:t>
      </w:r>
      <w:r>
        <w:rPr>
          <w:rFonts w:hint="eastAsia" w:ascii="仿宋" w:hAnsi="仿宋" w:eastAsia="仿宋" w:cs="仿宋"/>
          <w:color w:val="auto"/>
          <w:sz w:val="32"/>
          <w:szCs w:val="32"/>
          <w:u w:val="none"/>
        </w:rPr>
        <w:t>的党内规范性文件备案审查情况进行考评。</w:t>
      </w:r>
    </w:p>
    <w:p>
      <w:pPr>
        <w:wordWrap/>
        <w:adjustRightInd/>
        <w:snapToGrid/>
        <w:spacing w:before="0" w:after="0" w:line="540" w:lineRule="exact"/>
        <w:ind w:left="0" w:leftChars="0" w:right="0" w:firstLine="622" w:firstLineChars="200"/>
        <w:textAlignment w:val="auto"/>
        <w:outlineLvl w:val="9"/>
        <w:rPr>
          <w:rFonts w:hint="eastAsia" w:ascii="楷体" w:hAnsi="楷体" w:eastAsia="楷体" w:cs="楷体"/>
          <w:b/>
          <w:color w:val="auto"/>
          <w:spacing w:val="-11"/>
          <w:sz w:val="32"/>
          <w:szCs w:val="32"/>
          <w:u w:val="none"/>
        </w:rPr>
      </w:pPr>
      <w:r>
        <w:rPr>
          <w:rFonts w:hint="eastAsia" w:ascii="楷体" w:hAnsi="楷体" w:eastAsia="楷体" w:cs="楷体"/>
          <w:b w:val="0"/>
          <w:bCs/>
          <w:color w:val="auto"/>
          <w:sz w:val="32"/>
          <w:szCs w:val="32"/>
          <w:u w:val="none"/>
          <w:lang w:eastAsia="zh-CN"/>
        </w:rPr>
        <w:t>（</w:t>
      </w:r>
      <w:r>
        <w:rPr>
          <w:rFonts w:hint="eastAsia" w:ascii="楷体" w:hAnsi="楷体" w:eastAsia="楷体" w:cs="楷体"/>
          <w:b w:val="0"/>
          <w:bCs/>
          <w:color w:val="auto"/>
          <w:spacing w:val="-11"/>
          <w:sz w:val="32"/>
          <w:szCs w:val="32"/>
          <w:u w:val="none"/>
          <w:lang w:eastAsia="zh-CN"/>
        </w:rPr>
        <w:t>三）落实提高发文质效工作要求</w:t>
      </w:r>
      <w:r>
        <w:rPr>
          <w:rFonts w:hint="eastAsia" w:ascii="楷体" w:hAnsi="楷体" w:eastAsia="楷体" w:cs="楷体"/>
          <w:color w:val="auto"/>
          <w:spacing w:val="-11"/>
          <w:sz w:val="32"/>
          <w:szCs w:val="32"/>
          <w:u w:val="none"/>
        </w:rPr>
        <w:t>（分值0.4分，最多扣0.4分）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规范发文格式，送市委</w:t>
      </w:r>
      <w:r>
        <w:rPr>
          <w:rFonts w:hint="eastAsia" w:ascii="仿宋" w:hAnsi="仿宋" w:eastAsia="仿宋" w:cs="仿宋"/>
          <w:color w:val="auto"/>
          <w:sz w:val="32"/>
          <w:szCs w:val="32"/>
          <w:u w:val="none"/>
          <w:lang w:eastAsia="zh-CN"/>
        </w:rPr>
        <w:t>、市政府</w:t>
      </w:r>
      <w:r>
        <w:rPr>
          <w:rFonts w:hint="eastAsia" w:ascii="仿宋" w:hAnsi="仿宋" w:eastAsia="仿宋" w:cs="仿宋"/>
          <w:color w:val="auto"/>
          <w:sz w:val="32"/>
          <w:szCs w:val="32"/>
          <w:u w:val="none"/>
        </w:rPr>
        <w:t>（含市委办</w:t>
      </w:r>
      <w:r>
        <w:rPr>
          <w:rFonts w:hint="eastAsia" w:ascii="仿宋" w:hAnsi="仿宋" w:eastAsia="仿宋" w:cs="仿宋"/>
          <w:color w:val="auto"/>
          <w:sz w:val="32"/>
          <w:szCs w:val="32"/>
          <w:u w:val="none"/>
          <w:lang w:eastAsia="zh-CN"/>
        </w:rPr>
        <w:t>、市政府办</w:t>
      </w:r>
      <w:r>
        <w:rPr>
          <w:rFonts w:hint="eastAsia" w:ascii="仿宋" w:hAnsi="仿宋" w:eastAsia="仿宋" w:cs="仿宋"/>
          <w:color w:val="auto"/>
          <w:sz w:val="32"/>
          <w:szCs w:val="32"/>
          <w:u w:val="none"/>
        </w:rPr>
        <w:t>）的公文，经审核发现格式不规范的每件扣0.2分，扣完为止。</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b/>
          <w:color w:val="auto"/>
          <w:sz w:val="32"/>
          <w:szCs w:val="32"/>
          <w:u w:val="none"/>
        </w:rPr>
        <w:t>注：</w:t>
      </w:r>
      <w:r>
        <w:rPr>
          <w:rFonts w:hint="eastAsia" w:ascii="仿宋" w:hAnsi="仿宋" w:eastAsia="仿宋" w:cs="仿宋"/>
          <w:color w:val="auto"/>
          <w:sz w:val="32"/>
          <w:szCs w:val="32"/>
          <w:u w:val="none"/>
        </w:rPr>
        <w:t>据各单位报送市委</w:t>
      </w:r>
      <w:r>
        <w:rPr>
          <w:rFonts w:hint="eastAsia" w:ascii="仿宋" w:hAnsi="仿宋" w:eastAsia="仿宋" w:cs="仿宋"/>
          <w:color w:val="auto"/>
          <w:sz w:val="32"/>
          <w:szCs w:val="32"/>
          <w:u w:val="none"/>
          <w:lang w:eastAsia="zh-CN"/>
        </w:rPr>
        <w:t>、市政府</w:t>
      </w:r>
      <w:r>
        <w:rPr>
          <w:rFonts w:hint="eastAsia" w:ascii="仿宋" w:hAnsi="仿宋" w:eastAsia="仿宋" w:cs="仿宋"/>
          <w:color w:val="auto"/>
          <w:sz w:val="32"/>
          <w:szCs w:val="32"/>
          <w:u w:val="none"/>
        </w:rPr>
        <w:t>（含市委办</w:t>
      </w:r>
      <w:r>
        <w:rPr>
          <w:rFonts w:hint="eastAsia" w:ascii="仿宋" w:hAnsi="仿宋" w:eastAsia="仿宋" w:cs="仿宋"/>
          <w:color w:val="auto"/>
          <w:sz w:val="32"/>
          <w:szCs w:val="32"/>
          <w:u w:val="none"/>
          <w:lang w:eastAsia="zh-CN"/>
        </w:rPr>
        <w:t>、市政府办</w:t>
      </w:r>
      <w:r>
        <w:rPr>
          <w:rFonts w:hint="eastAsia" w:ascii="仿宋" w:hAnsi="仿宋" w:eastAsia="仿宋" w:cs="仿宋"/>
          <w:color w:val="auto"/>
          <w:sz w:val="32"/>
          <w:szCs w:val="32"/>
          <w:u w:val="none"/>
        </w:rPr>
        <w:t>）的文件情况进行考评。</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b/>
          <w:color w:val="auto"/>
          <w:sz w:val="32"/>
          <w:szCs w:val="32"/>
          <w:u w:val="none"/>
        </w:rPr>
      </w:pPr>
      <w:r>
        <w:rPr>
          <w:rFonts w:hint="eastAsia" w:ascii="仿宋" w:hAnsi="仿宋" w:eastAsia="仿宋" w:cs="仿宋"/>
          <w:b/>
          <w:color w:val="auto"/>
          <w:sz w:val="32"/>
          <w:szCs w:val="32"/>
          <w:u w:val="none"/>
        </w:rPr>
        <w:t>根据省上口径和标准，文件数量只统计3大类：规章和决定、</w:t>
      </w:r>
      <w:r>
        <w:rPr>
          <w:rFonts w:hint="eastAsia" w:ascii="仿宋" w:hAnsi="仿宋" w:eastAsia="仿宋" w:cs="仿宋"/>
          <w:b/>
          <w:color w:val="auto"/>
          <w:spacing w:val="-6"/>
          <w:sz w:val="32"/>
          <w:szCs w:val="32"/>
          <w:u w:val="none"/>
        </w:rPr>
        <w:t>意见、通知等规范性文件；议事协调机构成员类文件；通报类文件。</w:t>
      </w:r>
    </w:p>
    <w:p>
      <w:pPr>
        <w:wordWrap/>
        <w:adjustRightInd/>
        <w:snapToGrid/>
        <w:spacing w:before="0" w:after="0" w:line="540" w:lineRule="exact"/>
        <w:ind w:left="0" w:leftChars="0" w:right="0"/>
        <w:jc w:val="left"/>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 xml:space="preserve">    二、缩减会议情况的考评</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采用扣分法</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最多扣1.5分</w:t>
      </w:r>
      <w:r>
        <w:rPr>
          <w:rFonts w:hint="eastAsia" w:ascii="仿宋" w:hAnsi="仿宋" w:eastAsia="仿宋" w:cs="仿宋"/>
          <w:color w:val="auto"/>
          <w:sz w:val="32"/>
          <w:szCs w:val="32"/>
          <w:u w:val="none"/>
          <w:lang w:eastAsia="zh-CN"/>
        </w:rPr>
        <w:t>。</w:t>
      </w:r>
    </w:p>
    <w:p>
      <w:pPr>
        <w:wordWrap/>
        <w:adjustRightInd/>
        <w:snapToGrid/>
        <w:spacing w:before="0" w:after="0" w:line="540" w:lineRule="exact"/>
        <w:ind w:left="0" w:leftChars="0" w:right="0" w:firstLine="622" w:firstLineChars="200"/>
        <w:textAlignment w:val="auto"/>
        <w:outlineLvl w:val="9"/>
        <w:rPr>
          <w:rFonts w:hint="eastAsia" w:ascii="楷体" w:hAnsi="楷体" w:eastAsia="楷体" w:cs="楷体"/>
          <w:b w:val="0"/>
          <w:bCs/>
          <w:color w:val="auto"/>
          <w:sz w:val="32"/>
          <w:szCs w:val="32"/>
          <w:u w:val="none"/>
          <w:lang w:eastAsia="zh-CN"/>
        </w:rPr>
      </w:pPr>
      <w:r>
        <w:rPr>
          <w:rFonts w:hint="eastAsia" w:ascii="楷体" w:hAnsi="楷体" w:eastAsia="楷体" w:cs="楷体"/>
          <w:b w:val="0"/>
          <w:bCs/>
          <w:color w:val="auto"/>
          <w:sz w:val="32"/>
          <w:szCs w:val="32"/>
          <w:u w:val="none"/>
          <w:lang w:eastAsia="zh-CN"/>
        </w:rPr>
        <w:t>（一）落实“一会一审批”制度（分值0.3分）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未落实审批制度召开会议的，每次扣0.1分（封顶0.3分）。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b/>
          <w:color w:val="auto"/>
          <w:sz w:val="32"/>
          <w:szCs w:val="32"/>
          <w:u w:val="none"/>
        </w:rPr>
        <w:t>注：</w:t>
      </w:r>
      <w:r>
        <w:rPr>
          <w:rFonts w:hint="eastAsia" w:ascii="仿宋" w:hAnsi="仿宋" w:eastAsia="仿宋" w:cs="仿宋"/>
          <w:color w:val="auto"/>
          <w:sz w:val="32"/>
          <w:szCs w:val="32"/>
          <w:u w:val="none"/>
        </w:rPr>
        <w:t>要求附会议方案审批单、会议通知签发单和会议通知的复印件等佐证材料（每季度根据市委办要求报送）。</w:t>
      </w:r>
    </w:p>
    <w:p>
      <w:pPr>
        <w:wordWrap/>
        <w:adjustRightInd/>
        <w:snapToGrid/>
        <w:spacing w:before="0" w:after="0" w:line="540" w:lineRule="exact"/>
        <w:ind w:left="0" w:leftChars="0" w:right="0" w:firstLine="622" w:firstLineChars="200"/>
        <w:textAlignment w:val="auto"/>
        <w:outlineLvl w:val="9"/>
        <w:rPr>
          <w:rFonts w:hint="eastAsia" w:ascii="楷体" w:hAnsi="楷体" w:eastAsia="楷体" w:cs="楷体"/>
          <w:b w:val="0"/>
          <w:bCs/>
          <w:color w:val="auto"/>
          <w:sz w:val="32"/>
          <w:szCs w:val="32"/>
          <w:u w:val="none"/>
          <w:lang w:eastAsia="zh-CN"/>
        </w:rPr>
      </w:pPr>
      <w:r>
        <w:rPr>
          <w:rFonts w:hint="eastAsia" w:ascii="楷体" w:hAnsi="楷体" w:eastAsia="楷体" w:cs="楷体"/>
          <w:b w:val="0"/>
          <w:bCs/>
          <w:color w:val="auto"/>
          <w:sz w:val="32"/>
          <w:szCs w:val="32"/>
          <w:u w:val="none"/>
          <w:lang w:eastAsia="zh-CN"/>
        </w:rPr>
        <w:t>（二）落实每月报备制度（分值0.3分）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不按要求报备或报备不及时的，每次扣0.1分（封顶0.3分）。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b/>
          <w:color w:val="auto"/>
          <w:sz w:val="32"/>
          <w:szCs w:val="32"/>
          <w:u w:val="none"/>
        </w:rPr>
        <w:t>注：</w:t>
      </w:r>
      <w:r>
        <w:rPr>
          <w:rFonts w:hint="eastAsia" w:ascii="仿宋" w:hAnsi="仿宋" w:eastAsia="仿宋" w:cs="仿宋"/>
          <w:color w:val="auto"/>
          <w:sz w:val="32"/>
          <w:szCs w:val="32"/>
          <w:u w:val="none"/>
        </w:rPr>
        <w:t>于召开会议的下个月5日前报备（报备表见附件，加盖单位公章，</w:t>
      </w:r>
      <w:r>
        <w:rPr>
          <w:rFonts w:hint="eastAsia" w:ascii="仿宋" w:hAnsi="仿宋" w:eastAsia="仿宋" w:cs="仿宋"/>
          <w:color w:val="auto"/>
          <w:sz w:val="32"/>
          <w:szCs w:val="32"/>
          <w:u w:val="none"/>
          <w:lang w:eastAsia="zh-CN"/>
        </w:rPr>
        <w:t>分别</w:t>
      </w:r>
      <w:r>
        <w:rPr>
          <w:rFonts w:hint="eastAsia" w:ascii="仿宋" w:hAnsi="仿宋" w:eastAsia="仿宋" w:cs="仿宋"/>
          <w:color w:val="auto"/>
          <w:sz w:val="32"/>
          <w:szCs w:val="32"/>
          <w:u w:val="none"/>
        </w:rPr>
        <w:t>报市委办秘书一科</w:t>
      </w:r>
      <w:r>
        <w:rPr>
          <w:rFonts w:hint="eastAsia" w:ascii="仿宋" w:hAnsi="仿宋" w:eastAsia="仿宋" w:cs="仿宋"/>
          <w:color w:val="auto"/>
          <w:sz w:val="32"/>
          <w:szCs w:val="32"/>
          <w:u w:val="none"/>
          <w:lang w:eastAsia="zh-CN"/>
        </w:rPr>
        <w:t>、市政府办秘书科</w:t>
      </w:r>
      <w:r>
        <w:rPr>
          <w:rFonts w:hint="eastAsia" w:ascii="仿宋" w:hAnsi="仿宋" w:eastAsia="仿宋" w:cs="仿宋"/>
          <w:color w:val="auto"/>
          <w:sz w:val="32"/>
          <w:szCs w:val="32"/>
          <w:u w:val="none"/>
        </w:rPr>
        <w:t>），当月未召开会议的实行“零报备”制度。</w:t>
      </w:r>
    </w:p>
    <w:p>
      <w:pPr>
        <w:wordWrap/>
        <w:adjustRightInd/>
        <w:snapToGrid/>
        <w:spacing w:before="0" w:after="0" w:line="540" w:lineRule="exact"/>
        <w:ind w:left="0" w:leftChars="0" w:right="0" w:firstLine="622" w:firstLineChars="200"/>
        <w:textAlignment w:val="auto"/>
        <w:outlineLvl w:val="9"/>
        <w:rPr>
          <w:rFonts w:hint="eastAsia" w:ascii="楷体" w:hAnsi="楷体" w:eastAsia="楷体" w:cs="楷体"/>
          <w:b w:val="0"/>
          <w:bCs/>
          <w:color w:val="auto"/>
          <w:sz w:val="32"/>
          <w:szCs w:val="32"/>
          <w:u w:val="none"/>
          <w:lang w:eastAsia="zh-CN"/>
        </w:rPr>
      </w:pPr>
      <w:r>
        <w:rPr>
          <w:rFonts w:hint="eastAsia" w:ascii="楷体" w:hAnsi="楷体" w:eastAsia="楷体" w:cs="楷体"/>
          <w:b w:val="0"/>
          <w:bCs/>
          <w:color w:val="auto"/>
          <w:sz w:val="32"/>
          <w:szCs w:val="32"/>
          <w:u w:val="none"/>
          <w:lang w:eastAsia="zh-CN"/>
        </w:rPr>
        <w:t>（三）落实会议缩减比例要求（分值0.6分）</w:t>
      </w:r>
    </w:p>
    <w:p>
      <w:pPr>
        <w:wordWrap/>
        <w:adjustRightInd/>
        <w:snapToGrid/>
        <w:spacing w:before="0" w:after="0" w:line="540" w:lineRule="exact"/>
        <w:ind w:left="0" w:leftChars="0" w:right="0" w:firstLine="622" w:firstLineChars="200"/>
        <w:textAlignment w:val="auto"/>
        <w:outlineLvl w:val="9"/>
        <w:rPr>
          <w:rFonts w:hint="eastAsia" w:ascii="仿宋_GB2312" w:hAnsi="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2020年度召开全市性会议总数比2019年总数增加的，扣0.6分；比2019年总数减少或不变的，不扣分</w:t>
      </w:r>
      <w:r>
        <w:rPr>
          <w:rFonts w:hint="eastAsia" w:ascii="仿宋_GB2312" w:hAnsi="仿宋_GB2312" w:cs="仿宋_GB2312"/>
          <w:color w:val="auto"/>
          <w:spacing w:val="0"/>
          <w:sz w:val="32"/>
          <w:szCs w:val="32"/>
          <w:u w:val="none"/>
          <w:lang w:eastAsia="zh-CN"/>
        </w:rPr>
        <w:t>。</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b/>
          <w:color w:val="auto"/>
          <w:sz w:val="32"/>
          <w:szCs w:val="32"/>
          <w:u w:val="none"/>
        </w:rPr>
        <w:t>注：（1）纳入统计范围的会议：</w:t>
      </w:r>
      <w:r>
        <w:rPr>
          <w:rFonts w:hint="eastAsia" w:ascii="仿宋" w:hAnsi="仿宋" w:eastAsia="仿宋" w:cs="仿宋"/>
          <w:color w:val="auto"/>
          <w:sz w:val="32"/>
          <w:szCs w:val="32"/>
          <w:u w:val="none"/>
        </w:rPr>
        <w:t>以部门名义召开的、需下级单位参加的会议（含以视频形式召</w:t>
      </w:r>
      <w:bookmarkStart w:id="0" w:name="_GoBack"/>
      <w:bookmarkEnd w:id="0"/>
      <w:r>
        <w:rPr>
          <w:rFonts w:hint="eastAsia" w:ascii="仿宋" w:hAnsi="仿宋" w:eastAsia="仿宋" w:cs="仿宋"/>
          <w:color w:val="auto"/>
          <w:sz w:val="32"/>
          <w:szCs w:val="32"/>
          <w:u w:val="none"/>
        </w:rPr>
        <w:t>开的会议）。</w:t>
      </w:r>
      <w:r>
        <w:rPr>
          <w:rFonts w:hint="eastAsia" w:ascii="仿宋" w:hAnsi="仿宋" w:eastAsia="仿宋" w:cs="仿宋"/>
          <w:b/>
          <w:color w:val="auto"/>
          <w:sz w:val="32"/>
          <w:szCs w:val="32"/>
          <w:u w:val="none"/>
        </w:rPr>
        <w:t>（2）不纳入统计范围的会议：</w:t>
      </w:r>
      <w:r>
        <w:rPr>
          <w:rFonts w:hint="eastAsia" w:ascii="仿宋" w:hAnsi="仿宋" w:eastAsia="仿宋" w:cs="仿宋"/>
          <w:color w:val="auto"/>
          <w:sz w:val="32"/>
          <w:szCs w:val="32"/>
          <w:u w:val="none"/>
        </w:rPr>
        <w:t>①每年召开一次年度工作例会，严格履行会议审批报备制度后，不计入会议考评总数。②培训会、学习会、日常工作例会、现场办公会、民主生活会、组织生活会、支部会等会议，以及单位内部小范围召开的解决具体问题的工作会议等。③因紧急特殊原因，确须召开会议的，严格履行会议审批报备制度后，不计入会议考评总数。</w:t>
      </w:r>
    </w:p>
    <w:p>
      <w:pPr>
        <w:wordWrap/>
        <w:adjustRightInd/>
        <w:snapToGrid/>
        <w:spacing w:before="0" w:after="0" w:line="540" w:lineRule="exact"/>
        <w:ind w:left="0" w:leftChars="0" w:right="0" w:firstLine="622" w:firstLineChars="200"/>
        <w:textAlignment w:val="auto"/>
        <w:outlineLvl w:val="9"/>
        <w:rPr>
          <w:rFonts w:hint="eastAsia" w:ascii="楷体" w:hAnsi="楷体" w:eastAsia="楷体" w:cs="楷体"/>
          <w:b w:val="0"/>
          <w:bCs/>
          <w:color w:val="auto"/>
          <w:sz w:val="32"/>
          <w:szCs w:val="32"/>
          <w:u w:val="none"/>
          <w:lang w:eastAsia="zh-CN"/>
        </w:rPr>
      </w:pPr>
      <w:r>
        <w:rPr>
          <w:rFonts w:hint="eastAsia" w:ascii="楷体" w:hAnsi="楷体" w:eastAsia="楷体" w:cs="楷体"/>
          <w:b w:val="0"/>
          <w:bCs/>
          <w:color w:val="auto"/>
          <w:sz w:val="32"/>
          <w:szCs w:val="32"/>
          <w:u w:val="none"/>
          <w:lang w:eastAsia="zh-CN"/>
        </w:rPr>
        <w:t>（四）其他扣分事项（分值0.3分）</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因违反会议工作有关规范要求，被通报批评1次及以上的，扣0.3分。</w:t>
      </w:r>
    </w:p>
    <w:p>
      <w:pPr>
        <w:wordWrap/>
        <w:adjustRightInd/>
        <w:snapToGrid/>
        <w:spacing w:before="0" w:after="0" w:line="540" w:lineRule="exact"/>
        <w:ind w:left="0" w:leftChars="0" w:right="0"/>
        <w:jc w:val="left"/>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 xml:space="preserve">    三、规范督查检查考核情况的考评</w:t>
      </w:r>
    </w:p>
    <w:p>
      <w:pPr>
        <w:wordWrap/>
        <w:adjustRightInd/>
        <w:snapToGrid/>
        <w:spacing w:before="0" w:after="0" w:line="540" w:lineRule="exact"/>
        <w:ind w:left="0" w:leftChars="0" w:right="0" w:firstLine="622" w:firstLineChars="200"/>
        <w:textAlignment w:val="auto"/>
        <w:outlineLvl w:val="9"/>
        <w:rPr>
          <w:rFonts w:hint="eastAsia" w:ascii="仿宋" w:hAnsi="仿宋" w:eastAsia="仿宋" w:cs="仿宋"/>
          <w:b/>
          <w:bCs/>
          <w:color w:val="auto"/>
          <w:sz w:val="32"/>
          <w:szCs w:val="32"/>
          <w:u w:val="none"/>
          <w:lang w:eastAsia="zh-CN"/>
        </w:rPr>
      </w:pPr>
      <w:r>
        <w:rPr>
          <w:rFonts w:hint="eastAsia" w:ascii="仿宋" w:hAnsi="仿宋" w:eastAsia="仿宋" w:cs="仿宋"/>
          <w:color w:val="auto"/>
          <w:sz w:val="32"/>
          <w:szCs w:val="32"/>
          <w:u w:val="none"/>
        </w:rPr>
        <w:t>采用扣分法</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最多扣</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分</w:t>
      </w:r>
      <w:r>
        <w:rPr>
          <w:rFonts w:hint="eastAsia" w:ascii="仿宋" w:hAnsi="仿宋" w:eastAsia="仿宋" w:cs="仿宋"/>
          <w:color w:val="auto"/>
          <w:sz w:val="32"/>
          <w:szCs w:val="32"/>
          <w:u w:val="none"/>
          <w:lang w:eastAsia="zh-CN"/>
        </w:rPr>
        <w:t>。</w:t>
      </w:r>
    </w:p>
    <w:p>
      <w:pPr>
        <w:wordWrap/>
        <w:adjustRightInd/>
        <w:snapToGrid/>
        <w:spacing w:before="0" w:after="0" w:line="540" w:lineRule="exact"/>
        <w:ind w:left="0" w:leftChars="0" w:right="0" w:firstLine="622" w:firstLineChars="200"/>
        <w:textAlignment w:val="auto"/>
        <w:outlineLvl w:val="9"/>
        <w:rPr>
          <w:rFonts w:hint="eastAsia" w:ascii="楷体" w:hAnsi="楷体" w:eastAsia="楷体" w:cs="楷体"/>
          <w:b w:val="0"/>
          <w:bCs/>
          <w:color w:val="auto"/>
          <w:sz w:val="32"/>
          <w:szCs w:val="32"/>
          <w:u w:val="none"/>
          <w:lang w:eastAsia="zh-CN"/>
        </w:rPr>
      </w:pPr>
      <w:r>
        <w:rPr>
          <w:rFonts w:hint="eastAsia" w:ascii="楷体" w:hAnsi="楷体" w:eastAsia="楷体" w:cs="楷体"/>
          <w:b w:val="0"/>
          <w:bCs/>
          <w:color w:val="auto"/>
          <w:sz w:val="32"/>
          <w:szCs w:val="32"/>
          <w:u w:val="none"/>
          <w:lang w:eastAsia="zh-CN"/>
        </w:rPr>
        <w:t>（一）考评内容</w:t>
      </w:r>
    </w:p>
    <w:p>
      <w:pPr>
        <w:pStyle w:val="4"/>
        <w:wordWrap/>
        <w:adjustRightInd/>
        <w:snapToGrid/>
        <w:spacing w:before="0" w:beforeAutospacing="0" w:after="0" w:afterAutospacing="0" w:line="540" w:lineRule="exact"/>
        <w:ind w:left="0" w:leftChars="0" w:right="0" w:firstLine="622"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认真贯彻落实中共三明市委办公室印发《关于统筹规范督查检查考核工作的实施意见》精神，除党中央、国务院及省委、省政府和市委、市政府统一部署和依法依规开展的督查检查考核外，市直机关各部门不得自行设置以各县（市、区）党委和政府为对象的督查检查考核项目，不得在部门文件中自行规定全市性督查检查考核事项；市直机关各部门开展综合性督查检查考核每年不超过1次；开展督查检查考核既要看必要的记录、台账，更要看工作实绩，不能一味要求基层填表格报材料，不能简单以留痕多少评判工作好坏，不能工作刚安排就督查检查、刚部署就进行考核，不搞花拳绣腿，不要繁文褥节，不做表面文章；市直机关各部门要认真贯彻执行《关于开展市委市政府重大决策执行情况督查巡察审计协同行动的方案》，认真办理落实市委市政府每月重点工作、领导批示件，确保各项决策部署落深落细落实。</w:t>
      </w:r>
    </w:p>
    <w:p>
      <w:pPr>
        <w:wordWrap/>
        <w:adjustRightInd/>
        <w:snapToGrid/>
        <w:spacing w:before="0" w:after="0" w:line="540" w:lineRule="exact"/>
        <w:ind w:left="0" w:leftChars="0" w:right="0" w:firstLine="622" w:firstLineChars="200"/>
        <w:textAlignment w:val="auto"/>
        <w:outlineLvl w:val="9"/>
        <w:rPr>
          <w:rFonts w:hint="eastAsia" w:ascii="楷体" w:hAnsi="楷体" w:eastAsia="楷体" w:cs="楷体"/>
          <w:b w:val="0"/>
          <w:bCs/>
          <w:color w:val="auto"/>
          <w:sz w:val="32"/>
          <w:szCs w:val="32"/>
          <w:u w:val="none"/>
          <w:lang w:eastAsia="zh-CN"/>
        </w:rPr>
      </w:pPr>
      <w:r>
        <w:rPr>
          <w:rFonts w:hint="eastAsia" w:ascii="楷体" w:hAnsi="楷体" w:eastAsia="楷体" w:cs="楷体"/>
          <w:b w:val="0"/>
          <w:bCs/>
          <w:color w:val="auto"/>
          <w:sz w:val="32"/>
          <w:szCs w:val="32"/>
          <w:u w:val="none"/>
          <w:lang w:eastAsia="zh-CN"/>
        </w:rPr>
        <w:t>（二）考评办法</w:t>
      </w:r>
    </w:p>
    <w:p>
      <w:pPr>
        <w:pStyle w:val="4"/>
        <w:wordWrap/>
        <w:adjustRightInd/>
        <w:snapToGrid/>
        <w:spacing w:before="0" w:beforeAutospacing="0" w:after="0" w:afterAutospacing="0" w:line="540" w:lineRule="exact"/>
        <w:ind w:left="0" w:leftChars="0" w:right="0" w:firstLine="622" w:firstLineChars="200"/>
        <w:jc w:val="both"/>
        <w:textAlignment w:val="auto"/>
        <w:outlineLvl w:val="9"/>
        <w:rPr>
          <w:rFonts w:hint="eastAsia" w:ascii="仿宋" w:hAnsi="仿宋" w:eastAsia="仿宋" w:cs="仿宋"/>
          <w:b/>
          <w:color w:val="auto"/>
          <w:sz w:val="32"/>
          <w:szCs w:val="32"/>
          <w:u w:val="none"/>
        </w:rPr>
      </w:pPr>
      <w:r>
        <w:rPr>
          <w:rFonts w:hint="eastAsia" w:ascii="仿宋" w:hAnsi="仿宋" w:eastAsia="仿宋" w:cs="仿宋"/>
          <w:color w:val="auto"/>
          <w:sz w:val="32"/>
          <w:szCs w:val="32"/>
          <w:u w:val="none"/>
        </w:rPr>
        <w:t>对规范督查检查考核工作实现台帐式管理，建立工作情况数据库，作为“五比五晒”考评的重要依据。其中：党群机构由市委督查室负责收集汇总；政府部门由市政府督查室负责收集汇总。具体考评办法如下:</w:t>
      </w:r>
    </w:p>
    <w:p>
      <w:pPr>
        <w:pStyle w:val="4"/>
        <w:wordWrap/>
        <w:adjustRightInd/>
        <w:snapToGrid/>
        <w:spacing w:before="0" w:beforeAutospacing="0" w:after="0" w:afterAutospacing="0" w:line="540" w:lineRule="exact"/>
        <w:ind w:left="0" w:leftChars="0" w:right="0" w:firstLine="622" w:firstLineChars="200"/>
        <w:jc w:val="both"/>
        <w:textAlignment w:val="auto"/>
        <w:outlineLvl w:val="9"/>
        <w:rPr>
          <w:rFonts w:hint="eastAsia" w:ascii="仿宋" w:hAnsi="仿宋" w:eastAsia="仿宋" w:cs="仿宋"/>
          <w:b/>
          <w:color w:val="auto"/>
          <w:sz w:val="32"/>
          <w:szCs w:val="32"/>
          <w:u w:val="none"/>
        </w:rPr>
      </w:pPr>
      <w:r>
        <w:rPr>
          <w:rFonts w:hint="eastAsia" w:ascii="仿宋" w:hAnsi="仿宋" w:eastAsia="仿宋" w:cs="仿宋"/>
          <w:color w:val="auto"/>
          <w:sz w:val="32"/>
          <w:szCs w:val="32"/>
          <w:u w:val="none"/>
        </w:rPr>
        <w:t>1.未按规定审批或报备，自行设置以各县（市、区）党委和政府为对象的督查检查考核项目，每次扣0.2分；</w:t>
      </w:r>
    </w:p>
    <w:p>
      <w:pPr>
        <w:pStyle w:val="4"/>
        <w:wordWrap/>
        <w:adjustRightInd/>
        <w:snapToGrid/>
        <w:spacing w:before="0" w:beforeAutospacing="0" w:after="0" w:afterAutospacing="0" w:line="540" w:lineRule="exact"/>
        <w:ind w:left="0" w:leftChars="0" w:right="0" w:firstLine="622"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2.私自开展督查检查考核的，每发现一次扣1分；</w:t>
      </w:r>
    </w:p>
    <w:p>
      <w:pPr>
        <w:pStyle w:val="4"/>
        <w:wordWrap/>
        <w:adjustRightInd/>
        <w:snapToGrid/>
        <w:spacing w:before="0" w:beforeAutospacing="0" w:after="0" w:afterAutospacing="0" w:line="540" w:lineRule="exact"/>
        <w:ind w:left="0" w:leftChars="0" w:right="0" w:firstLine="622"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3.开展督查检查考核过程中一味以留痕为标准、忽视实际工作成效的，每次扣0.1分；</w:t>
      </w:r>
    </w:p>
    <w:p>
      <w:pPr>
        <w:pStyle w:val="4"/>
        <w:wordWrap/>
        <w:adjustRightInd/>
        <w:snapToGrid/>
        <w:spacing w:before="0" w:beforeAutospacing="0" w:after="0" w:afterAutospacing="0" w:line="540" w:lineRule="exact"/>
        <w:ind w:left="0" w:leftChars="0" w:right="0" w:firstLine="622"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4.对市委市政府部署的工作反馈不及时、反馈材料不规范或不符合要求的，每次扣0.1分；</w:t>
      </w:r>
    </w:p>
    <w:p>
      <w:pPr>
        <w:pStyle w:val="4"/>
        <w:wordWrap/>
        <w:adjustRightInd/>
        <w:snapToGrid/>
        <w:spacing w:before="0" w:beforeAutospacing="0" w:after="0" w:afterAutospacing="0" w:line="540" w:lineRule="exact"/>
        <w:ind w:left="0" w:leftChars="0" w:right="0" w:firstLine="622"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5.市委市政府每月重点工作（涉及五比五晒）落实进展较慢的，每次扣0.2分；</w:t>
      </w:r>
    </w:p>
    <w:p>
      <w:pPr>
        <w:pStyle w:val="4"/>
        <w:wordWrap/>
        <w:adjustRightInd/>
        <w:snapToGrid/>
        <w:spacing w:before="0" w:beforeAutospacing="0" w:after="0" w:afterAutospacing="0" w:line="540" w:lineRule="exact"/>
        <w:ind w:left="0" w:leftChars="0" w:right="0" w:firstLine="622"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6.领导批示件（涉及五比五晒）办理较慢的，或被市委市政府点名批评、通报批评的，每次扣0.2分；</w:t>
      </w:r>
    </w:p>
    <w:p>
      <w:pPr>
        <w:pStyle w:val="4"/>
        <w:wordWrap/>
        <w:adjustRightInd/>
        <w:snapToGrid/>
        <w:spacing w:before="0" w:beforeAutospacing="0" w:after="0" w:afterAutospacing="0" w:line="540" w:lineRule="exact"/>
        <w:ind w:left="0" w:leftChars="0" w:right="0" w:firstLine="622"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7.对工作推进落实情况弄虚作假的，每发现一次扣0.3分。</w:t>
      </w:r>
    </w:p>
    <w:p>
      <w:pPr>
        <w:wordWrap/>
        <w:adjustRightInd/>
        <w:snapToGrid/>
        <w:spacing w:before="0" w:after="0" w:line="540" w:lineRule="exact"/>
        <w:ind w:left="0" w:leftChars="0" w:right="0"/>
        <w:textAlignment w:val="auto"/>
        <w:outlineLvl w:val="9"/>
        <w:rPr>
          <w:rFonts w:hint="eastAsia" w:ascii="仿宋" w:hAnsi="仿宋" w:eastAsia="仿宋" w:cs="仿宋"/>
          <w:b/>
          <w:color w:val="auto"/>
          <w:sz w:val="32"/>
          <w:szCs w:val="32"/>
          <w:u w:val="none"/>
        </w:rPr>
      </w:pPr>
    </w:p>
    <w:p>
      <w:pPr>
        <w:wordWrap/>
        <w:adjustRightInd/>
        <w:snapToGrid/>
        <w:spacing w:before="0" w:after="0" w:line="540" w:lineRule="exact"/>
        <w:ind w:left="0" w:leftChars="0" w:right="0" w:firstLine="933" w:firstLineChars="3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附</w:t>
      </w:r>
      <w:r>
        <w:rPr>
          <w:rFonts w:hint="eastAsia" w:ascii="仿宋" w:hAnsi="仿宋" w:eastAsia="仿宋" w:cs="仿宋"/>
          <w:color w:val="auto"/>
          <w:sz w:val="32"/>
          <w:szCs w:val="32"/>
          <w:u w:val="none"/>
          <w:lang w:eastAsia="zh-CN"/>
        </w:rPr>
        <w:t>件</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1</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.精简文件自评情况表</w:t>
      </w:r>
    </w:p>
    <w:p>
      <w:pPr>
        <w:wordWrap/>
        <w:adjustRightInd/>
        <w:snapToGrid/>
        <w:spacing w:before="0" w:after="0" w:line="540" w:lineRule="exact"/>
        <w:ind w:left="0" w:leftChars="0" w:right="0"/>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 xml:space="preserve">          </w:t>
      </w:r>
      <w:r>
        <w:rPr>
          <w:rFonts w:hint="eastAsia" w:ascii="仿宋" w:hAnsi="仿宋" w:eastAsia="仿宋" w:cs="仿宋"/>
          <w:color w:val="auto"/>
          <w:sz w:val="32"/>
          <w:szCs w:val="32"/>
          <w:u w:val="none"/>
          <w:lang w:val="en-US" w:eastAsia="zh-CN"/>
        </w:rPr>
        <w:t xml:space="preserve">  2-1-2</w:t>
      </w:r>
      <w:r>
        <w:rPr>
          <w:rFonts w:hint="eastAsia" w:ascii="仿宋" w:hAnsi="仿宋" w:eastAsia="仿宋" w:cs="仿宋"/>
          <w:color w:val="auto"/>
          <w:sz w:val="32"/>
          <w:szCs w:val="32"/>
          <w:u w:val="none"/>
        </w:rPr>
        <w:t>.发文情况汇总表</w:t>
      </w:r>
    </w:p>
    <w:p>
      <w:pPr>
        <w:wordWrap/>
        <w:adjustRightInd/>
        <w:snapToGrid/>
        <w:spacing w:before="0" w:after="0" w:line="540" w:lineRule="exact"/>
        <w:ind w:left="0" w:leftChars="0" w:right="0"/>
        <w:textAlignment w:val="auto"/>
        <w:outlineLvl w:val="9"/>
        <w:rPr>
          <w:rFonts w:hint="eastAsia" w:ascii="黑体" w:hAnsi="黑体" w:eastAsia="黑体" w:cs="黑体"/>
          <w:color w:val="auto"/>
          <w:spacing w:val="10"/>
          <w:sz w:val="32"/>
          <w:szCs w:val="32"/>
          <w:u w:val="none"/>
        </w:rPr>
      </w:pPr>
      <w:r>
        <w:rPr>
          <w:rFonts w:hint="eastAsia" w:ascii="仿宋" w:hAnsi="仿宋" w:eastAsia="仿宋" w:cs="仿宋"/>
          <w:color w:val="auto"/>
          <w:sz w:val="32"/>
          <w:szCs w:val="32"/>
          <w:u w:val="none"/>
          <w:lang w:val="en-US" w:eastAsia="zh-CN"/>
        </w:rPr>
        <w:t xml:space="preserve">            2-1-3.</w:t>
      </w:r>
      <w:r>
        <w:rPr>
          <w:rFonts w:hint="eastAsia" w:ascii="仿宋" w:hAnsi="仿宋" w:eastAsia="仿宋" w:cs="仿宋"/>
          <w:b w:val="0"/>
          <w:bCs/>
          <w:color w:val="auto"/>
          <w:sz w:val="32"/>
          <w:szCs w:val="32"/>
          <w:u w:val="none"/>
        </w:rPr>
        <w:t>会议情况报备表</w:t>
      </w:r>
    </w:p>
    <w:p>
      <w:pPr>
        <w:wordWrap/>
        <w:adjustRightInd/>
        <w:snapToGrid/>
        <w:spacing w:before="0" w:after="0" w:line="560" w:lineRule="exact"/>
        <w:ind w:left="0" w:leftChars="0" w:right="160"/>
        <w:textAlignment w:val="auto"/>
        <w:outlineLvl w:val="9"/>
        <w:rPr>
          <w:rFonts w:hint="default" w:ascii="黑体" w:hAnsi="黑体" w:eastAsia="黑体" w:cs="黑体"/>
          <w:color w:val="auto"/>
          <w:spacing w:val="10"/>
          <w:sz w:val="32"/>
          <w:szCs w:val="32"/>
          <w:u w:val="none"/>
          <w:lang w:val="en-US" w:eastAsia="zh-CN"/>
        </w:rPr>
      </w:pPr>
      <w:r>
        <w:rPr>
          <w:rFonts w:hint="eastAsia" w:ascii="黑体" w:hAnsi="黑体" w:eastAsia="黑体" w:cs="黑体"/>
          <w:color w:val="auto"/>
          <w:spacing w:val="10"/>
          <w:sz w:val="32"/>
          <w:szCs w:val="32"/>
          <w:u w:val="none"/>
        </w:rPr>
        <w:t>附</w:t>
      </w:r>
      <w:r>
        <w:rPr>
          <w:rFonts w:hint="eastAsia" w:ascii="黑体" w:hAnsi="黑体" w:eastAsia="黑体" w:cs="黑体"/>
          <w:color w:val="auto"/>
          <w:spacing w:val="10"/>
          <w:sz w:val="32"/>
          <w:szCs w:val="32"/>
          <w:u w:val="none"/>
          <w:lang w:eastAsia="zh-CN"/>
        </w:rPr>
        <w:t>件</w:t>
      </w:r>
      <w:r>
        <w:rPr>
          <w:rFonts w:hint="eastAsia" w:ascii="黑体" w:hAnsi="黑体" w:eastAsia="黑体" w:cs="黑体"/>
          <w:color w:val="auto"/>
          <w:spacing w:val="10"/>
          <w:sz w:val="32"/>
          <w:szCs w:val="32"/>
          <w:u w:val="none"/>
          <w:lang w:val="en-US" w:eastAsia="zh-CN"/>
        </w:rPr>
        <w:t>2-</w:t>
      </w:r>
      <w:r>
        <w:rPr>
          <w:rFonts w:hint="eastAsia" w:ascii="黑体" w:hAnsi="黑体" w:eastAsia="黑体" w:cs="黑体"/>
          <w:color w:val="auto"/>
          <w:spacing w:val="10"/>
          <w:sz w:val="32"/>
          <w:szCs w:val="32"/>
          <w:u w:val="none"/>
        </w:rPr>
        <w:t>1</w:t>
      </w:r>
      <w:r>
        <w:rPr>
          <w:rFonts w:hint="eastAsia" w:ascii="黑体" w:hAnsi="黑体" w:eastAsia="黑体" w:cs="黑体"/>
          <w:color w:val="auto"/>
          <w:spacing w:val="10"/>
          <w:sz w:val="32"/>
          <w:szCs w:val="32"/>
          <w:u w:val="none"/>
          <w:lang w:val="en-US" w:eastAsia="zh-CN"/>
        </w:rPr>
        <w:t>-1</w:t>
      </w:r>
    </w:p>
    <w:p>
      <w:pPr>
        <w:widowControl w:val="0"/>
        <w:wordWrap/>
        <w:adjustRightInd/>
        <w:snapToGrid/>
        <w:spacing w:before="0" w:after="0" w:line="560" w:lineRule="exact"/>
        <w:ind w:left="0" w:leftChars="0" w:right="160" w:firstLine="0" w:firstLineChars="0"/>
        <w:jc w:val="both"/>
        <w:textAlignment w:val="auto"/>
        <w:outlineLvl w:val="9"/>
        <w:rPr>
          <w:rFonts w:hint="eastAsia" w:ascii="黑体" w:hAnsi="黑体" w:eastAsia="黑体"/>
          <w:color w:val="auto"/>
          <w:spacing w:val="10"/>
          <w:szCs w:val="32"/>
          <w:u w:val="none"/>
        </w:rPr>
      </w:pPr>
    </w:p>
    <w:p>
      <w:pPr>
        <w:wordWrap/>
        <w:adjustRightInd/>
        <w:snapToGrid/>
        <w:spacing w:before="0" w:after="0" w:line="560" w:lineRule="exact"/>
        <w:ind w:left="0" w:leftChars="0" w:right="160"/>
        <w:jc w:val="center"/>
        <w:textAlignment w:val="auto"/>
        <w:outlineLvl w:val="9"/>
        <w:rPr>
          <w:rFonts w:hint="eastAsia" w:ascii="宋体" w:hAnsi="宋体" w:eastAsia="方正小标宋简体"/>
          <w:color w:val="auto"/>
          <w:sz w:val="44"/>
          <w:szCs w:val="44"/>
          <w:u w:val="none"/>
        </w:rPr>
      </w:pPr>
      <w:r>
        <w:rPr>
          <w:rFonts w:hint="eastAsia" w:ascii="宋体" w:hAnsi="宋体" w:eastAsia="方正小标宋简体"/>
          <w:color w:val="auto"/>
          <w:sz w:val="44"/>
          <w:szCs w:val="44"/>
          <w:u w:val="none"/>
        </w:rPr>
        <w:t>精简文件自评情况表</w:t>
      </w:r>
    </w:p>
    <w:p>
      <w:pPr>
        <w:widowControl w:val="0"/>
        <w:wordWrap/>
        <w:adjustRightInd/>
        <w:snapToGrid/>
        <w:spacing w:before="0" w:after="0" w:line="240" w:lineRule="exact"/>
        <w:ind w:left="0" w:leftChars="0" w:right="160" w:firstLine="0" w:firstLineChars="0"/>
        <w:jc w:val="both"/>
        <w:textAlignment w:val="auto"/>
        <w:outlineLvl w:val="9"/>
        <w:rPr>
          <w:rFonts w:hint="eastAsia" w:ascii="黑体" w:hAnsi="黑体" w:eastAsia="黑体"/>
          <w:color w:val="auto"/>
          <w:spacing w:val="10"/>
          <w:szCs w:val="32"/>
          <w:u w:val="none"/>
        </w:rPr>
      </w:pPr>
    </w:p>
    <w:tbl>
      <w:tblPr>
        <w:tblStyle w:val="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6080"/>
        <w:gridCol w:w="128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100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序号</w:t>
            </w:r>
          </w:p>
        </w:tc>
        <w:tc>
          <w:tcPr>
            <w:tcW w:w="608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评分项目</w:t>
            </w:r>
          </w:p>
        </w:tc>
        <w:tc>
          <w:tcPr>
            <w:tcW w:w="1280" w:type="dxa"/>
            <w:vAlign w:val="center"/>
          </w:tcPr>
          <w:p>
            <w:pPr>
              <w:widowControl w:val="0"/>
              <w:wordWrap/>
              <w:adjustRightInd/>
              <w:snapToGrid/>
              <w:spacing w:before="0" w:after="0" w:line="520" w:lineRule="exact"/>
              <w:ind w:left="0" w:leftChars="0" w:right="159"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分值</w:t>
            </w:r>
          </w:p>
        </w:tc>
        <w:tc>
          <w:tcPr>
            <w:tcW w:w="1600" w:type="dxa"/>
            <w:vAlign w:val="center"/>
          </w:tcPr>
          <w:p>
            <w:pPr>
              <w:widowControl w:val="0"/>
              <w:wordWrap/>
              <w:adjustRightInd/>
              <w:snapToGrid/>
              <w:spacing w:before="0" w:after="0" w:line="520" w:lineRule="exact"/>
              <w:ind w:left="0" w:leftChars="0" w:right="159"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0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1</w:t>
            </w:r>
          </w:p>
        </w:tc>
        <w:tc>
          <w:tcPr>
            <w:tcW w:w="6080" w:type="dxa"/>
            <w:vAlign w:val="center"/>
          </w:tcPr>
          <w:p>
            <w:pPr>
              <w:widowControl w:val="0"/>
              <w:wordWrap/>
              <w:adjustRightInd/>
              <w:snapToGrid/>
              <w:spacing w:before="0" w:after="0" w:line="520" w:lineRule="exact"/>
              <w:ind w:left="0" w:leftChars="0" w:firstLine="0" w:firstLineChars="0"/>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按照文件数量“只减不增”要求，2020年文件数量与2019年相比增1件以上（含1件）扣0.5分（最多扣0.5分）</w:t>
            </w:r>
          </w:p>
        </w:tc>
        <w:tc>
          <w:tcPr>
            <w:tcW w:w="128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0.5</w:t>
            </w:r>
          </w:p>
        </w:tc>
        <w:tc>
          <w:tcPr>
            <w:tcW w:w="160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100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2</w:t>
            </w:r>
          </w:p>
        </w:tc>
        <w:tc>
          <w:tcPr>
            <w:tcW w:w="6080" w:type="dxa"/>
            <w:vAlign w:val="center"/>
          </w:tcPr>
          <w:p>
            <w:pPr>
              <w:widowControl w:val="0"/>
              <w:wordWrap/>
              <w:adjustRightInd/>
              <w:snapToGrid/>
              <w:spacing w:before="0" w:after="0" w:line="520" w:lineRule="exact"/>
              <w:ind w:left="0" w:leftChars="0" w:firstLine="0" w:firstLineChars="0"/>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以市委、市政府或市委办、市政府办名义印发的规范性文件。①文件备案说明在文件印发后五天尚未报送的，扣0.2分。②起草文稿存在不合法、不合规性或不符合文风等问题，退回修改后仍未按要求修改到位的，扣0.3分；未在要求时限内反馈整改情况的，扣0.2分；被省委办公厅</w:t>
            </w:r>
            <w:r>
              <w:rPr>
                <w:rFonts w:hint="eastAsia" w:ascii="仿宋" w:hAnsi="仿宋" w:eastAsia="仿宋" w:cs="仿宋"/>
                <w:color w:val="auto"/>
                <w:sz w:val="30"/>
                <w:szCs w:val="30"/>
                <w:u w:val="none"/>
                <w:lang w:eastAsia="zh-CN"/>
              </w:rPr>
              <w:t>、省政府办公厅</w:t>
            </w:r>
            <w:r>
              <w:rPr>
                <w:rFonts w:hint="eastAsia" w:ascii="仿宋" w:hAnsi="仿宋" w:eastAsia="仿宋" w:cs="仿宋"/>
                <w:color w:val="auto"/>
                <w:sz w:val="30"/>
                <w:szCs w:val="30"/>
                <w:u w:val="none"/>
              </w:rPr>
              <w:t>纠正或提醒的，每件扣0.5分。（最多扣0.6分）</w:t>
            </w:r>
          </w:p>
        </w:tc>
        <w:tc>
          <w:tcPr>
            <w:tcW w:w="128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0.6</w:t>
            </w:r>
          </w:p>
        </w:tc>
        <w:tc>
          <w:tcPr>
            <w:tcW w:w="160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00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3</w:t>
            </w:r>
          </w:p>
        </w:tc>
        <w:tc>
          <w:tcPr>
            <w:tcW w:w="6080" w:type="dxa"/>
            <w:vAlign w:val="center"/>
          </w:tcPr>
          <w:p>
            <w:pPr>
              <w:widowControl w:val="0"/>
              <w:wordWrap/>
              <w:adjustRightInd/>
              <w:snapToGrid/>
              <w:spacing w:before="0" w:after="0" w:line="520" w:lineRule="exact"/>
              <w:ind w:left="0" w:leftChars="0" w:firstLine="0" w:firstLineChars="0"/>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提高发文质效，规范发文格式，送市委</w:t>
            </w:r>
            <w:r>
              <w:rPr>
                <w:rFonts w:hint="eastAsia" w:ascii="仿宋" w:hAnsi="仿宋" w:eastAsia="仿宋" w:cs="仿宋"/>
                <w:color w:val="auto"/>
                <w:sz w:val="30"/>
                <w:szCs w:val="30"/>
                <w:u w:val="none"/>
                <w:lang w:eastAsia="zh-CN"/>
              </w:rPr>
              <w:t>、市政府</w:t>
            </w:r>
            <w:r>
              <w:rPr>
                <w:rFonts w:hint="eastAsia" w:ascii="仿宋" w:hAnsi="仿宋" w:eastAsia="仿宋" w:cs="仿宋"/>
                <w:color w:val="auto"/>
                <w:sz w:val="30"/>
                <w:szCs w:val="30"/>
                <w:u w:val="none"/>
              </w:rPr>
              <w:t>（含市委办</w:t>
            </w:r>
            <w:r>
              <w:rPr>
                <w:rFonts w:hint="eastAsia" w:ascii="仿宋" w:hAnsi="仿宋" w:eastAsia="仿宋" w:cs="仿宋"/>
                <w:color w:val="auto"/>
                <w:sz w:val="30"/>
                <w:szCs w:val="30"/>
                <w:u w:val="none"/>
                <w:lang w:eastAsia="zh-CN"/>
              </w:rPr>
              <w:t>、市政府办</w:t>
            </w:r>
            <w:r>
              <w:rPr>
                <w:rFonts w:hint="eastAsia" w:ascii="仿宋" w:hAnsi="仿宋" w:eastAsia="仿宋" w:cs="仿宋"/>
                <w:color w:val="auto"/>
                <w:sz w:val="30"/>
                <w:szCs w:val="30"/>
                <w:u w:val="none"/>
              </w:rPr>
              <w:t>）的公文，经审核发现格式不规范的每件扣0.2分。（最多扣0.4分）</w:t>
            </w:r>
          </w:p>
        </w:tc>
        <w:tc>
          <w:tcPr>
            <w:tcW w:w="128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0.4</w:t>
            </w:r>
          </w:p>
        </w:tc>
        <w:tc>
          <w:tcPr>
            <w:tcW w:w="1600" w:type="dxa"/>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60" w:type="dxa"/>
            <w:gridSpan w:val="4"/>
            <w:vAlign w:val="center"/>
          </w:tcPr>
          <w:p>
            <w:pPr>
              <w:widowControl w:val="0"/>
              <w:wordWrap/>
              <w:adjustRightInd/>
              <w:snapToGrid/>
              <w:spacing w:before="0" w:after="0" w:line="520" w:lineRule="exact"/>
              <w:ind w:left="0" w:leftChars="0" w:firstLine="0" w:firstLineChars="0"/>
              <w:jc w:val="center"/>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合计：    分</w:t>
            </w:r>
          </w:p>
        </w:tc>
      </w:tr>
    </w:tbl>
    <w:p>
      <w:pPr>
        <w:widowControl w:val="0"/>
        <w:wordWrap/>
        <w:adjustRightInd/>
        <w:snapToGrid/>
        <w:spacing w:before="0" w:after="0" w:line="400" w:lineRule="exact"/>
        <w:ind w:left="0" w:leftChars="0" w:right="159" w:firstLine="582" w:firstLineChars="200"/>
        <w:jc w:val="both"/>
        <w:textAlignment w:val="auto"/>
        <w:outlineLvl w:val="9"/>
        <w:rPr>
          <w:rFonts w:hint="eastAsia" w:ascii="楷体" w:hAnsi="楷体" w:eastAsia="楷体" w:cs="楷体"/>
          <w:color w:val="auto"/>
          <w:sz w:val="30"/>
          <w:szCs w:val="30"/>
          <w:u w:val="none"/>
        </w:rPr>
      </w:pPr>
      <w:r>
        <w:rPr>
          <w:rFonts w:hint="eastAsia" w:ascii="楷体" w:hAnsi="楷体" w:eastAsia="楷体" w:cs="楷体"/>
          <w:color w:val="auto"/>
          <w:sz w:val="30"/>
          <w:szCs w:val="30"/>
          <w:u w:val="none"/>
        </w:rPr>
        <w:t>备注：根据省上口径和标准，文件数量只统计3大类：规章和决定、意见、通知等规范性文件；议事协调机构成员类文件；通报类文件。</w:t>
      </w:r>
    </w:p>
    <w:p>
      <w:pPr>
        <w:wordWrap/>
        <w:adjustRightInd/>
        <w:snapToGrid/>
        <w:spacing w:before="0" w:after="0" w:line="560" w:lineRule="exact"/>
        <w:ind w:left="0" w:leftChars="0" w:right="160"/>
        <w:textAlignment w:val="auto"/>
        <w:outlineLvl w:val="9"/>
        <w:rPr>
          <w:rFonts w:hint="eastAsia" w:ascii="黑体" w:hAnsi="黑体" w:eastAsia="黑体" w:cs="黑体"/>
          <w:color w:val="auto"/>
          <w:spacing w:val="10"/>
          <w:sz w:val="32"/>
          <w:szCs w:val="32"/>
          <w:u w:val="none"/>
        </w:rPr>
      </w:pPr>
      <w:r>
        <w:rPr>
          <w:rFonts w:ascii="仿宋_GB2312"/>
          <w:color w:val="auto"/>
          <w:sz w:val="36"/>
          <w:szCs w:val="36"/>
          <w:u w:val="none"/>
        </w:rPr>
        <w:br w:type="page"/>
      </w:r>
      <w:r>
        <w:rPr>
          <w:rFonts w:hint="eastAsia" w:ascii="黑体" w:hAnsi="黑体" w:eastAsia="黑体" w:cs="黑体"/>
          <w:color w:val="auto"/>
          <w:spacing w:val="10"/>
          <w:sz w:val="32"/>
          <w:szCs w:val="32"/>
          <w:u w:val="none"/>
        </w:rPr>
        <w:t>附</w:t>
      </w:r>
      <w:r>
        <w:rPr>
          <w:rFonts w:hint="eastAsia" w:ascii="黑体" w:hAnsi="黑体" w:eastAsia="黑体" w:cs="黑体"/>
          <w:color w:val="auto"/>
          <w:spacing w:val="10"/>
          <w:sz w:val="32"/>
          <w:szCs w:val="32"/>
          <w:u w:val="none"/>
          <w:lang w:eastAsia="zh-CN"/>
        </w:rPr>
        <w:t>件</w:t>
      </w:r>
      <w:r>
        <w:rPr>
          <w:rFonts w:hint="eastAsia" w:ascii="黑体" w:hAnsi="黑体" w:eastAsia="黑体" w:cs="黑体"/>
          <w:color w:val="auto"/>
          <w:spacing w:val="10"/>
          <w:sz w:val="32"/>
          <w:szCs w:val="32"/>
          <w:u w:val="none"/>
          <w:lang w:val="en-US" w:eastAsia="zh-CN"/>
        </w:rPr>
        <w:t>2-1-</w:t>
      </w:r>
      <w:r>
        <w:rPr>
          <w:rFonts w:hint="eastAsia" w:ascii="黑体" w:hAnsi="黑体" w:eastAsia="黑体" w:cs="黑体"/>
          <w:color w:val="auto"/>
          <w:spacing w:val="10"/>
          <w:sz w:val="32"/>
          <w:szCs w:val="32"/>
          <w:u w:val="none"/>
        </w:rPr>
        <w:t>2</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宋体" w:eastAsia="方正小标宋简体"/>
          <w:color w:val="auto"/>
          <w:spacing w:val="10"/>
          <w:sz w:val="44"/>
          <w:szCs w:val="44"/>
          <w:u w:val="none"/>
        </w:rPr>
      </w:pPr>
    </w:p>
    <w:p>
      <w:pPr>
        <w:wordWrap/>
        <w:adjustRightInd/>
        <w:snapToGrid/>
        <w:spacing w:before="0" w:after="0" w:line="560" w:lineRule="exact"/>
        <w:ind w:left="0" w:leftChars="0"/>
        <w:jc w:val="center"/>
        <w:textAlignment w:val="auto"/>
        <w:outlineLvl w:val="9"/>
        <w:rPr>
          <w:rFonts w:hint="eastAsia" w:ascii="方正小标宋简体" w:hAnsi="宋体" w:eastAsia="方正小标宋简体"/>
          <w:color w:val="auto"/>
          <w:spacing w:val="10"/>
          <w:sz w:val="44"/>
          <w:szCs w:val="44"/>
          <w:u w:val="none"/>
        </w:rPr>
      </w:pPr>
      <w:r>
        <w:rPr>
          <w:rFonts w:hint="eastAsia" w:ascii="方正小标宋简体" w:hAnsi="宋体" w:eastAsia="方正小标宋简体"/>
          <w:color w:val="auto"/>
          <w:spacing w:val="10"/>
          <w:sz w:val="44"/>
          <w:szCs w:val="44"/>
          <w:u w:val="none"/>
        </w:rPr>
        <w:t>发文情况汇总表</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宋体" w:eastAsia="方正小标宋简体"/>
          <w:color w:val="auto"/>
          <w:spacing w:val="10"/>
          <w:sz w:val="44"/>
          <w:szCs w:val="44"/>
          <w:u w:val="none"/>
        </w:rPr>
      </w:pPr>
    </w:p>
    <w:p>
      <w:pPr>
        <w:pStyle w:val="4"/>
        <w:widowControl w:val="0"/>
        <w:wordWrap/>
        <w:adjustRightInd/>
        <w:snapToGrid/>
        <w:spacing w:before="0" w:beforeAutospacing="0" w:after="0" w:afterAutospacing="0" w:line="560" w:lineRule="exact"/>
        <w:ind w:left="0" w:leftChars="0"/>
        <w:jc w:val="both"/>
        <w:textAlignment w:val="auto"/>
        <w:outlineLvl w:val="9"/>
        <w:rPr>
          <w:rFonts w:hint="eastAsia" w:eastAsia="楷体_GB2312"/>
          <w:color w:val="auto"/>
          <w:spacing w:val="10"/>
          <w:sz w:val="32"/>
          <w:szCs w:val="32"/>
          <w:u w:val="none"/>
        </w:rPr>
      </w:pPr>
      <w:r>
        <w:rPr>
          <w:rFonts w:hint="eastAsia" w:eastAsia="楷体_GB2312"/>
          <w:color w:val="auto"/>
          <w:spacing w:val="10"/>
          <w:sz w:val="32"/>
          <w:szCs w:val="32"/>
          <w:u w:val="none"/>
        </w:rPr>
        <w:t>填报单位（加盖公章）：                填报时间：</w:t>
      </w:r>
    </w:p>
    <w:tbl>
      <w:tblPr>
        <w:tblStyle w:val="5"/>
        <w:tblW w:w="1003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18"/>
        <w:gridCol w:w="1914"/>
        <w:gridCol w:w="3595"/>
        <w:gridCol w:w="2165"/>
        <w:gridCol w:w="16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718"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序号</w:t>
            </w:r>
          </w:p>
        </w:tc>
        <w:tc>
          <w:tcPr>
            <w:tcW w:w="1914"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文号</w:t>
            </w:r>
          </w:p>
        </w:tc>
        <w:tc>
          <w:tcPr>
            <w:tcW w:w="3595"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标题</w:t>
            </w:r>
          </w:p>
        </w:tc>
        <w:tc>
          <w:tcPr>
            <w:tcW w:w="2165"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主送单位</w:t>
            </w:r>
          </w:p>
        </w:tc>
        <w:tc>
          <w:tcPr>
            <w:tcW w:w="1641"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718"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1</w:t>
            </w:r>
          </w:p>
        </w:tc>
        <w:tc>
          <w:tcPr>
            <w:tcW w:w="1914"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3595"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2165"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1641"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718"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2</w:t>
            </w:r>
          </w:p>
        </w:tc>
        <w:tc>
          <w:tcPr>
            <w:tcW w:w="1914"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3595"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2165"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1641"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718"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3</w:t>
            </w:r>
          </w:p>
        </w:tc>
        <w:tc>
          <w:tcPr>
            <w:tcW w:w="1914"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3595"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2165"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1641"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r>
    </w:tbl>
    <w:p>
      <w:pPr>
        <w:pStyle w:val="4"/>
        <w:widowControl w:val="0"/>
        <w:wordWrap/>
        <w:adjustRightInd/>
        <w:snapToGrid/>
        <w:spacing w:before="0" w:beforeAutospacing="0" w:after="0" w:afterAutospacing="0" w:line="560" w:lineRule="exact"/>
        <w:ind w:left="0" w:leftChars="0"/>
        <w:jc w:val="both"/>
        <w:textAlignment w:val="auto"/>
        <w:outlineLvl w:val="9"/>
        <w:rPr>
          <w:rFonts w:hint="eastAsia" w:eastAsia="楷体_GB2312"/>
          <w:color w:val="auto"/>
          <w:spacing w:val="10"/>
          <w:sz w:val="32"/>
          <w:szCs w:val="32"/>
          <w:u w:val="none"/>
        </w:rPr>
      </w:pPr>
      <w:r>
        <w:rPr>
          <w:rFonts w:hint="eastAsia" w:eastAsia="楷体_GB2312"/>
          <w:color w:val="auto"/>
          <w:spacing w:val="10"/>
          <w:sz w:val="32"/>
          <w:szCs w:val="32"/>
          <w:u w:val="none"/>
        </w:rPr>
        <w:t>联系人：                       联系电话：</w:t>
      </w:r>
    </w:p>
    <w:p>
      <w:pPr>
        <w:wordWrap/>
        <w:adjustRightInd/>
        <w:snapToGrid/>
        <w:spacing w:before="0" w:after="0" w:line="560" w:lineRule="exact"/>
        <w:ind w:left="0" w:leftChars="0" w:firstLine="1089" w:firstLineChars="350"/>
        <w:textAlignment w:val="auto"/>
        <w:outlineLvl w:val="9"/>
        <w:rPr>
          <w:rFonts w:hint="eastAsia" w:ascii="黑体" w:eastAsia="黑体"/>
          <w:color w:val="auto"/>
          <w:szCs w:val="32"/>
          <w:u w:val="none"/>
        </w:rPr>
      </w:pPr>
    </w:p>
    <w:p>
      <w:pPr>
        <w:wordWrap/>
        <w:adjustRightInd/>
        <w:snapToGrid/>
        <w:spacing w:before="0" w:after="0" w:line="560" w:lineRule="exact"/>
        <w:ind w:left="0" w:leftChars="0" w:firstLine="1089" w:firstLineChars="350"/>
        <w:textAlignment w:val="auto"/>
        <w:outlineLvl w:val="9"/>
        <w:rPr>
          <w:rFonts w:hint="eastAsia" w:ascii="黑体" w:eastAsia="黑体"/>
          <w:color w:val="auto"/>
          <w:szCs w:val="32"/>
          <w:u w:val="none"/>
        </w:rPr>
      </w:pPr>
    </w:p>
    <w:p>
      <w:pPr>
        <w:wordWrap/>
        <w:adjustRightInd/>
        <w:snapToGrid/>
        <w:spacing w:before="0" w:after="0" w:line="560" w:lineRule="exact"/>
        <w:ind w:left="0" w:leftChars="0" w:firstLine="1089" w:firstLineChars="350"/>
        <w:textAlignment w:val="auto"/>
        <w:outlineLvl w:val="9"/>
        <w:rPr>
          <w:rFonts w:hint="eastAsia" w:ascii="黑体" w:eastAsia="黑体"/>
          <w:color w:val="auto"/>
          <w:szCs w:val="32"/>
          <w:u w:val="none"/>
        </w:rPr>
      </w:pPr>
    </w:p>
    <w:p>
      <w:pPr>
        <w:wordWrap/>
        <w:adjustRightInd/>
        <w:snapToGrid/>
        <w:spacing w:before="0" w:after="0" w:line="560" w:lineRule="exact"/>
        <w:ind w:left="0" w:leftChars="0" w:firstLine="1089" w:firstLineChars="350"/>
        <w:textAlignment w:val="auto"/>
        <w:outlineLvl w:val="9"/>
        <w:rPr>
          <w:rFonts w:hint="eastAsia" w:ascii="黑体" w:eastAsia="黑体"/>
          <w:color w:val="auto"/>
          <w:szCs w:val="32"/>
          <w:u w:val="none"/>
        </w:rPr>
      </w:pPr>
    </w:p>
    <w:p>
      <w:pPr>
        <w:wordWrap/>
        <w:adjustRightInd/>
        <w:snapToGrid/>
        <w:spacing w:before="0" w:after="0" w:line="560" w:lineRule="exact"/>
        <w:ind w:left="0" w:leftChars="0" w:firstLine="1089" w:firstLineChars="350"/>
        <w:textAlignment w:val="auto"/>
        <w:outlineLvl w:val="9"/>
        <w:rPr>
          <w:rFonts w:hint="eastAsia" w:ascii="黑体" w:eastAsia="黑体"/>
          <w:color w:val="auto"/>
          <w:szCs w:val="32"/>
          <w:u w:val="none"/>
        </w:rPr>
      </w:pPr>
    </w:p>
    <w:p>
      <w:pPr>
        <w:wordWrap/>
        <w:adjustRightInd/>
        <w:snapToGrid/>
        <w:spacing w:before="0" w:after="0" w:line="560" w:lineRule="exact"/>
        <w:ind w:left="0" w:leftChars="0" w:firstLine="1089" w:firstLineChars="350"/>
        <w:textAlignment w:val="auto"/>
        <w:outlineLvl w:val="9"/>
        <w:rPr>
          <w:rFonts w:hint="eastAsia" w:ascii="黑体" w:eastAsia="黑体"/>
          <w:color w:val="auto"/>
          <w:szCs w:val="32"/>
          <w:u w:val="none"/>
        </w:rPr>
      </w:pPr>
    </w:p>
    <w:p>
      <w:pPr>
        <w:wordWrap/>
        <w:adjustRightInd/>
        <w:snapToGrid/>
        <w:spacing w:before="0" w:after="0" w:line="560" w:lineRule="exact"/>
        <w:ind w:left="0" w:leftChars="0" w:firstLine="1089" w:firstLineChars="350"/>
        <w:textAlignment w:val="auto"/>
        <w:outlineLvl w:val="9"/>
        <w:rPr>
          <w:rFonts w:hint="eastAsia" w:ascii="黑体" w:eastAsia="黑体"/>
          <w:color w:val="auto"/>
          <w:szCs w:val="32"/>
          <w:u w:val="none"/>
        </w:rPr>
      </w:pPr>
    </w:p>
    <w:p>
      <w:pPr>
        <w:wordWrap/>
        <w:adjustRightInd/>
        <w:snapToGrid/>
        <w:spacing w:before="0" w:after="0" w:line="560" w:lineRule="exact"/>
        <w:ind w:left="0" w:leftChars="0" w:firstLine="1089" w:firstLineChars="350"/>
        <w:textAlignment w:val="auto"/>
        <w:outlineLvl w:val="9"/>
        <w:rPr>
          <w:rFonts w:hint="eastAsia" w:ascii="黑体" w:eastAsia="黑体"/>
          <w:color w:val="auto"/>
          <w:szCs w:val="32"/>
          <w:u w:val="none"/>
        </w:rPr>
      </w:pPr>
    </w:p>
    <w:p>
      <w:pPr>
        <w:wordWrap/>
        <w:adjustRightInd/>
        <w:snapToGrid/>
        <w:spacing w:before="0" w:after="0" w:line="560" w:lineRule="exact"/>
        <w:ind w:left="0" w:leftChars="0" w:firstLine="1089" w:firstLineChars="350"/>
        <w:textAlignment w:val="auto"/>
        <w:outlineLvl w:val="9"/>
        <w:rPr>
          <w:rFonts w:hint="eastAsia" w:ascii="黑体" w:eastAsia="黑体"/>
          <w:color w:val="auto"/>
          <w:szCs w:val="32"/>
          <w:u w:val="none"/>
        </w:rPr>
      </w:pPr>
    </w:p>
    <w:p>
      <w:pPr>
        <w:wordWrap/>
        <w:adjustRightInd/>
        <w:snapToGrid/>
        <w:spacing w:before="0" w:after="0" w:line="560" w:lineRule="exact"/>
        <w:ind w:left="0" w:leftChars="0" w:right="160"/>
        <w:textAlignment w:val="auto"/>
        <w:outlineLvl w:val="9"/>
        <w:rPr>
          <w:rFonts w:hint="eastAsia" w:ascii="黑体" w:hAnsi="黑体" w:eastAsia="黑体" w:cs="黑体"/>
          <w:color w:val="auto"/>
          <w:spacing w:val="10"/>
          <w:sz w:val="32"/>
          <w:szCs w:val="32"/>
          <w:u w:val="none"/>
        </w:rPr>
      </w:pPr>
      <w:r>
        <w:rPr>
          <w:rFonts w:ascii="仿宋_GB2312"/>
          <w:color w:val="auto"/>
          <w:szCs w:val="32"/>
          <w:u w:val="none"/>
        </w:rPr>
        <w:br w:type="page"/>
      </w:r>
      <w:r>
        <w:rPr>
          <w:rFonts w:hint="eastAsia" w:ascii="黑体" w:hAnsi="黑体" w:eastAsia="黑体" w:cs="黑体"/>
          <w:color w:val="auto"/>
          <w:spacing w:val="10"/>
          <w:sz w:val="32"/>
          <w:szCs w:val="32"/>
          <w:u w:val="none"/>
        </w:rPr>
        <w:t>附</w:t>
      </w:r>
      <w:r>
        <w:rPr>
          <w:rFonts w:hint="eastAsia" w:ascii="黑体" w:hAnsi="黑体" w:eastAsia="黑体" w:cs="黑体"/>
          <w:color w:val="auto"/>
          <w:spacing w:val="10"/>
          <w:sz w:val="32"/>
          <w:szCs w:val="32"/>
          <w:u w:val="none"/>
          <w:lang w:eastAsia="zh-CN"/>
        </w:rPr>
        <w:t>件</w:t>
      </w:r>
      <w:r>
        <w:rPr>
          <w:rFonts w:hint="eastAsia" w:ascii="黑体" w:hAnsi="黑体" w:eastAsia="黑体" w:cs="黑体"/>
          <w:color w:val="auto"/>
          <w:spacing w:val="10"/>
          <w:sz w:val="32"/>
          <w:szCs w:val="32"/>
          <w:u w:val="none"/>
          <w:lang w:val="en-US" w:eastAsia="zh-CN"/>
        </w:rPr>
        <w:t>2-1-3</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宋体" w:eastAsia="方正小标宋简体"/>
          <w:color w:val="auto"/>
          <w:spacing w:val="10"/>
          <w:szCs w:val="32"/>
          <w:u w:val="none"/>
        </w:rPr>
      </w:pPr>
    </w:p>
    <w:p>
      <w:pPr>
        <w:wordWrap/>
        <w:adjustRightInd/>
        <w:snapToGrid/>
        <w:spacing w:before="0" w:after="0" w:line="560" w:lineRule="exact"/>
        <w:ind w:left="0" w:leftChars="0"/>
        <w:jc w:val="center"/>
        <w:textAlignment w:val="auto"/>
        <w:outlineLvl w:val="9"/>
        <w:rPr>
          <w:rFonts w:hint="eastAsia" w:ascii="方正小标宋简体" w:hAnsi="宋体" w:eastAsia="方正小标宋简体"/>
          <w:color w:val="auto"/>
          <w:spacing w:val="10"/>
          <w:sz w:val="44"/>
          <w:szCs w:val="44"/>
          <w:u w:val="none"/>
        </w:rPr>
      </w:pPr>
      <w:r>
        <w:rPr>
          <w:rFonts w:hint="eastAsia" w:ascii="方正小标宋简体" w:hAnsi="宋体" w:eastAsia="方正小标宋简体"/>
          <w:color w:val="auto"/>
          <w:spacing w:val="10"/>
          <w:sz w:val="44"/>
          <w:szCs w:val="44"/>
          <w:u w:val="none"/>
        </w:rPr>
        <w:t>会议情况报备表</w:t>
      </w:r>
    </w:p>
    <w:p>
      <w:pPr>
        <w:widowControl w:val="0"/>
        <w:wordWrap/>
        <w:adjustRightInd/>
        <w:snapToGrid/>
        <w:spacing w:before="0" w:after="0" w:line="560" w:lineRule="exact"/>
        <w:ind w:left="0" w:leftChars="0" w:right="0" w:firstLine="0" w:firstLineChars="0"/>
        <w:jc w:val="center"/>
        <w:textAlignment w:val="auto"/>
        <w:outlineLvl w:val="9"/>
        <w:rPr>
          <w:rFonts w:hint="eastAsia" w:ascii="方正小标宋简体" w:hAnsi="宋体" w:eastAsia="方正小标宋简体"/>
          <w:color w:val="auto"/>
          <w:spacing w:val="10"/>
          <w:szCs w:val="32"/>
          <w:u w:val="none"/>
        </w:rPr>
      </w:pPr>
    </w:p>
    <w:p>
      <w:pPr>
        <w:pStyle w:val="4"/>
        <w:widowControl w:val="0"/>
        <w:wordWrap/>
        <w:adjustRightInd/>
        <w:snapToGrid/>
        <w:spacing w:before="0" w:beforeAutospacing="0" w:after="0" w:afterAutospacing="0" w:line="560" w:lineRule="exact"/>
        <w:ind w:left="0" w:leftChars="0"/>
        <w:jc w:val="both"/>
        <w:textAlignment w:val="auto"/>
        <w:outlineLvl w:val="9"/>
        <w:rPr>
          <w:rFonts w:hint="eastAsia" w:eastAsia="楷体_GB2312"/>
          <w:color w:val="auto"/>
          <w:spacing w:val="10"/>
          <w:sz w:val="32"/>
          <w:szCs w:val="32"/>
          <w:u w:val="none"/>
        </w:rPr>
      </w:pPr>
      <w:r>
        <w:rPr>
          <w:rFonts w:hint="eastAsia" w:eastAsia="楷体_GB2312"/>
          <w:color w:val="auto"/>
          <w:spacing w:val="10"/>
          <w:sz w:val="32"/>
          <w:szCs w:val="32"/>
          <w:u w:val="none"/>
        </w:rPr>
        <w:t>填报单位（加盖公章）：                填报时间：</w:t>
      </w:r>
    </w:p>
    <w:tbl>
      <w:tblPr>
        <w:tblStyle w:val="5"/>
        <w:tblW w:w="1003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18"/>
        <w:gridCol w:w="3714"/>
        <w:gridCol w:w="1800"/>
        <w:gridCol w:w="2520"/>
        <w:gridCol w:w="12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718"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序号</w:t>
            </w:r>
          </w:p>
        </w:tc>
        <w:tc>
          <w:tcPr>
            <w:tcW w:w="3714"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会议名称及主要内容</w:t>
            </w:r>
          </w:p>
        </w:tc>
        <w:tc>
          <w:tcPr>
            <w:tcW w:w="1800"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召开时间</w:t>
            </w:r>
          </w:p>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及天数</w:t>
            </w:r>
          </w:p>
        </w:tc>
        <w:tc>
          <w:tcPr>
            <w:tcW w:w="2520"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会议规模</w:t>
            </w:r>
          </w:p>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及参会对象</w:t>
            </w:r>
          </w:p>
        </w:tc>
        <w:tc>
          <w:tcPr>
            <w:tcW w:w="1281"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ascii="楷体_GB2312" w:eastAsia="楷体_GB2312"/>
                <w:color w:val="auto"/>
                <w:spacing w:val="10"/>
                <w:sz w:val="32"/>
                <w:szCs w:val="32"/>
                <w:u w:val="none"/>
              </w:rPr>
            </w:pPr>
            <w:r>
              <w:rPr>
                <w:rFonts w:hint="eastAsia" w:ascii="楷体_GB2312" w:eastAsia="楷体_GB2312"/>
                <w:color w:val="auto"/>
                <w:spacing w:val="10"/>
                <w:sz w:val="32"/>
                <w:szCs w:val="32"/>
                <w:u w:val="none"/>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718"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r>
              <w:rPr>
                <w:rFonts w:hint="eastAsia"/>
                <w:color w:val="auto"/>
                <w:spacing w:val="10"/>
                <w:sz w:val="32"/>
                <w:szCs w:val="32"/>
                <w:u w:val="none"/>
              </w:rPr>
              <w:t>1</w:t>
            </w:r>
          </w:p>
        </w:tc>
        <w:tc>
          <w:tcPr>
            <w:tcW w:w="3714"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1800"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2520"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1281"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718"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r>
              <w:rPr>
                <w:rFonts w:hint="eastAsia"/>
                <w:color w:val="auto"/>
                <w:spacing w:val="10"/>
                <w:sz w:val="32"/>
                <w:szCs w:val="32"/>
                <w:u w:val="none"/>
              </w:rPr>
              <w:t>2</w:t>
            </w:r>
          </w:p>
        </w:tc>
        <w:tc>
          <w:tcPr>
            <w:tcW w:w="3714"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1800"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2520"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1281"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03" w:hRule="atLeast"/>
          <w:jc w:val="center"/>
        </w:trPr>
        <w:tc>
          <w:tcPr>
            <w:tcW w:w="718"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r>
              <w:rPr>
                <w:rFonts w:hint="eastAsia"/>
                <w:color w:val="auto"/>
                <w:spacing w:val="10"/>
                <w:sz w:val="32"/>
                <w:szCs w:val="32"/>
                <w:u w:val="none"/>
              </w:rPr>
              <w:t>3</w:t>
            </w:r>
          </w:p>
        </w:tc>
        <w:tc>
          <w:tcPr>
            <w:tcW w:w="3714"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1800"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2520"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c>
          <w:tcPr>
            <w:tcW w:w="1281" w:type="dxa"/>
            <w:vAlign w:val="center"/>
          </w:tcPr>
          <w:p>
            <w:pPr>
              <w:pStyle w:val="4"/>
              <w:widowControl w:val="0"/>
              <w:wordWrap/>
              <w:adjustRightInd/>
              <w:snapToGrid/>
              <w:spacing w:before="0" w:beforeAutospacing="0" w:after="0" w:afterAutospacing="0" w:line="560" w:lineRule="exact"/>
              <w:ind w:left="0" w:leftChars="0"/>
              <w:jc w:val="center"/>
              <w:textAlignment w:val="auto"/>
              <w:outlineLvl w:val="9"/>
              <w:rPr>
                <w:rFonts w:hint="eastAsia"/>
                <w:color w:val="auto"/>
                <w:spacing w:val="10"/>
                <w:sz w:val="32"/>
                <w:szCs w:val="32"/>
                <w:u w:val="none"/>
              </w:rPr>
            </w:pPr>
          </w:p>
        </w:tc>
      </w:tr>
    </w:tbl>
    <w:p>
      <w:pPr>
        <w:pStyle w:val="4"/>
        <w:widowControl w:val="0"/>
        <w:wordWrap/>
        <w:adjustRightInd/>
        <w:snapToGrid/>
        <w:spacing w:before="0" w:beforeAutospacing="0" w:after="0" w:afterAutospacing="0" w:line="560" w:lineRule="exact"/>
        <w:ind w:left="0" w:leftChars="0"/>
        <w:jc w:val="both"/>
        <w:textAlignment w:val="auto"/>
        <w:outlineLvl w:val="9"/>
        <w:rPr>
          <w:rFonts w:hint="eastAsia" w:eastAsia="楷体_GB2312"/>
          <w:color w:val="auto"/>
          <w:spacing w:val="10"/>
          <w:sz w:val="32"/>
          <w:szCs w:val="32"/>
          <w:u w:val="none"/>
        </w:rPr>
      </w:pPr>
      <w:r>
        <w:rPr>
          <w:rFonts w:hint="eastAsia" w:eastAsia="楷体_GB2312"/>
          <w:color w:val="auto"/>
          <w:spacing w:val="10"/>
          <w:sz w:val="32"/>
          <w:szCs w:val="32"/>
          <w:u w:val="none"/>
        </w:rPr>
        <w:t>联系人：                          联系电话：</w:t>
      </w:r>
    </w:p>
    <w:p>
      <w:pPr>
        <w:wordWrap/>
        <w:adjustRightInd/>
        <w:snapToGrid/>
        <w:spacing w:before="0" w:after="0" w:line="560" w:lineRule="exact"/>
        <w:ind w:left="0" w:leftChars="0"/>
        <w:textAlignment w:val="auto"/>
        <w:outlineLvl w:val="9"/>
        <w:rPr>
          <w:rFonts w:hint="eastAsia" w:ascii="黑体" w:eastAsia="黑体"/>
          <w:color w:val="auto"/>
          <w:szCs w:val="32"/>
          <w:u w:val="none"/>
        </w:rPr>
      </w:pPr>
    </w:p>
    <w:p>
      <w:pPr>
        <w:wordWrap/>
        <w:adjustRightInd/>
        <w:snapToGrid/>
        <w:spacing w:before="0" w:after="0" w:line="560" w:lineRule="exact"/>
        <w:ind w:left="0" w:leftChars="0"/>
        <w:textAlignment w:val="auto"/>
        <w:outlineLvl w:val="9"/>
        <w:rPr>
          <w:rFonts w:hint="eastAsia" w:ascii="黑体" w:eastAsia="黑体"/>
          <w:color w:val="auto"/>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idowControl w:val="0"/>
        <w:wordWrap/>
        <w:adjustRightInd/>
        <w:snapToGrid/>
        <w:spacing w:line="580" w:lineRule="exact"/>
        <w:textAlignment w:val="auto"/>
        <w:rPr>
          <w:rFonts w:hint="eastAsia" w:ascii="仿宋_GB2312" w:hAnsi="仿宋_GB2312" w:eastAsia="仿宋_GB2312" w:cs="仿宋_GB2312"/>
          <w:color w:val="auto"/>
          <w:sz w:val="32"/>
          <w:szCs w:val="32"/>
          <w:u w:val="none"/>
        </w:rPr>
      </w:pPr>
    </w:p>
    <w:p>
      <w:pPr>
        <w:wordWrap/>
        <w:snapToGrid/>
        <w:spacing w:before="0" w:after="0" w:line="560" w:lineRule="exact"/>
        <w:ind w:left="0" w:leftChars="0" w:right="0"/>
        <w:jc w:val="both"/>
        <w:textAlignment w:val="auto"/>
        <w:outlineLvl w:val="9"/>
        <w:rPr>
          <w:rFonts w:hint="eastAsia" w:ascii="方正小标宋简体" w:hAnsi="黑体" w:eastAsia="方正小标宋简体" w:cs="黑体"/>
          <w:bCs/>
          <w:color w:val="auto"/>
          <w:sz w:val="44"/>
          <w:szCs w:val="44"/>
          <w:u w:val="none"/>
        </w:rPr>
      </w:pPr>
    </w:p>
    <w:p>
      <w:pPr>
        <w:wordWrap/>
        <w:snapToGrid/>
        <w:spacing w:before="0" w:after="0" w:line="560" w:lineRule="exact"/>
        <w:ind w:left="0" w:leftChars="0" w:right="0"/>
        <w:jc w:val="left"/>
        <w:textAlignment w:val="auto"/>
        <w:outlineLvl w:val="9"/>
        <w:rPr>
          <w:rFonts w:hint="eastAsia" w:ascii="黑体" w:hAnsi="黑体" w:eastAsia="黑体" w:cs="黑体"/>
          <w:color w:val="auto"/>
          <w:spacing w:val="10"/>
          <w:sz w:val="32"/>
          <w:szCs w:val="32"/>
          <w:u w:val="none"/>
          <w:lang w:val="en-US" w:eastAsia="zh-CN"/>
        </w:rPr>
      </w:pPr>
      <w:r>
        <w:rPr>
          <w:rFonts w:hint="eastAsia" w:ascii="黑体" w:hAnsi="黑体" w:eastAsia="黑体" w:cs="黑体"/>
          <w:color w:val="auto"/>
          <w:spacing w:val="10"/>
          <w:sz w:val="32"/>
          <w:szCs w:val="32"/>
          <w:u w:val="none"/>
          <w:lang w:val="en-US" w:eastAsia="zh-CN"/>
        </w:rPr>
        <w:t>附件2-2</w:t>
      </w:r>
    </w:p>
    <w:p>
      <w:pPr>
        <w:wordWrap/>
        <w:snapToGrid/>
        <w:spacing w:before="0" w:after="0" w:line="560" w:lineRule="exact"/>
        <w:ind w:left="0" w:leftChars="0" w:right="0"/>
        <w:jc w:val="center"/>
        <w:textAlignment w:val="auto"/>
        <w:outlineLvl w:val="9"/>
        <w:rPr>
          <w:rFonts w:hint="eastAsia" w:ascii="宋体" w:hAnsi="宋体" w:eastAsia="方正小标宋简体" w:cs="方正小标宋简体"/>
          <w:color w:val="auto"/>
          <w:spacing w:val="10"/>
          <w:sz w:val="44"/>
          <w:szCs w:val="44"/>
          <w:u w:val="none"/>
          <w:lang w:val="en-US" w:eastAsia="zh-CN"/>
        </w:rPr>
      </w:pPr>
    </w:p>
    <w:p>
      <w:pPr>
        <w:wordWrap/>
        <w:snapToGrid/>
        <w:spacing w:before="0" w:after="0" w:line="560" w:lineRule="exact"/>
        <w:ind w:left="0" w:leftChars="0" w:right="0"/>
        <w:jc w:val="center"/>
        <w:textAlignment w:val="auto"/>
        <w:outlineLvl w:val="9"/>
        <w:rPr>
          <w:rFonts w:hint="eastAsia" w:ascii="宋体" w:hAnsi="宋体" w:eastAsia="方正小标宋简体" w:cs="方正小标宋简体"/>
          <w:color w:val="auto"/>
          <w:spacing w:val="10"/>
          <w:sz w:val="44"/>
          <w:szCs w:val="44"/>
          <w:u w:val="none"/>
          <w:lang w:eastAsia="zh-CN"/>
        </w:rPr>
      </w:pPr>
      <w:r>
        <w:rPr>
          <w:rFonts w:hint="eastAsia" w:ascii="宋体" w:hAnsi="宋体" w:eastAsia="方正小标宋简体" w:cs="方正小标宋简体"/>
          <w:color w:val="auto"/>
          <w:spacing w:val="10"/>
          <w:sz w:val="44"/>
          <w:szCs w:val="44"/>
          <w:u w:val="none"/>
          <w:lang w:val="en-US" w:eastAsia="zh-CN"/>
        </w:rPr>
        <w:t>“</w:t>
      </w:r>
      <w:r>
        <w:rPr>
          <w:rFonts w:hint="eastAsia" w:ascii="宋体" w:hAnsi="宋体" w:eastAsia="方正小标宋简体" w:cs="方正小标宋简体"/>
          <w:color w:val="auto"/>
          <w:spacing w:val="10"/>
          <w:sz w:val="44"/>
          <w:szCs w:val="44"/>
          <w:u w:val="none"/>
        </w:rPr>
        <w:t>e三明</w:t>
      </w:r>
      <w:r>
        <w:rPr>
          <w:rFonts w:hint="eastAsia" w:ascii="宋体" w:hAnsi="宋体" w:eastAsia="方正小标宋简体" w:cs="方正小标宋简体"/>
          <w:color w:val="auto"/>
          <w:spacing w:val="10"/>
          <w:sz w:val="44"/>
          <w:szCs w:val="44"/>
          <w:u w:val="none"/>
          <w:lang w:val="en-US" w:eastAsia="zh-CN"/>
        </w:rPr>
        <w:t>”</w:t>
      </w:r>
      <w:r>
        <w:rPr>
          <w:rFonts w:hint="eastAsia" w:ascii="宋体" w:hAnsi="宋体" w:eastAsia="方正小标宋简体" w:cs="方正小标宋简体"/>
          <w:color w:val="auto"/>
          <w:spacing w:val="10"/>
          <w:sz w:val="44"/>
          <w:szCs w:val="44"/>
          <w:u w:val="none"/>
        </w:rPr>
        <w:t>办理</w:t>
      </w:r>
      <w:r>
        <w:rPr>
          <w:rFonts w:hint="eastAsia" w:ascii="宋体" w:hAnsi="宋体" w:eastAsia="方正小标宋简体" w:cs="方正小标宋简体"/>
          <w:color w:val="auto"/>
          <w:spacing w:val="10"/>
          <w:sz w:val="44"/>
          <w:szCs w:val="44"/>
          <w:u w:val="none"/>
          <w:lang w:eastAsia="zh-CN"/>
        </w:rPr>
        <w:t>情况</w:t>
      </w:r>
      <w:r>
        <w:rPr>
          <w:rFonts w:hint="eastAsia" w:ascii="宋体" w:hAnsi="宋体" w:eastAsia="方正小标宋简体" w:cs="方正小标宋简体"/>
          <w:color w:val="auto"/>
          <w:spacing w:val="10"/>
          <w:sz w:val="44"/>
          <w:szCs w:val="44"/>
          <w:u w:val="none"/>
        </w:rPr>
        <w:t>考评</w:t>
      </w:r>
      <w:r>
        <w:rPr>
          <w:rFonts w:hint="eastAsia" w:ascii="宋体" w:hAnsi="宋体" w:eastAsia="方正小标宋简体" w:cs="方正小标宋简体"/>
          <w:color w:val="auto"/>
          <w:spacing w:val="10"/>
          <w:sz w:val="44"/>
          <w:szCs w:val="44"/>
          <w:u w:val="none"/>
          <w:lang w:eastAsia="zh-CN"/>
        </w:rPr>
        <w:t>细化方案</w:t>
      </w:r>
    </w:p>
    <w:p>
      <w:pPr>
        <w:wordWrap/>
        <w:adjustRightInd/>
        <w:snapToGrid/>
        <w:spacing w:before="0" w:after="0" w:line="560" w:lineRule="exact"/>
        <w:ind w:left="0" w:leftChars="0" w:right="0"/>
        <w:jc w:val="center"/>
        <w:textAlignment w:val="auto"/>
        <w:outlineLvl w:val="9"/>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lang w:eastAsia="zh-CN"/>
        </w:rPr>
        <w:t>（考评牵头单位：“e三明”办）</w:t>
      </w:r>
    </w:p>
    <w:p>
      <w:pPr>
        <w:wordWrap/>
        <w:snapToGrid/>
        <w:spacing w:before="0" w:after="0" w:line="560" w:lineRule="exact"/>
        <w:ind w:left="0" w:leftChars="0" w:right="0"/>
        <w:textAlignment w:val="auto"/>
        <w:outlineLvl w:val="9"/>
        <w:rPr>
          <w:rFonts w:hint="eastAsia" w:ascii="仿宋" w:hAnsi="仿宋" w:eastAsia="仿宋" w:cs="仿宋"/>
          <w:color w:val="auto"/>
          <w:spacing w:val="10"/>
          <w:sz w:val="32"/>
          <w:szCs w:val="32"/>
          <w:u w:val="none"/>
          <w:lang w:eastAsia="zh-CN"/>
        </w:rPr>
      </w:pPr>
    </w:p>
    <w:p>
      <w:pPr>
        <w:widowControl w:val="0"/>
        <w:wordWrap/>
        <w:adjustRightInd/>
        <w:snapToGrid/>
        <w:spacing w:before="0" w:after="0" w:line="560" w:lineRule="exact"/>
        <w:ind w:left="0" w:leftChars="0" w:right="0" w:firstLine="630"/>
        <w:jc w:val="both"/>
        <w:textAlignment w:val="auto"/>
        <w:outlineLvl w:val="9"/>
        <w:rPr>
          <w:rFonts w:hint="eastAsia" w:ascii="黑体" w:hAnsi="黑体" w:eastAsia="黑体" w:cs="黑体"/>
          <w:b w:val="0"/>
          <w:bCs w:val="0"/>
          <w:color w:val="auto"/>
          <w:spacing w:val="10"/>
          <w:sz w:val="32"/>
          <w:szCs w:val="32"/>
          <w:u w:val="none"/>
          <w:lang w:eastAsia="zh-CN"/>
        </w:rPr>
      </w:pPr>
      <w:r>
        <w:rPr>
          <w:rFonts w:hint="eastAsia" w:ascii="黑体" w:hAnsi="黑体" w:eastAsia="黑体" w:cs="黑体"/>
          <w:b w:val="0"/>
          <w:bCs w:val="0"/>
          <w:color w:val="auto"/>
          <w:spacing w:val="10"/>
          <w:sz w:val="32"/>
          <w:szCs w:val="32"/>
          <w:u w:val="none"/>
          <w:lang w:eastAsia="zh-CN"/>
        </w:rPr>
        <w:t>一、考评内容</w:t>
      </w:r>
    </w:p>
    <w:p>
      <w:pPr>
        <w:widowControl w:val="0"/>
        <w:wordWrap/>
        <w:adjustRightInd/>
        <w:snapToGrid/>
        <w:spacing w:before="0" w:after="0" w:line="560" w:lineRule="exact"/>
        <w:ind w:left="0" w:leftChars="0" w:right="0" w:firstLine="630"/>
        <w:jc w:val="both"/>
        <w:textAlignment w:val="auto"/>
        <w:outlineLvl w:val="9"/>
        <w:rPr>
          <w:rFonts w:hint="eastAsia" w:ascii="仿宋" w:hAnsi="仿宋" w:eastAsia="仿宋" w:cs="仿宋"/>
          <w:b w:val="0"/>
          <w:bCs w:val="0"/>
          <w:color w:val="auto"/>
          <w:spacing w:val="10"/>
          <w:sz w:val="32"/>
          <w:szCs w:val="32"/>
          <w:u w:val="none"/>
          <w:lang w:val="en-US" w:eastAsia="zh-CN"/>
        </w:rPr>
      </w:pPr>
      <w:r>
        <w:rPr>
          <w:rFonts w:hint="eastAsia" w:ascii="仿宋" w:hAnsi="仿宋" w:eastAsia="仿宋" w:cs="仿宋"/>
          <w:b w:val="0"/>
          <w:bCs w:val="0"/>
          <w:color w:val="auto"/>
          <w:spacing w:val="10"/>
          <w:sz w:val="32"/>
          <w:szCs w:val="32"/>
          <w:u w:val="none"/>
          <w:lang w:eastAsia="zh-CN"/>
        </w:rPr>
        <w:t>分为三项考评，其中：平台服务</w:t>
      </w:r>
      <w:r>
        <w:rPr>
          <w:rFonts w:hint="eastAsia" w:ascii="仿宋" w:hAnsi="仿宋" w:eastAsia="仿宋" w:cs="仿宋"/>
          <w:b w:val="0"/>
          <w:bCs w:val="0"/>
          <w:color w:val="auto"/>
          <w:spacing w:val="10"/>
          <w:sz w:val="32"/>
          <w:szCs w:val="32"/>
          <w:u w:val="none"/>
          <w:lang w:val="en-US" w:eastAsia="zh-CN"/>
        </w:rPr>
        <w:t>4分，</w:t>
      </w:r>
      <w:r>
        <w:rPr>
          <w:rFonts w:hint="eastAsia" w:ascii="仿宋" w:hAnsi="仿宋" w:eastAsia="仿宋" w:cs="仿宋"/>
          <w:b w:val="0"/>
          <w:bCs w:val="0"/>
          <w:color w:val="auto"/>
          <w:spacing w:val="10"/>
          <w:sz w:val="32"/>
          <w:szCs w:val="32"/>
          <w:u w:val="none"/>
          <w:lang w:eastAsia="zh-CN"/>
        </w:rPr>
        <w:t>诉求办理</w:t>
      </w:r>
      <w:r>
        <w:rPr>
          <w:rFonts w:hint="eastAsia" w:ascii="仿宋" w:hAnsi="仿宋" w:eastAsia="仿宋" w:cs="仿宋"/>
          <w:b w:val="0"/>
          <w:bCs w:val="0"/>
          <w:color w:val="auto"/>
          <w:spacing w:val="10"/>
          <w:sz w:val="32"/>
          <w:szCs w:val="32"/>
          <w:u w:val="none"/>
          <w:lang w:val="en-US" w:eastAsia="zh-CN"/>
        </w:rPr>
        <w:t>4分，</w:t>
      </w:r>
      <w:r>
        <w:rPr>
          <w:rFonts w:hint="eastAsia" w:ascii="仿宋" w:hAnsi="仿宋" w:eastAsia="仿宋" w:cs="仿宋"/>
          <w:b w:val="0"/>
          <w:bCs w:val="0"/>
          <w:color w:val="auto"/>
          <w:spacing w:val="10"/>
          <w:sz w:val="32"/>
          <w:szCs w:val="32"/>
          <w:u w:val="none"/>
          <w:lang w:eastAsia="zh-CN"/>
        </w:rPr>
        <w:t>宣传资讯</w:t>
      </w:r>
      <w:r>
        <w:rPr>
          <w:rFonts w:hint="eastAsia" w:ascii="仿宋" w:hAnsi="仿宋" w:eastAsia="仿宋" w:cs="仿宋"/>
          <w:b w:val="0"/>
          <w:bCs w:val="0"/>
          <w:color w:val="auto"/>
          <w:spacing w:val="10"/>
          <w:sz w:val="32"/>
          <w:szCs w:val="32"/>
          <w:u w:val="none"/>
          <w:lang w:val="en-US" w:eastAsia="zh-CN"/>
        </w:rPr>
        <w:t>2分。单项均以百分制计算，之后折算成最终得分。</w:t>
      </w:r>
    </w:p>
    <w:p>
      <w:pPr>
        <w:numPr>
          <w:ilvl w:val="0"/>
          <w:numId w:val="3"/>
        </w:numPr>
        <w:wordWrap/>
        <w:snapToGrid/>
        <w:spacing w:before="0" w:after="0" w:line="560" w:lineRule="exact"/>
        <w:ind w:left="0" w:leftChars="0" w:right="0" w:firstLine="662" w:firstLineChars="200"/>
        <w:jc w:val="left"/>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pacing w:val="10"/>
          <w:sz w:val="32"/>
          <w:szCs w:val="32"/>
          <w:u w:val="none"/>
        </w:rPr>
        <w:t>“</w:t>
      </w:r>
      <w:r>
        <w:rPr>
          <w:rFonts w:hint="eastAsia" w:ascii="黑体" w:hAnsi="黑体" w:eastAsia="黑体" w:cs="黑体"/>
          <w:b w:val="0"/>
          <w:bCs w:val="0"/>
          <w:color w:val="auto"/>
          <w:sz w:val="32"/>
          <w:szCs w:val="32"/>
          <w:u w:val="none"/>
        </w:rPr>
        <w:t>e三明</w:t>
      </w:r>
      <w:r>
        <w:rPr>
          <w:rFonts w:hint="eastAsia" w:ascii="黑体" w:hAnsi="黑体" w:eastAsia="黑体" w:cs="黑体"/>
          <w:b w:val="0"/>
          <w:bCs w:val="0"/>
          <w:color w:val="auto"/>
          <w:spacing w:val="10"/>
          <w:sz w:val="32"/>
          <w:szCs w:val="32"/>
          <w:u w:val="none"/>
        </w:rPr>
        <w:t>”</w:t>
      </w:r>
      <w:r>
        <w:rPr>
          <w:rFonts w:hint="eastAsia" w:ascii="黑体" w:hAnsi="黑体" w:eastAsia="黑体" w:cs="黑体"/>
          <w:b w:val="0"/>
          <w:bCs w:val="0"/>
          <w:color w:val="auto"/>
          <w:sz w:val="32"/>
          <w:szCs w:val="32"/>
          <w:u w:val="none"/>
        </w:rPr>
        <w:t>平台服务</w:t>
      </w:r>
      <w:r>
        <w:rPr>
          <w:rFonts w:hint="eastAsia" w:ascii="黑体" w:hAnsi="黑体" w:eastAsia="黑体" w:cs="黑体"/>
          <w:b w:val="0"/>
          <w:bCs w:val="0"/>
          <w:color w:val="auto"/>
          <w:sz w:val="32"/>
          <w:szCs w:val="32"/>
          <w:u w:val="none"/>
          <w:lang w:eastAsia="zh-CN"/>
        </w:rPr>
        <w:t>的考评</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rPr>
      </w:pPr>
      <w:r>
        <w:rPr>
          <w:rFonts w:hint="eastAsia" w:ascii="楷体" w:hAnsi="楷体" w:eastAsia="楷体" w:cs="楷体"/>
          <w:b w:val="0"/>
          <w:bCs w:val="0"/>
          <w:color w:val="auto"/>
          <w:sz w:val="32"/>
          <w:szCs w:val="32"/>
          <w:u w:val="none"/>
          <w:lang w:val="en-US" w:eastAsia="zh-CN"/>
        </w:rPr>
        <w:t xml:space="preserve">    </w:t>
      </w:r>
      <w:r>
        <w:rPr>
          <w:rFonts w:hint="eastAsia" w:ascii="楷体" w:hAnsi="楷体" w:eastAsia="楷体" w:cs="楷体"/>
          <w:b w:val="0"/>
          <w:bCs w:val="0"/>
          <w:color w:val="auto"/>
          <w:sz w:val="32"/>
          <w:szCs w:val="32"/>
          <w:u w:val="none"/>
          <w:lang w:eastAsia="zh-CN"/>
        </w:rPr>
        <w:t>（一）</w:t>
      </w:r>
      <w:r>
        <w:rPr>
          <w:rFonts w:hint="eastAsia" w:ascii="楷体" w:hAnsi="楷体" w:eastAsia="楷体" w:cs="楷体"/>
          <w:b w:val="0"/>
          <w:bCs w:val="0"/>
          <w:color w:val="auto"/>
          <w:sz w:val="32"/>
          <w:szCs w:val="32"/>
          <w:u w:val="none"/>
        </w:rPr>
        <w:t>e三明平台服务情况（35分）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（鉴于企事业单位不纳入绩效管理范围，下属企事业单位接入的服务，纳入其上级行业主管部门统计。）</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1.</w:t>
      </w:r>
      <w:r>
        <w:rPr>
          <w:rFonts w:hint="eastAsia" w:ascii="仿宋" w:hAnsi="仿宋" w:eastAsia="仿宋" w:cs="仿宋"/>
          <w:b w:val="0"/>
          <w:bCs w:val="0"/>
          <w:color w:val="auto"/>
          <w:sz w:val="32"/>
          <w:szCs w:val="32"/>
          <w:u w:val="none"/>
        </w:rPr>
        <w:t>服务接入情况（25分）。积极推动服务掌上办，将本部门面向公众的服务接入e三明平台，全部服务事项接入e三明的得25分，其余按接入服务比例得分。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服务接入情况得分=（上线e三明服务/部门所有服务）*25。</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lang w:eastAsia="zh-CN"/>
        </w:rPr>
        <w:t>系统保障情况(8分)。</w:t>
      </w:r>
      <w:r>
        <w:rPr>
          <w:rFonts w:hint="eastAsia" w:ascii="仿宋" w:hAnsi="仿宋" w:eastAsia="仿宋" w:cs="仿宋"/>
          <w:b w:val="0"/>
          <w:bCs w:val="0"/>
          <w:color w:val="auto"/>
          <w:sz w:val="32"/>
          <w:szCs w:val="32"/>
          <w:u w:val="none"/>
        </w:rPr>
        <w:t>保障接入e三明app服务事项用户体验，用户体验好，故障及时处理的得15分；发现体验不佳，不按要求优化的，每次扣3分；出现故障的，根据下列情况按照出现次数扣分：在2个小时内修复的，不扣分；在2-24个小时内修复的，每次扣1分；超过24个小时修复的，每次扣分2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b w:val="0"/>
          <w:bCs w:val="0"/>
          <w:color w:val="auto"/>
          <w:sz w:val="32"/>
          <w:szCs w:val="32"/>
          <w:u w:val="none"/>
          <w:lang w:eastAsia="zh-CN"/>
        </w:rPr>
        <w:t>服务接入质量（2分）。</w:t>
      </w:r>
      <w:r>
        <w:rPr>
          <w:rFonts w:hint="eastAsia" w:ascii="仿宋" w:hAnsi="仿宋" w:eastAsia="仿宋" w:cs="仿宋"/>
          <w:b w:val="0"/>
          <w:bCs w:val="0"/>
          <w:color w:val="auto"/>
          <w:sz w:val="32"/>
          <w:szCs w:val="32"/>
          <w:u w:val="none"/>
        </w:rPr>
        <w:t>接入e三明app的服务事项，2020年进入e三明APP用户访问前20名的事项，每个得2分；进入前21-50名的事项，每个得1分；进入前51-100名的，每个得0.5分。</w:t>
      </w:r>
    </w:p>
    <w:p>
      <w:pPr>
        <w:widowControl/>
        <w:wordWrap/>
        <w:autoSpaceDE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4.</w:t>
      </w:r>
      <w:r>
        <w:rPr>
          <w:rFonts w:hint="eastAsia" w:ascii="仿宋" w:hAnsi="仿宋" w:eastAsia="仿宋" w:cs="仿宋"/>
          <w:b w:val="0"/>
          <w:bCs w:val="0"/>
          <w:color w:val="auto"/>
          <w:sz w:val="32"/>
          <w:szCs w:val="32"/>
          <w:u w:val="none"/>
          <w:lang w:eastAsia="zh-CN"/>
        </w:rPr>
        <w:t>“一号通认”对接情况（扣分项）。</w:t>
      </w:r>
      <w:r>
        <w:rPr>
          <w:rFonts w:hint="eastAsia" w:ascii="仿宋" w:hAnsi="仿宋" w:eastAsia="仿宋" w:cs="仿宋"/>
          <w:b w:val="0"/>
          <w:bCs w:val="0"/>
          <w:color w:val="auto"/>
          <w:sz w:val="32"/>
          <w:szCs w:val="32"/>
          <w:u w:val="none"/>
        </w:rPr>
        <w:t>面向公众或企业的政务服务系统未依托福建省社会用户实名认证和授权平台进行注册认证的，每发现一个扣5分。</w:t>
      </w:r>
    </w:p>
    <w:p>
      <w:pPr>
        <w:widowControl/>
        <w:wordWrap/>
        <w:autoSpaceDE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5.</w:t>
      </w:r>
      <w:r>
        <w:rPr>
          <w:rFonts w:hint="eastAsia" w:ascii="仿宋" w:hAnsi="仿宋" w:eastAsia="仿宋" w:cs="仿宋"/>
          <w:b w:val="0"/>
          <w:bCs w:val="0"/>
          <w:color w:val="auto"/>
          <w:sz w:val="32"/>
          <w:szCs w:val="32"/>
          <w:u w:val="none"/>
          <w:lang w:eastAsia="zh-CN"/>
        </w:rPr>
        <w:t>政务服务APP整合情况（扣分项）。</w:t>
      </w:r>
      <w:r>
        <w:rPr>
          <w:rFonts w:hint="eastAsia" w:ascii="仿宋" w:hAnsi="仿宋" w:eastAsia="仿宋" w:cs="仿宋"/>
          <w:b w:val="0"/>
          <w:bCs w:val="0"/>
          <w:color w:val="auto"/>
          <w:sz w:val="32"/>
          <w:szCs w:val="32"/>
          <w:u w:val="none"/>
        </w:rPr>
        <w:t>违规新建面向公众或企业的政务服务APP，每发现一个扣20分。</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 xml:space="preserve">    （二）政务数据汇聚服务情况（20分）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1.</w:t>
      </w:r>
      <w:r>
        <w:rPr>
          <w:rFonts w:hint="eastAsia" w:ascii="仿宋" w:hAnsi="仿宋" w:eastAsia="仿宋" w:cs="仿宋"/>
          <w:b w:val="0"/>
          <w:bCs w:val="0"/>
          <w:color w:val="auto"/>
          <w:sz w:val="32"/>
          <w:szCs w:val="32"/>
          <w:u w:val="none"/>
          <w:lang w:eastAsia="zh-CN"/>
        </w:rPr>
        <w:t>政务信息资源目录梳理登记情况（2分）。</w:t>
      </w:r>
      <w:r>
        <w:rPr>
          <w:rFonts w:hint="eastAsia" w:ascii="仿宋" w:hAnsi="仿宋" w:eastAsia="仿宋" w:cs="仿宋"/>
          <w:b w:val="0"/>
          <w:bCs w:val="0"/>
          <w:color w:val="auto"/>
          <w:sz w:val="32"/>
          <w:szCs w:val="32"/>
          <w:u w:val="none"/>
        </w:rPr>
        <w:t>好的得2分,一般的得1分，差的得0 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lang w:eastAsia="zh-CN"/>
        </w:rPr>
        <w:t>数据汇聚情况（15分）。</w:t>
      </w:r>
      <w:r>
        <w:rPr>
          <w:rFonts w:hint="eastAsia" w:ascii="仿宋" w:hAnsi="仿宋" w:eastAsia="仿宋" w:cs="仿宋"/>
          <w:b w:val="0"/>
          <w:bCs w:val="0"/>
          <w:color w:val="auto"/>
          <w:sz w:val="32"/>
          <w:szCs w:val="32"/>
          <w:u w:val="none"/>
        </w:rPr>
        <w:t>根据目录数量情况或者市数政中心任务要求，完成全部数据汇聚得15分，其余按比例得分。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b w:val="0"/>
          <w:bCs w:val="0"/>
          <w:color w:val="auto"/>
          <w:sz w:val="32"/>
          <w:szCs w:val="32"/>
          <w:u w:val="none"/>
          <w:lang w:eastAsia="zh-CN"/>
        </w:rPr>
        <w:t>数据更新管理（2分）。</w:t>
      </w:r>
      <w:r>
        <w:rPr>
          <w:rFonts w:hint="eastAsia" w:ascii="仿宋" w:hAnsi="仿宋" w:eastAsia="仿宋" w:cs="仿宋"/>
          <w:b w:val="0"/>
          <w:bCs w:val="0"/>
          <w:color w:val="auto"/>
          <w:sz w:val="32"/>
          <w:szCs w:val="32"/>
          <w:u w:val="none"/>
        </w:rPr>
        <w:t>发现一个事项未按更新周期及时更新的，一次扣0.5分，扣完为止。</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4.</w:t>
      </w:r>
      <w:r>
        <w:rPr>
          <w:rFonts w:hint="eastAsia" w:ascii="仿宋" w:hAnsi="仿宋" w:eastAsia="仿宋" w:cs="仿宋"/>
          <w:b w:val="0"/>
          <w:bCs w:val="0"/>
          <w:color w:val="auto"/>
          <w:sz w:val="32"/>
          <w:szCs w:val="32"/>
          <w:u w:val="none"/>
          <w:lang w:eastAsia="zh-CN"/>
        </w:rPr>
        <w:t>数据质量管理（1分）。</w:t>
      </w:r>
      <w:r>
        <w:rPr>
          <w:rFonts w:hint="eastAsia" w:ascii="仿宋" w:hAnsi="仿宋" w:eastAsia="仿宋" w:cs="仿宋"/>
          <w:b w:val="0"/>
          <w:bCs w:val="0"/>
          <w:color w:val="auto"/>
          <w:sz w:val="32"/>
          <w:szCs w:val="32"/>
          <w:u w:val="none"/>
        </w:rPr>
        <w:t>在应用中发现所提供的数据错误的且无正当理由的，一次扣0.5分，扣完为止。</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5.</w:t>
      </w:r>
      <w:r>
        <w:rPr>
          <w:rFonts w:hint="eastAsia" w:ascii="仿宋" w:hAnsi="仿宋" w:eastAsia="仿宋" w:cs="仿宋"/>
          <w:b w:val="0"/>
          <w:bCs w:val="0"/>
          <w:color w:val="auto"/>
          <w:sz w:val="32"/>
          <w:szCs w:val="32"/>
          <w:u w:val="none"/>
          <w:lang w:eastAsia="zh-CN"/>
        </w:rPr>
        <w:t>政务数据共享应用奖励分。</w:t>
      </w:r>
      <w:r>
        <w:rPr>
          <w:rFonts w:hint="eastAsia" w:ascii="仿宋" w:hAnsi="仿宋" w:eastAsia="仿宋" w:cs="仿宋"/>
          <w:b w:val="0"/>
          <w:bCs w:val="0"/>
          <w:color w:val="auto"/>
          <w:sz w:val="32"/>
          <w:szCs w:val="32"/>
          <w:u w:val="none"/>
        </w:rPr>
        <w:t>利用政务数据汇聚平台推行全程网办事项，每项加1分。奖励后本项计分不超过本项总分值。</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 xml:space="preserve">    （三）政府网站保障服务情况（35分）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采用“基本分+加分、扣分”方式进行考评。</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1.</w:t>
      </w:r>
      <w:r>
        <w:rPr>
          <w:rFonts w:hint="eastAsia" w:ascii="仿宋" w:hAnsi="仿宋" w:eastAsia="仿宋" w:cs="仿宋"/>
          <w:b w:val="0"/>
          <w:bCs w:val="0"/>
          <w:color w:val="auto"/>
          <w:sz w:val="32"/>
          <w:szCs w:val="32"/>
          <w:u w:val="none"/>
          <w:lang w:eastAsia="zh-CN"/>
        </w:rPr>
        <w:t>政务公开信息报送情况（10分）。</w:t>
      </w:r>
      <w:r>
        <w:rPr>
          <w:rFonts w:hint="eastAsia" w:ascii="仿宋" w:hAnsi="仿宋" w:eastAsia="仿宋" w:cs="仿宋"/>
          <w:b w:val="0"/>
          <w:bCs w:val="0"/>
          <w:color w:val="auto"/>
          <w:sz w:val="32"/>
          <w:szCs w:val="32"/>
          <w:u w:val="none"/>
        </w:rPr>
        <w:t>按照《中华人民共和国政府信息公开条例》以及我市政务公开工作要求，及时、准确通过市政府门户网进行公开，好的得10分, 较好的得8分，一般的得5分，差的得0 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lang w:eastAsia="zh-CN"/>
        </w:rPr>
        <w:t>解读回应情况（10分）。</w:t>
      </w:r>
      <w:r>
        <w:rPr>
          <w:rFonts w:hint="eastAsia" w:ascii="仿宋" w:hAnsi="仿宋" w:eastAsia="仿宋" w:cs="仿宋"/>
          <w:b w:val="0"/>
          <w:bCs w:val="0"/>
          <w:color w:val="auto"/>
          <w:sz w:val="32"/>
          <w:szCs w:val="32"/>
          <w:u w:val="none"/>
        </w:rPr>
        <w:t>按照规定要求及时对制定的政策、文件进行解读，并按时间要求及时发布的，每条加1分；应制作</w:t>
      </w:r>
      <w:r>
        <w:rPr>
          <w:rFonts w:hint="eastAsia" w:ascii="仿宋" w:hAnsi="仿宋" w:eastAsia="仿宋" w:cs="仿宋"/>
          <w:b w:val="0"/>
          <w:bCs w:val="0"/>
          <w:color w:val="auto"/>
          <w:spacing w:val="-11"/>
          <w:sz w:val="32"/>
          <w:szCs w:val="32"/>
          <w:u w:val="none"/>
        </w:rPr>
        <w:t>发布而未发布的，每发现一条扣1分，未按时发布的，每条扣0.5分。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b w:val="0"/>
          <w:bCs w:val="0"/>
          <w:color w:val="auto"/>
          <w:sz w:val="32"/>
          <w:szCs w:val="32"/>
          <w:u w:val="none"/>
          <w:lang w:eastAsia="zh-CN"/>
        </w:rPr>
        <w:t>互动交流开展情况（15分）。</w:t>
      </w:r>
      <w:r>
        <w:rPr>
          <w:rFonts w:hint="eastAsia" w:ascii="仿宋" w:hAnsi="仿宋" w:eastAsia="仿宋" w:cs="仿宋"/>
          <w:b w:val="0"/>
          <w:bCs w:val="0"/>
          <w:color w:val="auto"/>
          <w:sz w:val="32"/>
          <w:szCs w:val="32"/>
          <w:u w:val="none"/>
        </w:rPr>
        <w:t>开展网上调查、意见征集两种调查征集活动，两种形式均开展1次的，得4分，对征集结果进行分析反馈的，1次得2分；按照在线访谈计划安排，认真做好访谈工作准备并按时开展访谈的，好的得7分，较好的得6分，一般的得5分，差的得0分，主动增加访谈次数，奖励5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4.</w:t>
      </w:r>
      <w:r>
        <w:rPr>
          <w:rFonts w:hint="eastAsia" w:ascii="仿宋" w:hAnsi="仿宋" w:eastAsia="仿宋" w:cs="仿宋"/>
          <w:b w:val="0"/>
          <w:bCs w:val="0"/>
          <w:color w:val="auto"/>
          <w:sz w:val="32"/>
          <w:szCs w:val="32"/>
          <w:u w:val="none"/>
          <w:lang w:eastAsia="zh-CN"/>
        </w:rPr>
        <w:t>部门网站（新媒体）建设情况。</w:t>
      </w:r>
      <w:r>
        <w:rPr>
          <w:rFonts w:hint="eastAsia" w:ascii="仿宋" w:hAnsi="仿宋" w:eastAsia="仿宋" w:cs="仿宋"/>
          <w:b w:val="0"/>
          <w:bCs w:val="0"/>
          <w:color w:val="auto"/>
          <w:sz w:val="32"/>
          <w:szCs w:val="32"/>
          <w:u w:val="none"/>
        </w:rPr>
        <w:t>本部门网站（新媒体）一旦出现被国务院办公厅或省政府办公厅通报的，或本部门产生的信息出现严重错误，被新闻媒体报道、造成不良影响的，发生一次扣20分。</w:t>
      </w:r>
    </w:p>
    <w:p>
      <w:pPr>
        <w:wordWrap/>
        <w:adjustRightInd w:val="0"/>
        <w:snapToGrid/>
        <w:spacing w:before="0" w:after="0" w:line="560" w:lineRule="exact"/>
        <w:ind w:left="0" w:leftChars="0" w:right="0" w:firstLine="622" w:firstLineChars="200"/>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（四）e三明服务推广情况（10分）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结合本部门相关活动或服务窗口（场所），积极主动推广e三明平台和上线e三明的部门服务，提供e三明宣传推广相关通知、活动方案、照片（或截图）等佐证材料，每场活动加5分。</w:t>
      </w:r>
    </w:p>
    <w:p>
      <w:pPr>
        <w:wordWrap/>
        <w:adjustRightInd w:val="0"/>
        <w:snapToGrid/>
        <w:spacing w:before="0" w:after="0" w:line="560" w:lineRule="exact"/>
        <w:ind w:left="0" w:leftChars="0" w:right="0" w:firstLine="622" w:firstLineChars="200"/>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（五）e三明其他工作情况</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1.</w:t>
      </w:r>
      <w:r>
        <w:rPr>
          <w:rFonts w:hint="eastAsia" w:ascii="仿宋" w:hAnsi="仿宋" w:eastAsia="仿宋" w:cs="仿宋"/>
          <w:b w:val="0"/>
          <w:bCs w:val="0"/>
          <w:color w:val="auto"/>
          <w:sz w:val="32"/>
          <w:szCs w:val="32"/>
          <w:u w:val="none"/>
        </w:rPr>
        <w:t>按时完成以市委、市政府会议纪要，市委办、政府办或e三明办通知等形式下达的市委、市政府关于e三明建设专项任务，未按时完成的，每项扣2分；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2.</w:t>
      </w:r>
      <w:r>
        <w:rPr>
          <w:rFonts w:hint="eastAsia" w:ascii="仿宋" w:hAnsi="仿宋" w:eastAsia="仿宋" w:cs="仿宋"/>
          <w:b w:val="0"/>
          <w:bCs w:val="0"/>
          <w:color w:val="auto"/>
          <w:sz w:val="32"/>
          <w:szCs w:val="32"/>
          <w:u w:val="none"/>
        </w:rPr>
        <w:t>完成e三明建设有关工作受到市委、市政府、市机关效能建设领导小组或省直有关部门表扬、嘉奖，以及市委、市政府主要领导批示表扬的，每项（次）加5分；与e三明建设有关的做法经验在省级以上推广或受到省以上领导批示肯定的，每项（次）加8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pacing w:val="10"/>
          <w:sz w:val="32"/>
          <w:szCs w:val="32"/>
          <w:u w:val="none"/>
          <w:lang w:val="en-US" w:eastAsia="zh-CN"/>
        </w:rPr>
      </w:pP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b w:val="0"/>
          <w:bCs w:val="0"/>
          <w:color w:val="auto"/>
          <w:sz w:val="32"/>
          <w:szCs w:val="32"/>
          <w:u w:val="none"/>
        </w:rPr>
        <w:t>围绕本方案的考核内容，在e三明办公室工作通报中，因工作成效好受到正面表扬的，每次加1分，已按前述第2项情形加分的，不再重复加分；因工作不落实、不到位或成效差等原因受到批评的，每次扣1分；被效能问责的，每次2分。</w:t>
      </w:r>
    </w:p>
    <w:p>
      <w:pPr>
        <w:wordWrap/>
        <w:snapToGrid/>
        <w:spacing w:before="0" w:after="0" w:line="560" w:lineRule="exact"/>
        <w:ind w:left="0" w:leftChars="0" w:right="0" w:firstLine="662" w:firstLineChars="200"/>
        <w:jc w:val="left"/>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pacing w:val="10"/>
          <w:sz w:val="32"/>
          <w:szCs w:val="32"/>
          <w:u w:val="none"/>
          <w:lang w:eastAsia="zh-CN"/>
        </w:rPr>
        <w:t>三、“</w:t>
      </w:r>
      <w:r>
        <w:rPr>
          <w:rFonts w:hint="eastAsia" w:ascii="黑体" w:hAnsi="黑体" w:eastAsia="黑体" w:cs="黑体"/>
          <w:b w:val="0"/>
          <w:bCs w:val="0"/>
          <w:color w:val="auto"/>
          <w:sz w:val="32"/>
          <w:szCs w:val="32"/>
          <w:u w:val="none"/>
        </w:rPr>
        <w:t>e三明</w:t>
      </w:r>
      <w:r>
        <w:rPr>
          <w:rFonts w:hint="eastAsia" w:ascii="黑体" w:hAnsi="黑体" w:eastAsia="黑体" w:cs="黑体"/>
          <w:b w:val="0"/>
          <w:bCs w:val="0"/>
          <w:color w:val="auto"/>
          <w:spacing w:val="10"/>
          <w:sz w:val="32"/>
          <w:szCs w:val="32"/>
          <w:u w:val="none"/>
          <w:lang w:eastAsia="zh-CN"/>
        </w:rPr>
        <w:t>”</w:t>
      </w:r>
      <w:r>
        <w:rPr>
          <w:rFonts w:hint="eastAsia" w:ascii="黑体" w:hAnsi="黑体" w:eastAsia="黑体" w:cs="黑体"/>
          <w:b w:val="0"/>
          <w:bCs w:val="0"/>
          <w:color w:val="auto"/>
          <w:sz w:val="32"/>
          <w:szCs w:val="32"/>
          <w:u w:val="none"/>
          <w:lang w:eastAsia="zh-CN"/>
        </w:rPr>
        <w:t>诉求办理的考评</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 xml:space="preserve">    （一）12345平台诉求办理情况(90分)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1.诉求件办理总量得分（5分）。部门办理诉求件总数前5名（包含第5名）得分5分；6-15名得4分；16-60名得3分；其余得2分。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2.诉求受理率得分（5分）。诉求受理率100%的，得5分；每下降1个百分点扣0.2分。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3.及时查阅率得分（25分）。及时查阅率得分=（1-逾期查阅件数/办结总数）×25（备注：逾期查阅件数以系统调取为准。）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4.按时办结率得分（25分）。按时办结率得分=（1-逾期办结件数/办结总数）×25（备注：逾期办结件数以系统调取为准。）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5.群众满意率得分（25分）。群众满意率得分=（1-不满意件数/办结总数）×25+（满意率低于98%，每下降0.1个百分点扣0.1分，封顶扣3分。）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6.申请更改或退回情况得分（3分）。承办单位高效办理群众诉求件得3分。对职能交叉，承办单位提出申请更改承办单位且造成不良影响的，或申请退回诉求件无说明正当理由的，每件扣0.5分，扣完3分为止。</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7.督办情况得分（2分）。及时高效办理诉求件的得2分，根据市12345平台督办次数情况酌情扣分。</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 xml:space="preserve">    （</w:t>
      </w:r>
      <w:r>
        <w:rPr>
          <w:rFonts w:hint="eastAsia" w:ascii="楷体" w:hAnsi="楷体" w:eastAsia="楷体" w:cs="楷体"/>
          <w:b w:val="0"/>
          <w:bCs w:val="0"/>
          <w:color w:val="auto"/>
          <w:spacing w:val="-11"/>
          <w:sz w:val="32"/>
          <w:szCs w:val="32"/>
          <w:u w:val="none"/>
          <w:lang w:val="en-US" w:eastAsia="zh-CN"/>
        </w:rPr>
        <w:t>二）落实政策法规、建立应急联动机制、知识库情况（10分）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1.对政策法律咨询工作组议定的诉求事项责任主体、兜底单位，积极服从并认真办理（5分）。承办单位积极服从并认真办理的得5分，不服从办理一次扣1分，答复不规范的扣0.5分，扣完5分为止。</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2.完成联动工作（4分）。拒不接受联动工作1次扣1分；敷衍了事1次扣1分，扣完4分为止。</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3.知识库内容的收集推送（1分）。收集、整理并推送本单位的职能职责、政策法规、常见问答等知识库信息，便于查询的得1分，未按要求管理知识库的酌情扣分。</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 xml:space="preserve">    （三）奖励分（3分）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1.工作情况受到省级以上领导批示肯定及表扬、表彰或督查激励措施支持的加2分。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2.办理的诉求件或典型做法被省效能办、省12345平台通报表扬的，或被省级及以上主流媒体正面报道的加1分。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3.诉求件办理情况得到省分管领导或市委、市政府主要领导批示肯定的，加1分。</w:t>
      </w:r>
    </w:p>
    <w:p>
      <w:p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4.被e三明办、市效能办通报表扬的，或被市级主流媒体正面报道的，每件（次）加0.5分。同一办件被多次表扬的就高加分一次，此项封顶3分。</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 xml:space="preserve">    （四）扣分项（3分）</w:t>
      </w:r>
    </w:p>
    <w:p>
      <w:pPr>
        <w:wordWrap/>
        <w:snapToGrid/>
        <w:spacing w:before="0" w:after="0" w:line="560" w:lineRule="exact"/>
        <w:ind w:left="0" w:leftChars="0" w:right="0"/>
        <w:jc w:val="left"/>
        <w:textAlignment w:val="auto"/>
        <w:outlineLvl w:val="9"/>
        <w:rPr>
          <w:rFonts w:hint="eastAsia" w:ascii="仿宋" w:hAnsi="仿宋" w:eastAsia="仿宋" w:cs="仿宋"/>
          <w:b w:val="0"/>
          <w:bCs w:val="0"/>
          <w:color w:val="auto"/>
          <w:spacing w:val="10"/>
          <w:sz w:val="32"/>
          <w:szCs w:val="32"/>
          <w:u w:val="none"/>
          <w:lang w:val="en-US" w:eastAsia="zh-CN"/>
        </w:rPr>
      </w:pPr>
      <w:r>
        <w:rPr>
          <w:rFonts w:hint="eastAsia" w:ascii="仿宋" w:hAnsi="仿宋" w:eastAsia="仿宋" w:cs="仿宋"/>
          <w:b w:val="0"/>
          <w:bCs w:val="0"/>
          <w:color w:val="auto"/>
          <w:spacing w:val="10"/>
          <w:sz w:val="32"/>
          <w:szCs w:val="32"/>
          <w:u w:val="none"/>
          <w:lang w:val="en-US" w:eastAsia="zh-CN"/>
        </w:rPr>
        <w:t xml:space="preserve">    1.被省效能办、省12345平台通报批评的，或被省级主流媒体负面报道的，每件（次）扣1分。</w:t>
      </w:r>
    </w:p>
    <w:p>
      <w:pPr>
        <w:wordWrap/>
        <w:snapToGrid/>
        <w:spacing w:before="0" w:after="0" w:line="560" w:lineRule="exact"/>
        <w:ind w:left="0" w:leftChars="0" w:right="0" w:firstLine="662" w:firstLineChars="200"/>
        <w:jc w:val="left"/>
        <w:textAlignment w:val="auto"/>
        <w:outlineLvl w:val="9"/>
        <w:rPr>
          <w:rFonts w:hint="eastAsia" w:ascii="仿宋" w:hAnsi="仿宋" w:eastAsia="仿宋" w:cs="仿宋"/>
          <w:b w:val="0"/>
          <w:bCs w:val="0"/>
          <w:color w:val="auto"/>
          <w:spacing w:val="10"/>
          <w:sz w:val="32"/>
          <w:szCs w:val="32"/>
          <w:u w:val="none"/>
          <w:lang w:val="en-US" w:eastAsia="zh-CN"/>
        </w:rPr>
      </w:pPr>
      <w:r>
        <w:rPr>
          <w:rFonts w:hint="eastAsia" w:ascii="仿宋" w:hAnsi="仿宋" w:eastAsia="仿宋" w:cs="仿宋"/>
          <w:b w:val="0"/>
          <w:bCs w:val="0"/>
          <w:color w:val="auto"/>
          <w:spacing w:val="10"/>
          <w:sz w:val="32"/>
          <w:szCs w:val="32"/>
          <w:u w:val="none"/>
          <w:lang w:val="en-US" w:eastAsia="zh-CN"/>
        </w:rPr>
        <w:t>2.被e三明办、市效能办及12345便民服务中心通报批评的，或被市级主流媒体负面报道的，每件（次）扣0.5分。同一办件被多次通报批评的就高扣分一次。此项最多扣3分。</w:t>
      </w:r>
    </w:p>
    <w:p>
      <w:pPr>
        <w:wordWrap/>
        <w:snapToGrid/>
        <w:spacing w:before="0" w:after="0" w:line="560" w:lineRule="exact"/>
        <w:ind w:left="0" w:leftChars="0" w:right="0"/>
        <w:jc w:val="left"/>
        <w:textAlignment w:val="auto"/>
        <w:outlineLvl w:val="9"/>
        <w:rPr>
          <w:rFonts w:hint="eastAsia" w:ascii="仿宋" w:hAnsi="仿宋" w:eastAsia="仿宋" w:cs="仿宋"/>
          <w:b w:val="0"/>
          <w:bCs w:val="0"/>
          <w:color w:val="auto"/>
          <w:spacing w:val="10"/>
          <w:sz w:val="32"/>
          <w:szCs w:val="32"/>
          <w:u w:val="none"/>
          <w:lang w:val="en-US" w:eastAsia="zh-CN"/>
        </w:rPr>
      </w:pPr>
      <w:r>
        <w:rPr>
          <w:rFonts w:hint="eastAsia" w:ascii="仿宋" w:hAnsi="仿宋" w:eastAsia="仿宋" w:cs="仿宋"/>
          <w:b w:val="0"/>
          <w:bCs w:val="0"/>
          <w:color w:val="auto"/>
          <w:spacing w:val="10"/>
          <w:sz w:val="32"/>
          <w:szCs w:val="32"/>
          <w:u w:val="none"/>
          <w:lang w:val="en-US" w:eastAsia="zh-CN"/>
        </w:rPr>
        <w:t xml:space="preserve">    3.泄露信息。承办单位在办件处理过程中，因失密、泄密使诉求人受到被投诉方打击报复、造成不良影响和后果，经查实的，每件扣2分。</w:t>
      </w:r>
    </w:p>
    <w:p>
      <w:pPr>
        <w:wordWrap/>
        <w:snapToGrid/>
        <w:spacing w:before="0" w:after="0" w:line="560" w:lineRule="exact"/>
        <w:ind w:left="0" w:leftChars="0" w:right="0" w:firstLine="662" w:firstLineChars="200"/>
        <w:jc w:val="left"/>
        <w:textAlignment w:val="auto"/>
        <w:outlineLvl w:val="9"/>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pacing w:val="10"/>
          <w:sz w:val="32"/>
          <w:szCs w:val="32"/>
          <w:u w:val="none"/>
          <w:lang w:eastAsia="zh-CN"/>
        </w:rPr>
        <w:t>四、</w:t>
      </w:r>
      <w:r>
        <w:rPr>
          <w:rFonts w:hint="eastAsia" w:ascii="黑体" w:hAnsi="黑体" w:eastAsia="黑体" w:cs="黑体"/>
          <w:b w:val="0"/>
          <w:bCs w:val="0"/>
          <w:color w:val="auto"/>
          <w:spacing w:val="10"/>
          <w:sz w:val="32"/>
          <w:szCs w:val="32"/>
          <w:u w:val="none"/>
        </w:rPr>
        <w:t>“</w:t>
      </w:r>
      <w:r>
        <w:rPr>
          <w:rFonts w:hint="eastAsia" w:ascii="黑体" w:hAnsi="黑体" w:eastAsia="黑体" w:cs="黑体"/>
          <w:b w:val="0"/>
          <w:bCs w:val="0"/>
          <w:color w:val="auto"/>
          <w:sz w:val="32"/>
          <w:szCs w:val="32"/>
          <w:u w:val="none"/>
        </w:rPr>
        <w:t>e三明</w:t>
      </w:r>
      <w:r>
        <w:rPr>
          <w:rFonts w:hint="eastAsia" w:ascii="黑体" w:hAnsi="黑体" w:eastAsia="黑体" w:cs="黑体"/>
          <w:b w:val="0"/>
          <w:bCs w:val="0"/>
          <w:color w:val="auto"/>
          <w:spacing w:val="10"/>
          <w:sz w:val="32"/>
          <w:szCs w:val="32"/>
          <w:u w:val="none"/>
        </w:rPr>
        <w:t>”</w:t>
      </w:r>
      <w:r>
        <w:rPr>
          <w:rFonts w:hint="eastAsia" w:ascii="黑体" w:hAnsi="黑体" w:eastAsia="黑体" w:cs="黑体"/>
          <w:b w:val="0"/>
          <w:bCs w:val="0"/>
          <w:color w:val="auto"/>
          <w:sz w:val="32"/>
          <w:szCs w:val="32"/>
          <w:u w:val="none"/>
        </w:rPr>
        <w:t>宣传资讯</w:t>
      </w:r>
      <w:r>
        <w:rPr>
          <w:rFonts w:hint="eastAsia" w:ascii="黑体" w:hAnsi="黑体" w:eastAsia="黑体" w:cs="黑体"/>
          <w:b w:val="0"/>
          <w:bCs w:val="0"/>
          <w:color w:val="auto"/>
          <w:sz w:val="32"/>
          <w:szCs w:val="32"/>
          <w:u w:val="none"/>
          <w:lang w:eastAsia="zh-CN"/>
        </w:rPr>
        <w:t>的考评</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 xml:space="preserve">    （一）信息报送情况（30分）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信息报送数排名前5名的得40分，6～10名的得35分，11～15名的得30分，16～20名的得25分，排名20名以后的得20分，全年未报送信息的单位得0分。</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 xml:space="preserve">    （二）信息采用情况（30分）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信息采用数排名前5名的得40分，6～10名的得35分,11～15名的得30分，16～20名的得25分，排名20名以后的得20分，全年未采用信息的单位得0分。</w:t>
      </w:r>
    </w:p>
    <w:p>
      <w:pPr>
        <w:numPr>
          <w:ilvl w:val="0"/>
          <w:numId w:val="0"/>
        </w:numPr>
        <w:wordWrap/>
        <w:snapToGrid/>
        <w:spacing w:before="0" w:after="0" w:line="560" w:lineRule="exact"/>
        <w:ind w:left="0" w:leftChars="0" w:right="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 xml:space="preserve">    （三）信息质量情况（20分）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信息被推荐到e三明首页篇数排名前5名的得20分，6～10名的得18分,11～15名的得16分，16～20名的得13分，排名20名以后的得10分，全年未采用信息的单位得0分。</w:t>
      </w:r>
    </w:p>
    <w:p>
      <w:pPr>
        <w:numPr>
          <w:ilvl w:val="0"/>
          <w:numId w:val="4"/>
        </w:numPr>
        <w:wordWrap/>
        <w:adjustRightInd w:val="0"/>
        <w:snapToGrid/>
        <w:spacing w:before="0" w:after="0" w:line="560" w:lineRule="exact"/>
        <w:ind w:left="0" w:leftChars="0" w:right="0" w:firstLine="622" w:firstLineChars="200"/>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信息推广情况（20分）</w:t>
      </w:r>
    </w:p>
    <w:p>
      <w:pPr>
        <w:numPr>
          <w:ilvl w:val="0"/>
          <w:numId w:val="0"/>
        </w:numPr>
        <w:wordWrap/>
        <w:adjustRightInd w:val="0"/>
        <w:snapToGrid/>
        <w:spacing w:before="0" w:after="0" w:line="560" w:lineRule="exact"/>
        <w:ind w:left="0" w:leftChars="0" w:right="0"/>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rPr>
        <w:t>被采用信息总浏览量排名前5名的得20分，6-10名的得18分，11-15名的得16分，16-20名的得13分，排名20名以后的得10分，全年未被采用信息的单位的0分。</w:t>
      </w:r>
    </w:p>
    <w:p>
      <w:pPr>
        <w:numPr>
          <w:ilvl w:val="0"/>
          <w:numId w:val="0"/>
        </w:numPr>
        <w:wordWrap/>
        <w:snapToGrid/>
        <w:spacing w:before="0" w:after="0" w:line="560" w:lineRule="exact"/>
        <w:ind w:left="0" w:leftChars="0" w:right="0" w:firstLine="622" w:firstLineChars="200"/>
        <w:jc w:val="left"/>
        <w:textAlignment w:val="auto"/>
        <w:outlineLvl w:val="9"/>
        <w:rPr>
          <w:rFonts w:hint="eastAsia" w:ascii="楷体" w:hAnsi="楷体" w:eastAsia="楷体" w:cs="楷体"/>
          <w:b w:val="0"/>
          <w:bCs w:val="0"/>
          <w:color w:val="auto"/>
          <w:sz w:val="32"/>
          <w:szCs w:val="32"/>
          <w:u w:val="none"/>
          <w:lang w:val="en-US" w:eastAsia="zh-CN"/>
        </w:rPr>
      </w:pPr>
      <w:r>
        <w:rPr>
          <w:rFonts w:hint="eastAsia" w:ascii="楷体" w:hAnsi="楷体" w:eastAsia="楷体" w:cs="楷体"/>
          <w:b w:val="0"/>
          <w:bCs w:val="0"/>
          <w:color w:val="auto"/>
          <w:sz w:val="32"/>
          <w:szCs w:val="32"/>
          <w:u w:val="none"/>
          <w:lang w:val="en-US" w:eastAsia="zh-CN"/>
        </w:rPr>
        <w:t>（五）扣分项</w:t>
      </w:r>
    </w:p>
    <w:p>
      <w:pPr>
        <w:numPr>
          <w:ilvl w:val="0"/>
          <w:numId w:val="0"/>
        </w:numPr>
        <w:wordWrap/>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相关资讯信息漏报、错报，每篇扣5分；延迟报送的扣2分；未及时完成市政府办（e三明办公室）交办的资讯信息约稿、修改任务的，单位每次扣5分。</w:t>
      </w:r>
    </w:p>
    <w:p>
      <w:pPr>
        <w:wordWrap/>
        <w:adjustRightInd w:val="0"/>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sz w:val="32"/>
          <w:szCs w:val="32"/>
          <w:u w:val="none"/>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附件2-3</w:t>
      </w:r>
    </w:p>
    <w:p>
      <w:pPr>
        <w:tabs>
          <w:tab w:val="left" w:pos="2083"/>
        </w:tabs>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p>
    <w:p>
      <w:pPr>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整治形式主义和官僚主义负面清单、履职尽责和服务保障“五比五晒”活动、政策争取</w:t>
      </w:r>
    </w:p>
    <w:p>
      <w:pPr>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考评细化方案</w:t>
      </w:r>
    </w:p>
    <w:p>
      <w:pPr>
        <w:wordWrap/>
        <w:adjustRightInd/>
        <w:snapToGrid/>
        <w:spacing w:before="0" w:after="0" w:line="560" w:lineRule="exact"/>
        <w:ind w:left="0" w:leftChars="0" w:right="0"/>
        <w:jc w:val="center"/>
        <w:textAlignment w:val="auto"/>
        <w:outlineLvl w:val="9"/>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lang w:eastAsia="zh-CN"/>
        </w:rPr>
        <w:t>（考评牵头单位：市直机关党工委）</w:t>
      </w:r>
    </w:p>
    <w:p>
      <w:pPr>
        <w:wordWrap/>
        <w:adjustRightInd/>
        <w:snapToGrid/>
        <w:spacing w:before="0" w:after="0" w:line="560" w:lineRule="exact"/>
        <w:ind w:left="0" w:leftChars="0" w:right="0"/>
        <w:jc w:val="left"/>
        <w:textAlignment w:val="auto"/>
        <w:outlineLvl w:val="9"/>
        <w:rPr>
          <w:rFonts w:hint="eastAsia" w:ascii="仿宋_GB2312" w:hAnsi="仿宋_GB2312" w:eastAsia="仿宋_GB2312" w:cs="仿宋_GB2312"/>
          <w:b/>
          <w:bCs/>
          <w:color w:val="auto"/>
          <w:kern w:val="0"/>
          <w:sz w:val="32"/>
          <w:szCs w:val="32"/>
          <w:u w:val="none"/>
          <w:lang w:eastAsia="zh-CN"/>
        </w:rPr>
      </w:pPr>
    </w:p>
    <w:p>
      <w:pPr>
        <w:numPr>
          <w:ilvl w:val="0"/>
          <w:numId w:val="0"/>
        </w:numPr>
        <w:wordWrap/>
        <w:adjustRightInd/>
        <w:snapToGrid/>
        <w:spacing w:before="0" w:after="0" w:line="560" w:lineRule="exact"/>
        <w:ind w:left="0" w:leftChars="0" w:right="0" w:firstLine="622" w:firstLineChars="200"/>
        <w:jc w:val="left"/>
        <w:textAlignment w:val="auto"/>
        <w:outlineLvl w:val="9"/>
        <w:rPr>
          <w:rFonts w:hint="eastAsia" w:ascii="黑体" w:hAnsi="黑体" w:eastAsia="黑体" w:cs="宋体"/>
          <w:b w:val="0"/>
          <w:bCs w:val="0"/>
          <w:color w:val="auto"/>
          <w:kern w:val="0"/>
          <w:sz w:val="32"/>
          <w:szCs w:val="32"/>
          <w:u w:val="none"/>
        </w:rPr>
      </w:pPr>
      <w:r>
        <w:rPr>
          <w:rFonts w:hint="eastAsia" w:ascii="黑体" w:hAnsi="黑体" w:eastAsia="黑体" w:cs="宋体"/>
          <w:b w:val="0"/>
          <w:bCs w:val="0"/>
          <w:color w:val="auto"/>
          <w:kern w:val="0"/>
          <w:sz w:val="32"/>
          <w:szCs w:val="32"/>
          <w:u w:val="none"/>
          <w:lang w:eastAsia="zh-CN"/>
        </w:rPr>
        <w:t>一、</w:t>
      </w:r>
      <w:r>
        <w:rPr>
          <w:rFonts w:hint="eastAsia" w:ascii="黑体" w:hAnsi="黑体" w:eastAsia="黑体" w:cs="宋体"/>
          <w:b w:val="0"/>
          <w:bCs w:val="0"/>
          <w:color w:val="auto"/>
          <w:kern w:val="0"/>
          <w:sz w:val="32"/>
          <w:szCs w:val="32"/>
          <w:u w:val="none"/>
        </w:rPr>
        <w:t>整治形式主义</w:t>
      </w:r>
      <w:r>
        <w:rPr>
          <w:rFonts w:hint="eastAsia" w:ascii="黑体" w:hAnsi="黑体" w:eastAsia="黑体" w:cs="宋体"/>
          <w:b w:val="0"/>
          <w:bCs w:val="0"/>
          <w:color w:val="auto"/>
          <w:kern w:val="0"/>
          <w:sz w:val="32"/>
          <w:szCs w:val="32"/>
          <w:u w:val="none"/>
          <w:lang w:eastAsia="zh-CN"/>
        </w:rPr>
        <w:t>和</w:t>
      </w:r>
      <w:r>
        <w:rPr>
          <w:rFonts w:hint="eastAsia" w:ascii="黑体" w:hAnsi="黑体" w:eastAsia="黑体" w:cs="宋体"/>
          <w:b w:val="0"/>
          <w:bCs w:val="0"/>
          <w:color w:val="auto"/>
          <w:kern w:val="0"/>
          <w:sz w:val="32"/>
          <w:szCs w:val="32"/>
          <w:u w:val="none"/>
        </w:rPr>
        <w:t>官僚主义突出问题</w:t>
      </w:r>
      <w:r>
        <w:rPr>
          <w:rFonts w:hint="eastAsia" w:ascii="黑体" w:hAnsi="黑体" w:eastAsia="黑体" w:cs="宋体"/>
          <w:b w:val="0"/>
          <w:bCs w:val="0"/>
          <w:color w:val="auto"/>
          <w:kern w:val="0"/>
          <w:sz w:val="32"/>
          <w:szCs w:val="32"/>
          <w:u w:val="none"/>
          <w:lang w:eastAsia="zh-CN"/>
        </w:rPr>
        <w:t>的考评</w:t>
      </w:r>
    </w:p>
    <w:p>
      <w:pPr>
        <w:wordWrap/>
        <w:adjustRightInd/>
        <w:snapToGrid/>
        <w:spacing w:before="0" w:after="0" w:line="560" w:lineRule="exact"/>
        <w:ind w:left="0" w:leftChars="0" w:right="0" w:firstLine="622" w:firstLineChars="200"/>
        <w:textAlignment w:val="auto"/>
        <w:outlineLvl w:val="9"/>
        <w:rPr>
          <w:rFonts w:hint="eastAsia" w:ascii="仿宋_GB2312" w:hAnsi="等线" w:eastAsia="仿宋_GB2312" w:cs="宋体"/>
          <w:b w:val="0"/>
          <w:bCs w:val="0"/>
          <w:color w:val="auto"/>
          <w:kern w:val="0"/>
          <w:sz w:val="32"/>
          <w:szCs w:val="32"/>
          <w:u w:val="none"/>
        </w:rPr>
      </w:pPr>
      <w:r>
        <w:rPr>
          <w:rFonts w:hint="eastAsia" w:ascii="仿宋_GB2312" w:hAnsi="仿宋_GB2312" w:eastAsia="仿宋_GB2312" w:cs="仿宋_GB2312"/>
          <w:color w:val="auto"/>
          <w:sz w:val="32"/>
          <w:szCs w:val="32"/>
          <w:u w:val="none"/>
        </w:rPr>
        <w:t>采用扣分法</w:t>
      </w:r>
      <w:r>
        <w:rPr>
          <w:rFonts w:hint="eastAsia" w:ascii="仿宋_GB2312" w:hAnsi="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最多扣1</w:t>
      </w:r>
      <w:r>
        <w:rPr>
          <w:rFonts w:hint="eastAsia" w:ascii="仿宋_GB2312" w:hAnsi="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分</w:t>
      </w:r>
      <w:r>
        <w:rPr>
          <w:rFonts w:hint="eastAsia" w:ascii="仿宋_GB2312" w:hAnsi="仿宋_GB2312" w:cs="仿宋_GB2312"/>
          <w:color w:val="auto"/>
          <w:sz w:val="32"/>
          <w:szCs w:val="32"/>
          <w:u w:val="none"/>
          <w:lang w:eastAsia="zh-CN"/>
        </w:rPr>
        <w:t>。</w:t>
      </w:r>
    </w:p>
    <w:p>
      <w:pPr>
        <w:widowControl/>
        <w:wordWrap/>
        <w:adjustRightInd/>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kern w:val="0"/>
          <w:sz w:val="32"/>
          <w:szCs w:val="32"/>
          <w:u w:val="none"/>
        </w:rPr>
      </w:pPr>
      <w:r>
        <w:rPr>
          <w:rFonts w:hint="eastAsia" w:ascii="仿宋" w:hAnsi="仿宋" w:eastAsia="仿宋" w:cs="仿宋"/>
          <w:b w:val="0"/>
          <w:bCs w:val="0"/>
          <w:color w:val="auto"/>
          <w:kern w:val="0"/>
          <w:sz w:val="32"/>
          <w:szCs w:val="32"/>
          <w:u w:val="none"/>
          <w:lang w:eastAsia="zh-CN"/>
        </w:rPr>
        <w:t>（一）</w:t>
      </w:r>
      <w:r>
        <w:rPr>
          <w:rFonts w:hint="eastAsia" w:ascii="仿宋" w:hAnsi="仿宋" w:eastAsia="仿宋" w:cs="仿宋"/>
          <w:b w:val="0"/>
          <w:bCs w:val="0"/>
          <w:color w:val="auto"/>
          <w:kern w:val="0"/>
          <w:sz w:val="32"/>
          <w:szCs w:val="32"/>
          <w:u w:val="none"/>
        </w:rPr>
        <w:t>认真对照市委 “形式主义、官僚主义”10条负面清单，去年已整治到位的问题，今年不得重犯，今年重犯或被通报的问题，每1条扣1分，扣完4分为止，该项由党工委定时抽查按实际情况扣分；</w:t>
      </w:r>
    </w:p>
    <w:p>
      <w:pPr>
        <w:widowControl/>
        <w:wordWrap/>
        <w:adjustRightInd/>
        <w:snapToGrid/>
        <w:spacing w:before="0" w:after="0" w:line="560" w:lineRule="exact"/>
        <w:ind w:left="0" w:leftChars="0" w:right="0" w:firstLine="622" w:firstLineChars="200"/>
        <w:textAlignment w:val="auto"/>
        <w:outlineLvl w:val="9"/>
        <w:rPr>
          <w:rFonts w:hint="eastAsia" w:ascii="仿宋" w:hAnsi="仿宋" w:eastAsia="仿宋" w:cs="仿宋"/>
          <w:b w:val="0"/>
          <w:bCs w:val="0"/>
          <w:color w:val="auto"/>
          <w:kern w:val="0"/>
          <w:sz w:val="32"/>
          <w:szCs w:val="32"/>
          <w:u w:val="none"/>
        </w:rPr>
      </w:pPr>
      <w:r>
        <w:rPr>
          <w:rFonts w:hint="eastAsia" w:ascii="仿宋" w:hAnsi="仿宋" w:eastAsia="仿宋" w:cs="仿宋"/>
          <w:b w:val="0"/>
          <w:bCs w:val="0"/>
          <w:color w:val="auto"/>
          <w:kern w:val="0"/>
          <w:sz w:val="32"/>
          <w:szCs w:val="32"/>
          <w:u w:val="none"/>
          <w:lang w:eastAsia="zh-CN"/>
        </w:rPr>
        <w:t>（二）</w:t>
      </w:r>
      <w:r>
        <w:rPr>
          <w:rFonts w:hint="eastAsia" w:ascii="仿宋" w:hAnsi="仿宋" w:eastAsia="仿宋" w:cs="仿宋"/>
          <w:b w:val="0"/>
          <w:bCs w:val="0"/>
          <w:color w:val="auto"/>
          <w:kern w:val="0"/>
          <w:sz w:val="32"/>
          <w:szCs w:val="32"/>
          <w:u w:val="none"/>
        </w:rPr>
        <w:t>坚持动态更新，对今年的新问题或去年还没有整治到位的问题，要采取措施认真整治，并取得实效，没有进行认真整治的每1条扣1分，扣完3分为止，该项由党工委定时抽查按实际情况扣分；</w:t>
      </w:r>
    </w:p>
    <w:p>
      <w:pPr>
        <w:numPr>
          <w:ilvl w:val="0"/>
          <w:numId w:val="0"/>
        </w:numPr>
        <w:wordWrap/>
        <w:adjustRightInd/>
        <w:snapToGrid/>
        <w:spacing w:before="0" w:after="0" w:line="560" w:lineRule="exact"/>
        <w:ind w:left="0" w:leftChars="0" w:right="0" w:firstLine="622" w:firstLineChars="200"/>
        <w:jc w:val="left"/>
        <w:textAlignment w:val="auto"/>
        <w:outlineLvl w:val="9"/>
        <w:rPr>
          <w:rFonts w:hint="eastAsia" w:ascii="仿宋" w:hAnsi="仿宋" w:eastAsia="仿宋" w:cs="仿宋"/>
          <w:b w:val="0"/>
          <w:bCs w:val="0"/>
          <w:color w:val="auto"/>
          <w:kern w:val="0"/>
          <w:sz w:val="32"/>
          <w:szCs w:val="32"/>
          <w:u w:val="none"/>
        </w:rPr>
      </w:pPr>
      <w:r>
        <w:rPr>
          <w:rFonts w:hint="eastAsia" w:ascii="仿宋" w:hAnsi="仿宋" w:eastAsia="仿宋" w:cs="仿宋"/>
          <w:b w:val="0"/>
          <w:bCs w:val="0"/>
          <w:color w:val="auto"/>
          <w:kern w:val="0"/>
          <w:sz w:val="32"/>
          <w:szCs w:val="32"/>
          <w:u w:val="none"/>
          <w:lang w:eastAsia="zh-CN"/>
        </w:rPr>
        <w:t>（三）</w:t>
      </w:r>
      <w:r>
        <w:rPr>
          <w:rFonts w:hint="eastAsia" w:ascii="仿宋" w:hAnsi="仿宋" w:eastAsia="仿宋" w:cs="仿宋"/>
          <w:b w:val="0"/>
          <w:bCs w:val="0"/>
          <w:color w:val="auto"/>
          <w:kern w:val="0"/>
          <w:sz w:val="32"/>
          <w:szCs w:val="32"/>
          <w:u w:val="none"/>
        </w:rPr>
        <w:t>精准、简洁、按时提供有关考评佐证等材料，力戒形式主义，不以材料、文字多少定成效（共3分，其中报送有关佐证等材料存在不精准、不简洁、不按时的各扣1分，该项由党工委按报送有关材料的实际情况扣分）。</w:t>
      </w:r>
    </w:p>
    <w:p>
      <w:pPr>
        <w:numPr>
          <w:ilvl w:val="0"/>
          <w:numId w:val="0"/>
        </w:numPr>
        <w:wordWrap/>
        <w:adjustRightInd/>
        <w:snapToGrid/>
        <w:spacing w:before="0" w:after="0" w:line="560" w:lineRule="exact"/>
        <w:ind w:left="0" w:leftChars="0" w:right="0" w:firstLine="622" w:firstLineChars="200"/>
        <w:jc w:val="left"/>
        <w:textAlignment w:val="auto"/>
        <w:outlineLvl w:val="9"/>
        <w:rPr>
          <w:rFonts w:hint="eastAsia" w:ascii="黑体" w:hAnsi="黑体" w:eastAsia="黑体" w:cs="宋体"/>
          <w:b w:val="0"/>
          <w:bCs/>
          <w:color w:val="auto"/>
          <w:kern w:val="0"/>
          <w:sz w:val="32"/>
          <w:szCs w:val="32"/>
          <w:u w:val="none"/>
        </w:rPr>
      </w:pPr>
      <w:r>
        <w:rPr>
          <w:rFonts w:hint="eastAsia" w:ascii="黑体" w:hAnsi="黑体" w:eastAsia="黑体" w:cs="宋体"/>
          <w:b w:val="0"/>
          <w:bCs/>
          <w:color w:val="auto"/>
          <w:kern w:val="0"/>
          <w:sz w:val="32"/>
          <w:szCs w:val="32"/>
          <w:u w:val="none"/>
          <w:lang w:eastAsia="zh-CN"/>
        </w:rPr>
        <w:t>二、</w:t>
      </w:r>
      <w:r>
        <w:rPr>
          <w:rFonts w:hint="eastAsia" w:ascii="黑体" w:hAnsi="黑体" w:eastAsia="黑体" w:cs="宋体"/>
          <w:b w:val="0"/>
          <w:bCs/>
          <w:color w:val="auto"/>
          <w:kern w:val="0"/>
          <w:sz w:val="32"/>
          <w:szCs w:val="32"/>
          <w:u w:val="none"/>
        </w:rPr>
        <w:t>履职尽责和服务保障“五比五晒”活动</w:t>
      </w:r>
      <w:r>
        <w:rPr>
          <w:rFonts w:hint="eastAsia" w:ascii="黑体" w:hAnsi="黑体" w:eastAsia="黑体" w:cs="宋体"/>
          <w:b w:val="0"/>
          <w:bCs/>
          <w:color w:val="auto"/>
          <w:kern w:val="0"/>
          <w:sz w:val="32"/>
          <w:szCs w:val="32"/>
          <w:u w:val="none"/>
          <w:lang w:eastAsia="zh-CN"/>
        </w:rPr>
        <w:t>的考评</w:t>
      </w:r>
    </w:p>
    <w:p>
      <w:pPr>
        <w:widowControl/>
        <w:numPr>
          <w:ilvl w:val="0"/>
          <w:numId w:val="0"/>
        </w:numPr>
        <w:wordWrap/>
        <w:adjustRightInd/>
        <w:snapToGrid/>
        <w:spacing w:before="0" w:after="0" w:line="560" w:lineRule="exact"/>
        <w:ind w:left="0" w:leftChars="0" w:right="0" w:firstLine="622" w:firstLineChars="200"/>
        <w:jc w:val="both"/>
        <w:textAlignment w:val="auto"/>
        <w:outlineLvl w:val="9"/>
        <w:rPr>
          <w:rFonts w:hint="eastAsia" w:ascii="楷体_GB2312" w:hAnsi="楷体_GB2312" w:eastAsia="楷体_GB2312" w:cs="楷体_GB2312"/>
          <w:b w:val="0"/>
          <w:bCs/>
          <w:color w:val="auto"/>
          <w:kern w:val="0"/>
          <w:sz w:val="32"/>
          <w:szCs w:val="32"/>
          <w:u w:val="none"/>
        </w:rPr>
      </w:pPr>
      <w:r>
        <w:rPr>
          <w:rFonts w:hint="eastAsia" w:ascii="楷体_GB2312" w:hAnsi="楷体_GB2312" w:eastAsia="楷体_GB2312" w:cs="楷体_GB2312"/>
          <w:b w:val="0"/>
          <w:bCs/>
          <w:color w:val="auto"/>
          <w:kern w:val="0"/>
          <w:sz w:val="32"/>
          <w:szCs w:val="32"/>
          <w:u w:val="none"/>
          <w:lang w:eastAsia="zh-CN"/>
        </w:rPr>
        <w:t>（一）</w:t>
      </w:r>
      <w:r>
        <w:rPr>
          <w:rFonts w:hint="eastAsia" w:ascii="楷体_GB2312" w:hAnsi="楷体_GB2312" w:eastAsia="楷体_GB2312" w:cs="楷体_GB2312"/>
          <w:b w:val="0"/>
          <w:bCs/>
          <w:color w:val="auto"/>
          <w:kern w:val="0"/>
          <w:sz w:val="32"/>
          <w:szCs w:val="32"/>
          <w:u w:val="none"/>
        </w:rPr>
        <w:t>主动服务“五比五晒”工作</w:t>
      </w:r>
    </w:p>
    <w:p>
      <w:pPr>
        <w:widowControl/>
        <w:numPr>
          <w:ilvl w:val="0"/>
          <w:numId w:val="0"/>
        </w:numPr>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b w:val="0"/>
          <w:bCs/>
          <w:color w:val="auto"/>
          <w:kern w:val="0"/>
          <w:sz w:val="32"/>
          <w:szCs w:val="32"/>
          <w:u w:val="none"/>
          <w:lang w:val="en-US" w:eastAsia="zh-CN"/>
        </w:rPr>
      </w:pPr>
      <w:r>
        <w:rPr>
          <w:rFonts w:hint="eastAsia" w:ascii="楷体_GB2312" w:hAnsi="楷体_GB2312" w:eastAsia="楷体_GB2312" w:cs="楷体_GB2312"/>
          <w:b/>
          <w:color w:val="auto"/>
          <w:kern w:val="0"/>
          <w:sz w:val="32"/>
          <w:szCs w:val="32"/>
          <w:u w:val="none"/>
          <w:lang w:val="en-US" w:eastAsia="zh-CN"/>
        </w:rPr>
        <w:t xml:space="preserve">    </w:t>
      </w:r>
      <w:r>
        <w:rPr>
          <w:rFonts w:hint="eastAsia" w:ascii="仿宋_GB2312" w:hAnsi="仿宋_GB2312" w:cs="仿宋_GB2312"/>
          <w:b w:val="0"/>
          <w:bCs/>
          <w:color w:val="auto"/>
          <w:kern w:val="0"/>
          <w:sz w:val="32"/>
          <w:szCs w:val="32"/>
          <w:u w:val="none"/>
          <w:lang w:val="en-US" w:eastAsia="zh-CN"/>
        </w:rPr>
        <w:t>1.</w:t>
      </w:r>
      <w:r>
        <w:rPr>
          <w:rFonts w:hint="eastAsia" w:ascii="仿宋_GB2312" w:hAnsi="仿宋_GB2312" w:eastAsia="仿宋_GB2312" w:cs="仿宋_GB2312"/>
          <w:b w:val="0"/>
          <w:bCs/>
          <w:color w:val="auto"/>
          <w:kern w:val="0"/>
          <w:sz w:val="32"/>
          <w:szCs w:val="32"/>
          <w:u w:val="none"/>
          <w:lang w:val="en-US" w:eastAsia="zh-CN"/>
        </w:rPr>
        <w:t>围绕“项目攻坚年”活动，突出主动服务全市确定的攻坚项目，特别是“五个十”重大项目和省、市重点项目等工作取得成效（共6分，其中党委每取得一项好的成效得3分、较好的得2分、一般的得1分，支部（总支）每取得一项好的成效得6分、较好的得4分、一般的得2分）；</w:t>
      </w:r>
    </w:p>
    <w:p>
      <w:pPr>
        <w:widowControl/>
        <w:numPr>
          <w:ilvl w:val="0"/>
          <w:numId w:val="0"/>
        </w:numPr>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cs="仿宋_GB2312"/>
          <w:b w:val="0"/>
          <w:bCs/>
          <w:color w:val="auto"/>
          <w:kern w:val="0"/>
          <w:sz w:val="32"/>
          <w:szCs w:val="32"/>
          <w:u w:val="none"/>
          <w:lang w:val="en-US" w:eastAsia="zh-CN"/>
        </w:rPr>
        <w:t>2.</w:t>
      </w:r>
      <w:r>
        <w:rPr>
          <w:rFonts w:hint="eastAsia" w:ascii="仿宋_GB2312" w:hAnsi="仿宋_GB2312" w:eastAsia="仿宋_GB2312" w:cs="仿宋_GB2312"/>
          <w:b w:val="0"/>
          <w:bCs/>
          <w:color w:val="auto"/>
          <w:kern w:val="0"/>
          <w:sz w:val="32"/>
          <w:szCs w:val="32"/>
          <w:u w:val="none"/>
          <w:lang w:val="en-US" w:eastAsia="zh-CN"/>
        </w:rPr>
        <w:t>围绕“四大主导产业”，突出一把手抓招商，在营造“六最”营商环境，打造“满意在机关”品牌，在“5·18”“6·18”“9·8”“11·6”平台和企业、商会、行业协会、园区中等主动作为，发挥职能作用，取得明显实效（共6分，其中党委每取得一项好的成效得3分、较好的得2分、一般的得1分，支部（总支）每取得一项好的成效得6分、较好的得4分、一般的得2分）；</w:t>
      </w:r>
    </w:p>
    <w:p>
      <w:pPr>
        <w:widowControl/>
        <w:numPr>
          <w:ilvl w:val="0"/>
          <w:numId w:val="0"/>
        </w:numPr>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cs="仿宋_GB2312"/>
          <w:b w:val="0"/>
          <w:bCs/>
          <w:color w:val="auto"/>
          <w:kern w:val="0"/>
          <w:sz w:val="32"/>
          <w:szCs w:val="32"/>
          <w:u w:val="none"/>
          <w:lang w:val="en-US" w:eastAsia="zh-CN"/>
        </w:rPr>
        <w:t>3.</w:t>
      </w:r>
      <w:r>
        <w:rPr>
          <w:rFonts w:hint="eastAsia" w:ascii="仿宋_GB2312" w:hAnsi="仿宋_GB2312" w:eastAsia="仿宋_GB2312" w:cs="仿宋_GB2312"/>
          <w:b w:val="0"/>
          <w:bCs/>
          <w:color w:val="auto"/>
          <w:kern w:val="0"/>
          <w:sz w:val="32"/>
          <w:szCs w:val="32"/>
          <w:u w:val="none"/>
          <w:lang w:val="en-US" w:eastAsia="zh-CN"/>
        </w:rPr>
        <w:t>围绕做实“红色三明、工业三明、绿色三明、文明三明”，结合单位实际，为开展“四张名片”宣传、做实“四篇文章”等工作，提供服务保障，发挥应有作用，取得实效（共5分，其中党委每取得一项好的成效得2.5分、较好的得2分、一般的得1分，支部（总支）每取得一项好的成效得5分、较好的得4分、一般的得2分）；</w:t>
      </w:r>
    </w:p>
    <w:p>
      <w:pPr>
        <w:widowControl/>
        <w:numPr>
          <w:ilvl w:val="0"/>
          <w:numId w:val="0"/>
        </w:numPr>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cs="仿宋_GB2312"/>
          <w:b w:val="0"/>
          <w:bCs/>
          <w:color w:val="auto"/>
          <w:kern w:val="0"/>
          <w:sz w:val="32"/>
          <w:szCs w:val="32"/>
          <w:u w:val="none"/>
          <w:lang w:val="en-US" w:eastAsia="zh-CN"/>
        </w:rPr>
        <w:t>4.</w:t>
      </w:r>
      <w:r>
        <w:rPr>
          <w:rFonts w:hint="eastAsia" w:ascii="仿宋_GB2312" w:hAnsi="仿宋_GB2312" w:eastAsia="仿宋_GB2312" w:cs="仿宋_GB2312"/>
          <w:b w:val="0"/>
          <w:bCs/>
          <w:color w:val="auto"/>
          <w:kern w:val="0"/>
          <w:sz w:val="32"/>
          <w:szCs w:val="32"/>
          <w:u w:val="none"/>
          <w:lang w:val="en-US" w:eastAsia="zh-CN"/>
        </w:rPr>
        <w:t>围绕“五比五晒”活动，开展以“亮身份、亮职责、亮服务”为主要内容的“亮灯行动”，着力解决“灯下黑”和“两张皮”等问题，推动机关党建与中心工作深度融合，取得实效（共5分，其中党委每取得一项好的成效得2.5分、较好的得2分、一般的得1分，支部（总支）每取得一项好的成效得5分、较好的得4分、一般的得2分）；</w:t>
      </w:r>
    </w:p>
    <w:p>
      <w:pPr>
        <w:widowControl/>
        <w:numPr>
          <w:ilvl w:val="0"/>
          <w:numId w:val="0"/>
        </w:numPr>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b w:val="0"/>
          <w:bCs/>
          <w:color w:val="auto"/>
          <w:kern w:val="0"/>
          <w:sz w:val="32"/>
          <w:szCs w:val="32"/>
          <w:u w:val="none"/>
          <w:lang w:val="en-US" w:eastAsia="zh-CN"/>
        </w:rPr>
      </w:pPr>
      <w:r>
        <w:rPr>
          <w:rFonts w:hint="eastAsia" w:ascii="仿宋_GB2312" w:hAnsi="仿宋_GB2312" w:eastAsia="仿宋_GB2312" w:cs="仿宋_GB2312"/>
          <w:b w:val="0"/>
          <w:bCs/>
          <w:color w:val="auto"/>
          <w:kern w:val="0"/>
          <w:sz w:val="32"/>
          <w:szCs w:val="32"/>
          <w:u w:val="none"/>
          <w:lang w:val="en-US" w:eastAsia="zh-CN"/>
        </w:rPr>
        <w:t xml:space="preserve">   </w:t>
      </w:r>
      <w:r>
        <w:rPr>
          <w:rFonts w:hint="eastAsia" w:ascii="仿宋_GB2312" w:hAnsi="仿宋_GB2312" w:cs="仿宋_GB2312"/>
          <w:b w:val="0"/>
          <w:bCs/>
          <w:color w:val="auto"/>
          <w:kern w:val="0"/>
          <w:sz w:val="32"/>
          <w:szCs w:val="32"/>
          <w:u w:val="none"/>
          <w:lang w:val="en-US" w:eastAsia="zh-CN"/>
        </w:rPr>
        <w:t>5.</w:t>
      </w:r>
      <w:r>
        <w:rPr>
          <w:rFonts w:hint="eastAsia" w:ascii="仿宋_GB2312" w:hAnsi="仿宋_GB2312" w:eastAsia="仿宋_GB2312" w:cs="仿宋_GB2312"/>
          <w:b w:val="0"/>
          <w:bCs/>
          <w:color w:val="auto"/>
          <w:kern w:val="0"/>
          <w:sz w:val="32"/>
          <w:szCs w:val="32"/>
          <w:u w:val="none"/>
          <w:lang w:val="en-US" w:eastAsia="zh-CN"/>
        </w:rPr>
        <w:t>其他围绕“五比五晒”活动，发挥单位职能优势，创新服务，有效应对新冠肺炎疫情，解“五难”、促“六稳”、保发展，为基层群众、拆迁一线、脱贫攻坚等提供服务保障，取得实效（共3分，其中党委每取得一项好的成效得1.5分、较好的得1分、一般的得0.5分，支部（总支）每取得一项好的成效得3分、较好的得2分、一般的1分）。</w:t>
      </w:r>
    </w:p>
    <w:p>
      <w:pPr>
        <w:widowControl/>
        <w:numPr>
          <w:ilvl w:val="0"/>
          <w:numId w:val="0"/>
        </w:numPr>
        <w:wordWrap/>
        <w:adjustRightInd/>
        <w:snapToGrid/>
        <w:spacing w:before="0" w:after="0" w:line="560" w:lineRule="exact"/>
        <w:ind w:left="0" w:leftChars="0" w:right="0" w:firstLine="622" w:firstLineChars="200"/>
        <w:jc w:val="both"/>
        <w:textAlignment w:val="auto"/>
        <w:outlineLvl w:val="9"/>
        <w:rPr>
          <w:rFonts w:hint="eastAsia" w:ascii="楷体" w:hAnsi="楷体" w:eastAsia="楷体" w:cs="楷体"/>
          <w:b w:val="0"/>
          <w:bCs/>
          <w:color w:val="auto"/>
          <w:kern w:val="0"/>
          <w:sz w:val="32"/>
          <w:szCs w:val="32"/>
          <w:u w:val="none"/>
          <w:lang w:eastAsia="zh-CN"/>
        </w:rPr>
      </w:pPr>
      <w:r>
        <w:rPr>
          <w:rFonts w:hint="eastAsia" w:ascii="楷体" w:hAnsi="楷体" w:eastAsia="楷体" w:cs="楷体"/>
          <w:b w:val="0"/>
          <w:bCs/>
          <w:color w:val="auto"/>
          <w:kern w:val="0"/>
          <w:sz w:val="32"/>
          <w:szCs w:val="32"/>
          <w:u w:val="none"/>
          <w:lang w:val="en-US" w:eastAsia="zh-CN"/>
        </w:rPr>
        <w:t>（二）</w:t>
      </w:r>
      <w:r>
        <w:rPr>
          <w:rFonts w:hint="eastAsia" w:ascii="楷体" w:hAnsi="楷体" w:eastAsia="楷体" w:cs="楷体"/>
          <w:b w:val="0"/>
          <w:bCs/>
          <w:color w:val="auto"/>
          <w:kern w:val="0"/>
          <w:sz w:val="32"/>
          <w:szCs w:val="32"/>
          <w:u w:val="none"/>
          <w:lang w:eastAsia="zh-CN"/>
        </w:rPr>
        <w:t>“e三明”服务质效</w:t>
      </w:r>
    </w:p>
    <w:p>
      <w:pPr>
        <w:widowControl/>
        <w:numPr>
          <w:ilvl w:val="0"/>
          <w:numId w:val="0"/>
        </w:numPr>
        <w:tabs>
          <w:tab w:val="left" w:pos="681"/>
        </w:tabs>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eastAsia="zh-CN"/>
        </w:rPr>
      </w:pPr>
      <w:r>
        <w:rPr>
          <w:rFonts w:hint="eastAsia" w:ascii="仿宋_GB2312" w:hAnsi="仿宋_GB2312" w:cs="仿宋_GB2312"/>
          <w:b w:val="0"/>
          <w:bCs/>
          <w:color w:val="auto"/>
          <w:kern w:val="0"/>
          <w:sz w:val="32"/>
          <w:szCs w:val="32"/>
          <w:u w:val="none"/>
          <w:lang w:val="en-US" w:eastAsia="zh-CN"/>
        </w:rPr>
        <w:t>1.</w:t>
      </w:r>
      <w:r>
        <w:rPr>
          <w:rFonts w:hint="eastAsia" w:ascii="仿宋_GB2312" w:hAnsi="仿宋_GB2312" w:eastAsia="仿宋_GB2312" w:cs="仿宋_GB2312"/>
          <w:b w:val="0"/>
          <w:bCs/>
          <w:color w:val="auto"/>
          <w:kern w:val="0"/>
          <w:sz w:val="32"/>
          <w:szCs w:val="32"/>
          <w:u w:val="none"/>
          <w:lang w:eastAsia="zh-CN"/>
        </w:rPr>
        <w:t>充分运用“e三明”服务平台，加大“e三明”客户端咨讯宣传力度，熟悉使用随手拍并客观反映事实（共2分，其中运用率达90%以上的得2分，其余按比例得分）；</w:t>
      </w:r>
    </w:p>
    <w:p>
      <w:pPr>
        <w:widowControl/>
        <w:numPr>
          <w:ilvl w:val="0"/>
          <w:numId w:val="0"/>
        </w:numPr>
        <w:tabs>
          <w:tab w:val="left" w:pos="681"/>
        </w:tabs>
        <w:wordWrap/>
        <w:adjustRightInd/>
        <w:snapToGrid/>
        <w:spacing w:before="0" w:after="0" w:line="560" w:lineRule="exact"/>
        <w:ind w:left="0" w:leftChars="0" w:right="0"/>
        <w:jc w:val="both"/>
        <w:textAlignment w:val="auto"/>
        <w:outlineLvl w:val="9"/>
        <w:rPr>
          <w:rFonts w:hint="eastAsia" w:ascii="仿宋_GB2312" w:hAnsi="仿宋_GB2312" w:eastAsia="仿宋_GB2312" w:cs="仿宋_GB2312"/>
          <w:b w:val="0"/>
          <w:bCs/>
          <w:color w:val="auto"/>
          <w:kern w:val="0"/>
          <w:sz w:val="32"/>
          <w:szCs w:val="32"/>
          <w:u w:val="none"/>
          <w:lang w:eastAsia="zh-CN"/>
        </w:rPr>
      </w:pPr>
      <w:r>
        <w:rPr>
          <w:rFonts w:hint="eastAsia" w:ascii="仿宋_GB2312" w:hAnsi="仿宋_GB2312" w:cs="仿宋_GB2312"/>
          <w:b w:val="0"/>
          <w:bCs/>
          <w:color w:val="auto"/>
          <w:kern w:val="0"/>
          <w:sz w:val="32"/>
          <w:szCs w:val="32"/>
          <w:u w:val="none"/>
          <w:lang w:val="en-US" w:eastAsia="zh-CN"/>
        </w:rPr>
        <w:t xml:space="preserve">    2.</w:t>
      </w:r>
      <w:r>
        <w:rPr>
          <w:rFonts w:hint="eastAsia" w:ascii="仿宋_GB2312" w:hAnsi="仿宋_GB2312" w:eastAsia="仿宋_GB2312" w:cs="仿宋_GB2312"/>
          <w:b w:val="0"/>
          <w:bCs/>
          <w:color w:val="auto"/>
          <w:kern w:val="0"/>
          <w:sz w:val="32"/>
          <w:szCs w:val="32"/>
          <w:u w:val="none"/>
          <w:lang w:eastAsia="zh-CN"/>
        </w:rPr>
        <w:t>充分发挥“e三明”平台作用，围绕服务“五比五晒”活动，积极向“亮灯行动·党旗飘扬”等“e三明”服务窗口提供典型经验、服务信息、建言献策（共4分，其中党委所提供的典型经验、服务信息或意见建议被采纳的每1条得1分〈加满4分为止〉，支部（总支）所提供的信息或意见建议被采纳每1条得2分〈加满4分为止〉）；</w:t>
      </w:r>
    </w:p>
    <w:p>
      <w:pPr>
        <w:widowControl/>
        <w:numPr>
          <w:ilvl w:val="0"/>
          <w:numId w:val="0"/>
        </w:numPr>
        <w:tabs>
          <w:tab w:val="left" w:pos="681"/>
        </w:tabs>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eastAsia="zh-CN"/>
        </w:rPr>
      </w:pPr>
      <w:r>
        <w:rPr>
          <w:rFonts w:hint="eastAsia" w:ascii="仿宋_GB2312" w:hAnsi="仿宋_GB2312" w:cs="仿宋_GB2312"/>
          <w:b w:val="0"/>
          <w:bCs/>
          <w:color w:val="auto"/>
          <w:kern w:val="0"/>
          <w:sz w:val="32"/>
          <w:szCs w:val="32"/>
          <w:u w:val="none"/>
          <w:lang w:val="en-US" w:eastAsia="zh-CN"/>
        </w:rPr>
        <w:t>3.</w:t>
      </w:r>
      <w:r>
        <w:rPr>
          <w:rFonts w:hint="eastAsia" w:ascii="仿宋_GB2312" w:hAnsi="仿宋_GB2312" w:eastAsia="仿宋_GB2312" w:cs="仿宋_GB2312"/>
          <w:b w:val="0"/>
          <w:bCs/>
          <w:color w:val="auto"/>
          <w:kern w:val="0"/>
          <w:sz w:val="32"/>
          <w:szCs w:val="32"/>
          <w:u w:val="none"/>
          <w:lang w:eastAsia="zh-CN"/>
        </w:rPr>
        <w:t>大力增强“e三明”平台服务功能，积极向“e三明”提供共享资料，主动将本部门单位应用系统或有关服务窗口对接到“e三明”服务平台，并完善服务措施、提高服务质量（共4分，其中党委所提供的共享资料被采纳的每1篇得1.5分〈加满3分为止〉，支部（总支）所提供的共享资料被采纳的每1篇得3分；已将本部门单位应用系统或有关服务窗口对接到“e三明”服务平台的得1分、其他按单位的实际情况酌情扣分）；</w:t>
      </w:r>
    </w:p>
    <w:p>
      <w:pPr>
        <w:widowControl/>
        <w:numPr>
          <w:ilvl w:val="0"/>
          <w:numId w:val="0"/>
        </w:numPr>
        <w:tabs>
          <w:tab w:val="left" w:pos="681"/>
        </w:tabs>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eastAsia="zh-CN"/>
        </w:rPr>
      </w:pPr>
      <w:r>
        <w:rPr>
          <w:rFonts w:hint="eastAsia" w:ascii="仿宋_GB2312" w:hAnsi="仿宋_GB2312" w:cs="仿宋_GB2312"/>
          <w:b w:val="0"/>
          <w:bCs/>
          <w:color w:val="auto"/>
          <w:kern w:val="0"/>
          <w:sz w:val="32"/>
          <w:szCs w:val="32"/>
          <w:u w:val="none"/>
          <w:lang w:val="en-US" w:eastAsia="zh-CN"/>
        </w:rPr>
        <w:t>4.</w:t>
      </w:r>
      <w:r>
        <w:rPr>
          <w:rFonts w:hint="eastAsia" w:ascii="仿宋_GB2312" w:hAnsi="仿宋_GB2312" w:eastAsia="仿宋_GB2312" w:cs="仿宋_GB2312"/>
          <w:b w:val="0"/>
          <w:bCs/>
          <w:color w:val="auto"/>
          <w:kern w:val="0"/>
          <w:sz w:val="32"/>
          <w:szCs w:val="32"/>
          <w:u w:val="none"/>
          <w:lang w:eastAsia="zh-CN"/>
        </w:rPr>
        <w:t>努力提高“e三明”平台反映事项办理实效（共10分，其中办理的质效8分，有承接随手拍、企业问题直报、人大之窗和政协之窗等其他反映事项需要办理的，群众满意率达90%以上的得8分、群众满意率达80%-90%的得7分、群众满意度达70%-80%的得6分、其他按比例酌情扣分，无承接随手拍、企业问题直报、人大之窗和政协之窗或其他办理任务的得5分；办理的数量2分，年度承接随手拍或其他反映需要办理的数量达10件以上的得2分，1至9件的得1分）。</w:t>
      </w:r>
    </w:p>
    <w:p>
      <w:pPr>
        <w:widowControl/>
        <w:numPr>
          <w:ilvl w:val="0"/>
          <w:numId w:val="0"/>
        </w:numPr>
        <w:tabs>
          <w:tab w:val="left" w:pos="681"/>
        </w:tabs>
        <w:wordWrap/>
        <w:adjustRightInd/>
        <w:snapToGrid/>
        <w:spacing w:before="0" w:after="0" w:line="560" w:lineRule="exact"/>
        <w:ind w:left="0" w:leftChars="0" w:right="0" w:firstLine="622" w:firstLineChars="200"/>
        <w:jc w:val="both"/>
        <w:textAlignment w:val="auto"/>
        <w:outlineLvl w:val="9"/>
        <w:rPr>
          <w:rFonts w:hint="eastAsia" w:ascii="楷体" w:hAnsi="楷体" w:eastAsia="楷体" w:cs="楷体"/>
          <w:b w:val="0"/>
          <w:bCs/>
          <w:color w:val="auto"/>
          <w:kern w:val="0"/>
          <w:sz w:val="32"/>
          <w:szCs w:val="32"/>
          <w:u w:val="none"/>
          <w:lang w:eastAsia="zh-CN"/>
        </w:rPr>
      </w:pPr>
      <w:r>
        <w:rPr>
          <w:rFonts w:hint="eastAsia" w:ascii="楷体" w:hAnsi="楷体" w:eastAsia="楷体" w:cs="楷体"/>
          <w:b w:val="0"/>
          <w:bCs/>
          <w:color w:val="auto"/>
          <w:kern w:val="0"/>
          <w:sz w:val="32"/>
          <w:szCs w:val="32"/>
          <w:u w:val="none"/>
          <w:lang w:eastAsia="zh-CN"/>
        </w:rPr>
        <w:t>（三）服务两区经济社会发展</w:t>
      </w:r>
    </w:p>
    <w:p>
      <w:pPr>
        <w:widowControl/>
        <w:numPr>
          <w:ilvl w:val="0"/>
          <w:numId w:val="0"/>
        </w:numPr>
        <w:tabs>
          <w:tab w:val="left" w:pos="681"/>
        </w:tabs>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eastAsia="zh-CN"/>
        </w:rPr>
      </w:pPr>
      <w:r>
        <w:rPr>
          <w:rFonts w:hint="eastAsia" w:ascii="仿宋_GB2312" w:hAnsi="仿宋_GB2312" w:cs="仿宋_GB2312"/>
          <w:b w:val="0"/>
          <w:bCs/>
          <w:color w:val="auto"/>
          <w:kern w:val="0"/>
          <w:sz w:val="32"/>
          <w:szCs w:val="32"/>
          <w:u w:val="none"/>
          <w:lang w:val="en-US" w:eastAsia="zh-CN"/>
        </w:rPr>
        <w:t>1.</w:t>
      </w:r>
      <w:r>
        <w:rPr>
          <w:rFonts w:hint="eastAsia" w:ascii="仿宋_GB2312" w:hAnsi="仿宋_GB2312" w:eastAsia="仿宋_GB2312" w:cs="仿宋_GB2312"/>
          <w:b w:val="0"/>
          <w:bCs/>
          <w:color w:val="auto"/>
          <w:kern w:val="0"/>
          <w:sz w:val="32"/>
          <w:szCs w:val="32"/>
          <w:u w:val="none"/>
          <w:lang w:eastAsia="zh-CN"/>
        </w:rPr>
        <w:t>主动帮助两区及部门单位解决经济社会发展和业务工作中存在的具体困难和问题，且属“非普惠制”，即指全市6个（含6个）以下县（市、区）获得解决的问题（共16分，其中党委每1件得4分、支部（总支）每1件得8分，没有的不得分）；</w:t>
      </w:r>
    </w:p>
    <w:p>
      <w:pPr>
        <w:widowControl/>
        <w:numPr>
          <w:ilvl w:val="0"/>
          <w:numId w:val="0"/>
        </w:numPr>
        <w:tabs>
          <w:tab w:val="left" w:pos="681"/>
        </w:tabs>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eastAsia="zh-CN"/>
        </w:rPr>
      </w:pPr>
      <w:r>
        <w:rPr>
          <w:rFonts w:hint="eastAsia" w:ascii="仿宋_GB2312" w:hAnsi="仿宋_GB2312" w:cs="仿宋_GB2312"/>
          <w:b w:val="0"/>
          <w:bCs/>
          <w:color w:val="auto"/>
          <w:kern w:val="0"/>
          <w:sz w:val="32"/>
          <w:szCs w:val="32"/>
          <w:u w:val="none"/>
          <w:lang w:val="en-US" w:eastAsia="zh-CN"/>
        </w:rPr>
        <w:t>2.</w:t>
      </w:r>
      <w:r>
        <w:rPr>
          <w:rFonts w:hint="eastAsia" w:ascii="仿宋_GB2312" w:hAnsi="仿宋_GB2312" w:eastAsia="仿宋_GB2312" w:cs="仿宋_GB2312"/>
          <w:b w:val="0"/>
          <w:bCs/>
          <w:color w:val="auto"/>
          <w:kern w:val="0"/>
          <w:sz w:val="32"/>
          <w:szCs w:val="32"/>
          <w:u w:val="none"/>
          <w:lang w:eastAsia="zh-CN"/>
        </w:rPr>
        <w:t>围绕推动两区经济社会发展及业务工作这一主题，主动与两区部门单位开展共商、共建、共享（含业务培训）的联动工作（一般性的发文、批复、开会等不属联动工作）（共4分，其中党委每开展一次有成效的联动工作得1分、支部（总支）每开展一次有成效的联动工作得2分，没有的不得分）。</w:t>
      </w:r>
    </w:p>
    <w:p>
      <w:pPr>
        <w:numPr>
          <w:ilvl w:val="0"/>
          <w:numId w:val="0"/>
        </w:numPr>
        <w:wordWrap/>
        <w:adjustRightInd/>
        <w:snapToGrid/>
        <w:spacing w:before="0" w:after="0" w:line="560" w:lineRule="exact"/>
        <w:ind w:left="0" w:leftChars="0" w:right="0" w:firstLine="622" w:firstLineChars="200"/>
        <w:jc w:val="left"/>
        <w:textAlignment w:val="auto"/>
        <w:outlineLvl w:val="9"/>
        <w:rPr>
          <w:rFonts w:hint="eastAsia" w:ascii="黑体" w:hAnsi="黑体" w:eastAsia="黑体" w:cs="宋体"/>
          <w:b w:val="0"/>
          <w:bCs/>
          <w:color w:val="auto"/>
          <w:kern w:val="0"/>
          <w:sz w:val="32"/>
          <w:szCs w:val="32"/>
          <w:u w:val="none"/>
          <w:lang w:eastAsia="zh-CN"/>
        </w:rPr>
      </w:pPr>
      <w:r>
        <w:rPr>
          <w:rFonts w:hint="eastAsia" w:ascii="黑体" w:hAnsi="黑体" w:eastAsia="黑体" w:cs="宋体"/>
          <w:b w:val="0"/>
          <w:bCs/>
          <w:color w:val="auto"/>
          <w:kern w:val="0"/>
          <w:sz w:val="32"/>
          <w:szCs w:val="32"/>
          <w:u w:val="none"/>
          <w:lang w:eastAsia="zh-CN"/>
        </w:rPr>
        <w:t>三、政策争取的考评</w:t>
      </w:r>
    </w:p>
    <w:p>
      <w:pPr>
        <w:widowControl/>
        <w:numPr>
          <w:ilvl w:val="0"/>
          <w:numId w:val="0"/>
        </w:numPr>
        <w:tabs>
          <w:tab w:val="left" w:pos="681"/>
        </w:tabs>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eastAsia="zh-CN"/>
        </w:rPr>
      </w:pPr>
      <w:r>
        <w:rPr>
          <w:rFonts w:hint="eastAsia" w:ascii="仿宋_GB2312" w:hAnsi="仿宋_GB2312" w:eastAsia="仿宋_GB2312" w:cs="仿宋_GB2312"/>
          <w:b w:val="0"/>
          <w:bCs/>
          <w:color w:val="auto"/>
          <w:kern w:val="0"/>
          <w:sz w:val="32"/>
          <w:szCs w:val="32"/>
          <w:u w:val="none"/>
          <w:lang w:eastAsia="zh-CN"/>
        </w:rPr>
        <w:t>采用加分法，最多加20分。主要考核市直各单位为我市争取特殊政策支持和典型支持情况。</w:t>
      </w:r>
    </w:p>
    <w:p>
      <w:pPr>
        <w:widowControl/>
        <w:numPr>
          <w:ilvl w:val="0"/>
          <w:numId w:val="0"/>
        </w:numPr>
        <w:tabs>
          <w:tab w:val="left" w:pos="681"/>
        </w:tabs>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eastAsia="zh-CN"/>
        </w:rPr>
      </w:pPr>
      <w:r>
        <w:rPr>
          <w:rFonts w:hint="eastAsia" w:ascii="仿宋" w:hAnsi="仿宋" w:eastAsia="仿宋" w:cs="仿宋"/>
          <w:b w:val="0"/>
          <w:bCs/>
          <w:color w:val="auto"/>
          <w:kern w:val="0"/>
          <w:sz w:val="32"/>
          <w:szCs w:val="32"/>
          <w:u w:val="none"/>
          <w:lang w:eastAsia="zh-CN"/>
        </w:rPr>
        <w:t>（一）</w:t>
      </w:r>
      <w:r>
        <w:rPr>
          <w:rFonts w:hint="eastAsia" w:ascii="仿宋_GB2312" w:hAnsi="仿宋_GB2312" w:eastAsia="仿宋_GB2312" w:cs="仿宋_GB2312"/>
          <w:b w:val="0"/>
          <w:bCs/>
          <w:color w:val="auto"/>
          <w:kern w:val="0"/>
          <w:sz w:val="32"/>
          <w:szCs w:val="32"/>
          <w:u w:val="none"/>
          <w:lang w:eastAsia="zh-CN"/>
        </w:rPr>
        <w:t>争取特殊政策支持情况（分值12分，按照争取到省级及以上给予我市经济社会发展等特殊政策支持的部门，一个国家级政策加12分，一个省级政策加6分，加满12分为止，没有的不加分）。</w:t>
      </w:r>
    </w:p>
    <w:p>
      <w:pPr>
        <w:widowControl/>
        <w:numPr>
          <w:ilvl w:val="0"/>
          <w:numId w:val="0"/>
        </w:numPr>
        <w:tabs>
          <w:tab w:val="left" w:pos="681"/>
        </w:tabs>
        <w:wordWrap/>
        <w:adjustRightInd/>
        <w:snapToGrid/>
        <w:spacing w:before="0" w:after="0" w:line="560" w:lineRule="exact"/>
        <w:ind w:left="0" w:leftChars="0" w:right="0" w:firstLine="622" w:firstLineChars="200"/>
        <w:jc w:val="both"/>
        <w:textAlignment w:val="auto"/>
        <w:outlineLvl w:val="9"/>
        <w:rPr>
          <w:rFonts w:hint="eastAsia" w:ascii="仿宋_GB2312" w:hAnsi="仿宋_GB2312" w:eastAsia="仿宋_GB2312" w:cs="仿宋_GB2312"/>
          <w:b w:val="0"/>
          <w:bCs/>
          <w:color w:val="auto"/>
          <w:kern w:val="0"/>
          <w:sz w:val="32"/>
          <w:szCs w:val="32"/>
          <w:u w:val="none"/>
          <w:lang w:eastAsia="zh-CN"/>
        </w:rPr>
      </w:pPr>
      <w:r>
        <w:rPr>
          <w:rFonts w:hint="eastAsia" w:ascii="仿宋_GB2312" w:hAnsi="仿宋_GB2312" w:eastAsia="仿宋_GB2312" w:cs="仿宋_GB2312"/>
          <w:b w:val="0"/>
          <w:bCs/>
          <w:color w:val="auto"/>
          <w:kern w:val="0"/>
          <w:sz w:val="32"/>
          <w:szCs w:val="32"/>
          <w:u w:val="none"/>
          <w:lang w:eastAsia="zh-CN"/>
        </w:rPr>
        <w:t>（二）典型支持情况（分值8分，按照争取到省级及以上在我市进行试点示范等典型支持，或者作为典型在全省、全国推广的部门，一个国家级试点示范加8分，一个省级非普惠制试点示范加4分，一个省级普惠制试点示范加2分，加满8分为止，没有的不加分）。</w:t>
      </w: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textAlignment w:val="auto"/>
        <w:outlineLvl w:val="9"/>
        <w:rPr>
          <w:rFonts w:hint="eastAsia" w:ascii="仿宋_GB2312" w:hAnsi="仿宋_GB2312" w:eastAsia="仿宋_GB2312" w:cs="仿宋_GB2312"/>
          <w:color w:val="auto"/>
          <w:sz w:val="32"/>
          <w:szCs w:val="32"/>
          <w:u w:val="none"/>
        </w:rPr>
      </w:pPr>
    </w:p>
    <w:p>
      <w:pPr>
        <w:widowControl w:val="0"/>
        <w:wordWrap/>
        <w:adjustRightInd/>
        <w:snapToGrid/>
        <w:spacing w:before="0" w:after="0" w:line="560" w:lineRule="exact"/>
        <w:ind w:left="0" w:leftChars="0" w:right="0"/>
        <w:jc w:val="left"/>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2-4</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资金争取考评细化方案</w:t>
      </w:r>
    </w:p>
    <w:p>
      <w:pPr>
        <w:widowControl w:val="0"/>
        <w:wordWrap/>
        <w:adjustRightInd/>
        <w:snapToGrid/>
        <w:spacing w:before="0" w:after="0" w:line="560" w:lineRule="exact"/>
        <w:ind w:left="0" w:leftChars="0" w:right="0"/>
        <w:jc w:val="center"/>
        <w:textAlignment w:val="auto"/>
        <w:outlineLvl w:val="9"/>
        <w:rPr>
          <w:rFonts w:hint="eastAsia" w:ascii="楷体" w:hAnsi="楷体" w:eastAsia="楷体" w:cs="楷体"/>
          <w:color w:val="auto"/>
          <w:sz w:val="32"/>
          <w:szCs w:val="32"/>
          <w:u w:val="none"/>
        </w:rPr>
      </w:pPr>
      <w:r>
        <w:rPr>
          <w:rFonts w:hint="eastAsia" w:ascii="楷体" w:hAnsi="楷体" w:eastAsia="楷体" w:cs="楷体"/>
          <w:color w:val="auto"/>
          <w:sz w:val="32"/>
          <w:szCs w:val="32"/>
          <w:u w:val="none"/>
        </w:rPr>
        <w:t>（考评牵头单位：市财政局）</w:t>
      </w:r>
    </w:p>
    <w:p>
      <w:pPr>
        <w:widowControl w:val="0"/>
        <w:wordWrap/>
        <w:adjustRightInd/>
        <w:snapToGrid/>
        <w:spacing w:before="0" w:after="0" w:line="560" w:lineRule="exact"/>
        <w:ind w:left="0" w:leftChars="0" w:right="0"/>
        <w:textAlignment w:val="auto"/>
        <w:outlineLvl w:val="9"/>
        <w:rPr>
          <w:rFonts w:hint="eastAsia" w:ascii="方正小标宋简体" w:hAnsi="Calibri" w:eastAsia="方正小标宋简体" w:cs="Times New Roman"/>
          <w:color w:val="auto"/>
          <w:sz w:val="44"/>
          <w:szCs w:val="44"/>
          <w:u w:val="none"/>
        </w:rPr>
      </w:pPr>
    </w:p>
    <w:p>
      <w:pPr>
        <w:widowControl w:val="0"/>
        <w:wordWrap/>
        <w:adjustRightInd/>
        <w:snapToGrid/>
        <w:spacing w:before="0" w:after="0" w:line="560" w:lineRule="exact"/>
        <w:ind w:left="0" w:leftChars="0" w:right="0" w:firstLine="622" w:firstLineChars="200"/>
        <w:textAlignment w:val="auto"/>
        <w:outlineLvl w:val="9"/>
        <w:rPr>
          <w:rFonts w:hint="eastAsia" w:ascii="黑体" w:hAnsi="Calibri" w:eastAsia="黑体" w:cs="Times New Roman"/>
          <w:color w:val="auto"/>
          <w:sz w:val="32"/>
          <w:szCs w:val="32"/>
          <w:u w:val="none"/>
        </w:rPr>
      </w:pPr>
      <w:r>
        <w:rPr>
          <w:rFonts w:hint="eastAsia" w:ascii="黑体" w:hAnsi="Calibri" w:eastAsia="黑体" w:cs="Times New Roman"/>
          <w:color w:val="auto"/>
          <w:sz w:val="32"/>
          <w:szCs w:val="32"/>
          <w:u w:val="none"/>
        </w:rPr>
        <w:t>一、考评内容</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Calibri" w:eastAsia="仿宋_GB2312" w:cs="Times New Roman"/>
          <w:color w:val="auto"/>
          <w:sz w:val="32"/>
          <w:szCs w:val="32"/>
          <w:u w:val="none"/>
        </w:rPr>
      </w:pPr>
      <w:r>
        <w:rPr>
          <w:rFonts w:hint="eastAsia" w:ascii="仿宋_GB2312" w:hAnsi="Calibri" w:eastAsia="仿宋_GB2312" w:cs="Times New Roman"/>
          <w:color w:val="auto"/>
          <w:sz w:val="32"/>
          <w:szCs w:val="32"/>
          <w:u w:val="none"/>
        </w:rPr>
        <w:t>资金争取（分值15分），主要考核市直各单位争取省级及以上各类项目扶持资金（含捐赠）情况，以某单位争取的所有项目扶持资金(以省级及以上文件公布的金额为准)和捐赠资金为计算指标，用功效系数法计算得分。</w:t>
      </w:r>
    </w:p>
    <w:p>
      <w:pPr>
        <w:widowControl w:val="0"/>
        <w:wordWrap/>
        <w:adjustRightInd/>
        <w:snapToGrid/>
        <w:spacing w:before="0" w:after="0" w:line="560" w:lineRule="exact"/>
        <w:ind w:left="0" w:leftChars="0" w:right="0" w:firstLine="622" w:firstLineChars="200"/>
        <w:textAlignment w:val="auto"/>
        <w:outlineLvl w:val="9"/>
        <w:rPr>
          <w:rFonts w:hint="eastAsia" w:ascii="黑体" w:hAnsi="Calibri" w:eastAsia="黑体" w:cs="Times New Roman"/>
          <w:color w:val="auto"/>
          <w:sz w:val="32"/>
          <w:szCs w:val="32"/>
          <w:u w:val="none"/>
        </w:rPr>
      </w:pPr>
      <w:r>
        <w:rPr>
          <w:rFonts w:hint="eastAsia" w:ascii="黑体" w:hAnsi="Calibri" w:eastAsia="黑体" w:cs="Times New Roman"/>
          <w:color w:val="auto"/>
          <w:sz w:val="32"/>
          <w:szCs w:val="32"/>
          <w:u w:val="none"/>
        </w:rPr>
        <w:t>二、资金争取的认定</w:t>
      </w:r>
    </w:p>
    <w:p>
      <w:pPr>
        <w:widowControl w:val="0"/>
        <w:wordWrap/>
        <w:adjustRightInd/>
        <w:snapToGrid/>
        <w:spacing w:before="0" w:after="0" w:line="560" w:lineRule="exact"/>
        <w:ind w:left="0" w:leftChars="0" w:right="0" w:firstLine="467" w:firstLineChars="150"/>
        <w:textAlignment w:val="auto"/>
        <w:outlineLvl w:val="9"/>
        <w:rPr>
          <w:rFonts w:hint="eastAsia" w:ascii="仿宋_GB2312" w:hAnsi="Calibri" w:eastAsia="仿宋_GB2312" w:cs="Times New Roman"/>
          <w:color w:val="auto"/>
          <w:sz w:val="32"/>
          <w:szCs w:val="32"/>
          <w:u w:val="none"/>
        </w:rPr>
      </w:pPr>
      <w:r>
        <w:rPr>
          <w:rFonts w:hint="eastAsia" w:ascii="仿宋_GB2312" w:hAnsi="Calibri" w:eastAsia="仿宋_GB2312" w:cs="Times New Roman"/>
          <w:color w:val="auto"/>
          <w:sz w:val="32"/>
          <w:szCs w:val="32"/>
          <w:u w:val="none"/>
        </w:rPr>
        <w:t>（一）项目扶持资金，是指通过多渠道、多层次向中央、省争取的非因素分配法下达的各类项目扶持资金（以省级及以上文件公布的金额为准）。不包括每年固定定额补助或按设区市切块分配，以及通过人口、面积等以“因素分配法”为主进行分配的转移支付资金。省直部门直接下拨到市直有关单位各类账户的资金须由单位于季后三日内提供佐证材料报财政局归口业务科室后纳入计算范围。</w:t>
      </w:r>
    </w:p>
    <w:p>
      <w:pPr>
        <w:widowControl w:val="0"/>
        <w:wordWrap/>
        <w:adjustRightInd/>
        <w:snapToGrid/>
        <w:spacing w:before="0" w:after="0" w:line="560" w:lineRule="exact"/>
        <w:ind w:left="0" w:leftChars="0" w:right="0" w:firstLine="467" w:firstLineChars="150"/>
        <w:textAlignment w:val="auto"/>
        <w:outlineLvl w:val="9"/>
        <w:rPr>
          <w:rFonts w:hint="eastAsia" w:ascii="仿宋" w:hAnsi="仿宋" w:eastAsia="仿宋" w:cs="仿宋"/>
          <w:color w:val="auto"/>
          <w:sz w:val="32"/>
          <w:szCs w:val="32"/>
          <w:u w:val="none"/>
        </w:rPr>
      </w:pPr>
      <w:r>
        <w:rPr>
          <w:rFonts w:hint="eastAsia" w:ascii="仿宋_GB2312" w:hAnsi="Calibri" w:eastAsia="仿宋_GB2312" w:cs="Times New Roman"/>
          <w:color w:val="auto"/>
          <w:sz w:val="32"/>
          <w:szCs w:val="32"/>
          <w:u w:val="none"/>
        </w:rPr>
        <w:t>（二）捐赠资金，是指以单位名义接受的捐赠收入，以实际收到的捐赠金额为准，由相关单位于季后三日内提供捐赠协议（合</w:t>
      </w:r>
      <w:r>
        <w:rPr>
          <w:rFonts w:hint="eastAsia" w:ascii="仿宋_GB2312" w:hAnsi="Calibri" w:eastAsia="仿宋_GB2312" w:cs="Times New Roman"/>
          <w:color w:val="auto"/>
          <w:spacing w:val="-6"/>
          <w:sz w:val="32"/>
          <w:szCs w:val="32"/>
          <w:u w:val="none"/>
        </w:rPr>
        <w:t>同）、资金进账单等相关依据报财政局归口业务科室后纳入计算范围。</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p>
    <w:p>
      <w:pPr>
        <w:widowControl w:val="0"/>
        <w:wordWrap/>
        <w:adjustRightInd/>
        <w:snapToGrid/>
        <w:spacing w:before="0" w:after="0" w:line="560" w:lineRule="exact"/>
        <w:ind w:left="0" w:leftChars="0" w:right="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2-5</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招商引资考评细化方案</w:t>
      </w:r>
    </w:p>
    <w:p>
      <w:pPr>
        <w:widowControl w:val="0"/>
        <w:wordWrap/>
        <w:adjustRightInd/>
        <w:snapToGrid/>
        <w:spacing w:before="0" w:after="0" w:line="560" w:lineRule="exact"/>
        <w:ind w:left="0" w:leftChars="0" w:right="0"/>
        <w:jc w:val="center"/>
        <w:textAlignment w:val="auto"/>
        <w:outlineLvl w:val="9"/>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lang w:eastAsia="zh-CN"/>
        </w:rPr>
        <w:t>（考评牵头单位：市商务局）</w:t>
      </w:r>
    </w:p>
    <w:p>
      <w:pPr>
        <w:widowControl w:val="0"/>
        <w:wordWrap/>
        <w:adjustRightInd/>
        <w:snapToGrid/>
        <w:spacing w:before="0" w:after="0" w:line="560" w:lineRule="exact"/>
        <w:ind w:left="0" w:leftChars="0" w:right="0"/>
        <w:textAlignment w:val="auto"/>
        <w:outlineLvl w:val="9"/>
        <w:rPr>
          <w:rFonts w:hint="eastAsia" w:ascii="仿宋_GB2312" w:hAnsi="仿宋" w:eastAsia="仿宋_GB2312"/>
          <w:color w:val="auto"/>
          <w:sz w:val="32"/>
          <w:szCs w:val="32"/>
          <w:u w:val="none"/>
        </w:rPr>
      </w:pPr>
    </w:p>
    <w:p>
      <w:pPr>
        <w:widowControl w:val="0"/>
        <w:wordWrap/>
        <w:adjustRightInd/>
        <w:snapToGrid/>
        <w:spacing w:before="0" w:after="0" w:line="560" w:lineRule="exact"/>
        <w:ind w:left="0" w:leftChars="0" w:right="0" w:firstLine="622" w:firstLineChars="200"/>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rPr>
        <w:t>一、考评内容</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主要考核市直各部门</w:t>
      </w:r>
      <w:r>
        <w:rPr>
          <w:rFonts w:hint="eastAsia" w:ascii="仿宋_GB2312" w:hAnsi="仿宋_GB2312" w:eastAsia="仿宋_GB2312" w:cs="仿宋_GB2312"/>
          <w:color w:val="auto"/>
          <w:sz w:val="32"/>
          <w:szCs w:val="32"/>
          <w:u w:val="none"/>
          <w:lang w:eastAsia="zh-CN"/>
        </w:rPr>
        <w:t>当年</w:t>
      </w:r>
      <w:r>
        <w:rPr>
          <w:rFonts w:hint="eastAsia" w:ascii="仿宋_GB2312" w:hAnsi="仿宋_GB2312" w:eastAsia="仿宋_GB2312" w:cs="仿宋_GB2312"/>
          <w:color w:val="auto"/>
          <w:sz w:val="32"/>
          <w:szCs w:val="32"/>
          <w:u w:val="none"/>
        </w:rPr>
        <w:t>招商引进在三明市区或</w:t>
      </w:r>
      <w:r>
        <w:rPr>
          <w:rFonts w:hint="eastAsia" w:ascii="仿宋_GB2312" w:hAnsi="仿宋_GB2312" w:eastAsia="仿宋_GB2312" w:cs="仿宋_GB2312"/>
          <w:color w:val="auto"/>
          <w:sz w:val="32"/>
          <w:szCs w:val="32"/>
          <w:u w:val="none"/>
          <w:lang w:eastAsia="zh-CN"/>
        </w:rPr>
        <w:t>市级管理</w:t>
      </w:r>
      <w:r>
        <w:rPr>
          <w:rFonts w:hint="eastAsia" w:ascii="仿宋_GB2312" w:hAnsi="仿宋_GB2312" w:eastAsia="仿宋_GB2312" w:cs="仿宋_GB2312"/>
          <w:color w:val="auto"/>
          <w:sz w:val="32"/>
          <w:szCs w:val="32"/>
          <w:u w:val="none"/>
        </w:rPr>
        <w:t>园区投资兴建3000万元及以上的工业项目(或跨区域建设项目)情况；或引进在市区注册资金1000万元及以上的服务业项目情况</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农业二产项目参照工业项目考核，农业三产项目参照服务业项目考核</w:t>
      </w:r>
      <w:r>
        <w:rPr>
          <w:rFonts w:hint="eastAsia" w:ascii="仿宋_GB2312" w:hAnsi="仿宋_GB2312" w:eastAsia="仿宋_GB2312" w:cs="仿宋_GB2312"/>
          <w:color w:val="auto"/>
          <w:sz w:val="32"/>
          <w:szCs w:val="32"/>
          <w:u w:val="none"/>
          <w:lang w:eastAsia="zh-CN"/>
        </w:rPr>
        <w:t>。总</w:t>
      </w:r>
      <w:r>
        <w:rPr>
          <w:rFonts w:hint="eastAsia" w:ascii="仿宋_GB2312" w:hAnsi="仿宋_GB2312" w:eastAsia="仿宋_GB2312" w:cs="仿宋_GB2312"/>
          <w:color w:val="auto"/>
          <w:sz w:val="32"/>
          <w:szCs w:val="32"/>
          <w:u w:val="none"/>
        </w:rPr>
        <w:t>分值10分。</w:t>
      </w:r>
    </w:p>
    <w:p>
      <w:pPr>
        <w:widowControl w:val="0"/>
        <w:wordWrap/>
        <w:adjustRightInd/>
        <w:snapToGrid/>
        <w:spacing w:before="0" w:after="0" w:line="560" w:lineRule="exact"/>
        <w:ind w:left="0" w:leftChars="0" w:right="0" w:firstLine="622" w:firstLineChars="200"/>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hint="eastAsia" w:ascii="黑体" w:hAnsi="黑体" w:eastAsia="黑体"/>
          <w:color w:val="auto"/>
          <w:sz w:val="32"/>
          <w:szCs w:val="32"/>
          <w:u w:val="none"/>
          <w:lang w:eastAsia="zh-CN"/>
        </w:rPr>
        <w:t>考评</w:t>
      </w:r>
      <w:r>
        <w:rPr>
          <w:rFonts w:hint="eastAsia" w:ascii="黑体" w:hAnsi="黑体" w:eastAsia="黑体"/>
          <w:color w:val="auto"/>
          <w:sz w:val="32"/>
          <w:szCs w:val="32"/>
          <w:u w:val="none"/>
        </w:rPr>
        <w:t>标准</w:t>
      </w:r>
    </w:p>
    <w:p>
      <w:pPr>
        <w:widowControl w:val="0"/>
        <w:wordWrap/>
        <w:adjustRightInd/>
        <w:snapToGrid/>
        <w:spacing w:before="0" w:after="0" w:line="560" w:lineRule="exact"/>
        <w:ind w:left="0" w:leftChars="0" w:right="0" w:firstLine="622" w:firstLineChars="200"/>
        <w:textAlignment w:val="auto"/>
        <w:outlineLvl w:val="9"/>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eastAsia="zh-CN"/>
        </w:rPr>
        <w:t>（一）</w:t>
      </w:r>
      <w:r>
        <w:rPr>
          <w:rFonts w:hint="eastAsia" w:ascii="楷体" w:hAnsi="楷体" w:eastAsia="楷体" w:cs="楷体"/>
          <w:color w:val="auto"/>
          <w:sz w:val="32"/>
          <w:szCs w:val="32"/>
          <w:u w:val="none"/>
        </w:rPr>
        <w:t>工业项目：</w:t>
      </w:r>
      <w:r>
        <w:rPr>
          <w:rFonts w:hint="eastAsia" w:ascii="仿宋" w:hAnsi="仿宋" w:eastAsia="仿宋" w:cs="仿宋"/>
          <w:color w:val="auto"/>
          <w:sz w:val="32"/>
          <w:szCs w:val="32"/>
          <w:u w:val="none"/>
        </w:rPr>
        <w:t>每个工业项目当年完成公司工商注册得1分，签订投资合同协议、缴纳保证金得1分，完成土地出让手续得2分，项目落地开工建设的得2分，项目当年产生的税收（含项目施工单位上缴地方的增值税等）达到15万元及以上得2分，</w:t>
      </w:r>
      <w:r>
        <w:rPr>
          <w:rFonts w:hint="eastAsia" w:ascii="仿宋" w:hAnsi="仿宋" w:eastAsia="仿宋" w:cs="仿宋"/>
          <w:color w:val="auto"/>
          <w:spacing w:val="-6"/>
          <w:sz w:val="32"/>
          <w:szCs w:val="32"/>
          <w:u w:val="none"/>
        </w:rPr>
        <w:t>达到30万元及以上的得4分，该项目最后得分为上述各项得分之和</w:t>
      </w:r>
      <w:r>
        <w:rPr>
          <w:rFonts w:hint="eastAsia" w:ascii="仿宋" w:hAnsi="仿宋" w:eastAsia="仿宋" w:cs="仿宋"/>
          <w:color w:val="auto"/>
          <w:spacing w:val="-6"/>
          <w:sz w:val="32"/>
          <w:szCs w:val="32"/>
          <w:u w:val="none"/>
          <w:lang w:eastAsia="zh-CN"/>
        </w:rPr>
        <w:t>。</w:t>
      </w:r>
    </w:p>
    <w:p>
      <w:pPr>
        <w:widowControl w:val="0"/>
        <w:wordWrap/>
        <w:adjustRightInd/>
        <w:snapToGrid/>
        <w:spacing w:before="0" w:after="0" w:line="560" w:lineRule="exact"/>
        <w:ind w:left="0" w:leftChars="0" w:right="0" w:firstLine="622" w:firstLineChars="200"/>
        <w:textAlignment w:val="auto"/>
        <w:outlineLvl w:val="9"/>
        <w:rPr>
          <w:rFonts w:hint="eastAsia" w:ascii="仿宋" w:hAnsi="仿宋" w:eastAsia="仿宋" w:cs="仿宋"/>
          <w:color w:val="auto"/>
          <w:sz w:val="32"/>
          <w:szCs w:val="32"/>
          <w:u w:val="none"/>
          <w:lang w:eastAsia="zh-CN"/>
        </w:rPr>
      </w:pPr>
      <w:r>
        <w:rPr>
          <w:rFonts w:hint="eastAsia" w:ascii="楷体" w:hAnsi="楷体" w:eastAsia="楷体" w:cs="楷体"/>
          <w:color w:val="auto"/>
          <w:sz w:val="32"/>
          <w:szCs w:val="32"/>
          <w:u w:val="none"/>
          <w:lang w:eastAsia="zh-CN"/>
        </w:rPr>
        <w:t>（二）服务业项目：</w:t>
      </w:r>
      <w:r>
        <w:rPr>
          <w:rFonts w:hint="eastAsia" w:ascii="仿宋" w:hAnsi="仿宋" w:eastAsia="仿宋" w:cs="仿宋"/>
          <w:color w:val="auto"/>
          <w:sz w:val="32"/>
          <w:szCs w:val="32"/>
          <w:u w:val="none"/>
        </w:rPr>
        <w:t>每个服务业项目完成公司注册且注册资金在1000万元及以上的得1分，公司开始营业并产生营收的得2分，公司当年产生的税收达到10万元及以上的得3分，达到20万元及以上的得5分，达到30万元及以上的得7分，该项目最后得分为上述各项得分之和。</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 w:hAnsi="仿宋" w:eastAsia="仿宋" w:cs="仿宋"/>
          <w:color w:val="auto"/>
          <w:sz w:val="32"/>
          <w:szCs w:val="32"/>
          <w:u w:val="none"/>
        </w:rPr>
        <w:t>属于引资单位上年度的招商引资项目，其中工业项目</w:t>
      </w:r>
      <w:r>
        <w:rPr>
          <w:rFonts w:hint="eastAsia" w:ascii="仿宋" w:hAnsi="仿宋" w:eastAsia="仿宋" w:cs="仿宋"/>
          <w:color w:val="auto"/>
          <w:sz w:val="32"/>
          <w:szCs w:val="32"/>
          <w:u w:val="none"/>
          <w:lang w:val="en-US" w:eastAsia="zh-CN"/>
        </w:rPr>
        <w:t>2020</w:t>
      </w:r>
      <w:r>
        <w:rPr>
          <w:rFonts w:hint="eastAsia" w:ascii="仿宋" w:hAnsi="仿宋" w:eastAsia="仿宋" w:cs="仿宋"/>
          <w:color w:val="auto"/>
          <w:sz w:val="32"/>
          <w:szCs w:val="32"/>
          <w:u w:val="none"/>
        </w:rPr>
        <w:t>年税收累计达300万元及以上、服务业项目</w:t>
      </w:r>
      <w:r>
        <w:rPr>
          <w:rFonts w:hint="eastAsia" w:ascii="仿宋" w:hAnsi="仿宋" w:eastAsia="仿宋" w:cs="仿宋"/>
          <w:color w:val="auto"/>
          <w:sz w:val="32"/>
          <w:szCs w:val="32"/>
          <w:u w:val="none"/>
          <w:lang w:val="en-US" w:eastAsia="zh-CN"/>
        </w:rPr>
        <w:t>2020</w:t>
      </w:r>
      <w:r>
        <w:rPr>
          <w:rFonts w:hint="eastAsia" w:ascii="仿宋" w:hAnsi="仿宋" w:eastAsia="仿宋" w:cs="仿宋"/>
          <w:color w:val="auto"/>
          <w:sz w:val="32"/>
          <w:szCs w:val="32"/>
          <w:u w:val="none"/>
        </w:rPr>
        <w:t>年税收累计达100万元及以上，该项也可得满分。</w:t>
      </w:r>
      <w:r>
        <w:rPr>
          <w:rFonts w:hint="eastAsia" w:ascii="仿宋" w:hAnsi="仿宋" w:eastAsia="仿宋" w:cs="仿宋"/>
          <w:color w:val="auto"/>
          <w:sz w:val="32"/>
          <w:szCs w:val="32"/>
          <w:u w:val="none"/>
          <w:lang w:eastAsia="zh-CN"/>
        </w:rPr>
        <w:t>对引进项目为外资项目的</w:t>
      </w:r>
      <w:r>
        <w:rPr>
          <w:rFonts w:hint="eastAsia" w:ascii="仿宋" w:hAnsi="仿宋" w:eastAsia="仿宋" w:cs="仿宋"/>
          <w:color w:val="auto"/>
          <w:sz w:val="32"/>
          <w:szCs w:val="32"/>
          <w:u w:val="none"/>
          <w:lang w:val="en-US" w:eastAsia="zh-CN"/>
        </w:rPr>
        <w:t>（含2020年以前备案外资项目），实际利用外资500万美元（以市外管局确认的到资为准）及以上的，可得满分。</w:t>
      </w:r>
      <w:r>
        <w:rPr>
          <w:rFonts w:hint="eastAsia" w:ascii="仿宋" w:hAnsi="仿宋" w:eastAsia="仿宋" w:cs="仿宋"/>
          <w:color w:val="auto"/>
          <w:sz w:val="32"/>
          <w:szCs w:val="32"/>
          <w:u w:val="none"/>
          <w:lang w:eastAsia="zh-CN"/>
        </w:rPr>
        <w:t>对</w:t>
      </w:r>
      <w:r>
        <w:rPr>
          <w:rFonts w:hint="eastAsia" w:ascii="仿宋" w:hAnsi="仿宋" w:eastAsia="仿宋" w:cs="仿宋"/>
          <w:color w:val="auto"/>
          <w:sz w:val="32"/>
          <w:szCs w:val="32"/>
          <w:u w:val="none"/>
        </w:rPr>
        <w:t>引进总投资5亿元以上重大产业项目在三明市区或市</w:t>
      </w:r>
      <w:r>
        <w:rPr>
          <w:rFonts w:hint="eastAsia" w:ascii="仿宋" w:hAnsi="仿宋" w:eastAsia="仿宋" w:cs="仿宋"/>
          <w:color w:val="auto"/>
          <w:sz w:val="32"/>
          <w:szCs w:val="32"/>
          <w:u w:val="none"/>
          <w:lang w:eastAsia="zh-CN"/>
        </w:rPr>
        <w:t>级管理</w:t>
      </w:r>
      <w:r>
        <w:rPr>
          <w:rFonts w:hint="eastAsia" w:ascii="仿宋" w:hAnsi="仿宋" w:eastAsia="仿宋" w:cs="仿宋"/>
          <w:color w:val="auto"/>
          <w:sz w:val="32"/>
          <w:szCs w:val="32"/>
          <w:u w:val="none"/>
        </w:rPr>
        <w:t>园区落户的，只要当年完成公司注册且已交付</w:t>
      </w:r>
      <w:r>
        <w:rPr>
          <w:rFonts w:hint="eastAsia" w:ascii="仿宋_GB2312" w:hAnsi="仿宋_GB2312" w:eastAsia="仿宋_GB2312" w:cs="仿宋_GB2312"/>
          <w:color w:val="auto"/>
          <w:sz w:val="32"/>
          <w:szCs w:val="32"/>
          <w:u w:val="none"/>
        </w:rPr>
        <w:t>土地款的得满分</w:t>
      </w:r>
      <w:r>
        <w:rPr>
          <w:rFonts w:hint="eastAsia" w:ascii="仿宋_GB2312" w:hAnsi="仿宋_GB2312" w:eastAsia="仿宋_GB2312" w:cs="仿宋_GB2312"/>
          <w:color w:val="auto"/>
          <w:sz w:val="32"/>
          <w:szCs w:val="32"/>
          <w:u w:val="none"/>
          <w:lang w:eastAsia="zh-CN"/>
        </w:rPr>
        <w:t>，若项目</w:t>
      </w:r>
      <w:r>
        <w:rPr>
          <w:rFonts w:hint="eastAsia" w:ascii="仿宋_GB2312" w:hAnsi="仿宋_GB2312" w:eastAsia="仿宋_GB2312" w:cs="仿宋_GB2312"/>
          <w:color w:val="auto"/>
          <w:sz w:val="32"/>
          <w:szCs w:val="32"/>
          <w:u w:val="none"/>
        </w:rPr>
        <w:t>当年开工的，可另获得奖励分5分。</w:t>
      </w:r>
    </w:p>
    <w:p>
      <w:pPr>
        <w:widowControl w:val="0"/>
        <w:wordWrap/>
        <w:adjustRightInd/>
        <w:snapToGrid/>
        <w:spacing w:before="0" w:after="0" w:line="560" w:lineRule="exact"/>
        <w:ind w:left="0" w:leftChars="0" w:right="0" w:firstLine="622" w:firstLineChars="200"/>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lang w:eastAsia="zh-CN"/>
        </w:rPr>
        <w:t>三</w:t>
      </w:r>
      <w:r>
        <w:rPr>
          <w:rFonts w:hint="eastAsia" w:ascii="黑体" w:hAnsi="黑体" w:eastAsia="黑体"/>
          <w:color w:val="auto"/>
          <w:sz w:val="32"/>
          <w:szCs w:val="32"/>
          <w:u w:val="none"/>
        </w:rPr>
        <w:t>、项目界定</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（一）招商引资项目需符合国家、省、市产业政策和规划布局，实际利用</w:t>
      </w:r>
      <w:r>
        <w:rPr>
          <w:rFonts w:hint="eastAsia" w:ascii="仿宋_GB2312" w:hAnsi="仿宋" w:eastAsia="仿宋_GB2312"/>
          <w:color w:val="auto"/>
          <w:sz w:val="32"/>
          <w:szCs w:val="32"/>
          <w:u w:val="none"/>
          <w:lang w:eastAsia="zh-CN"/>
        </w:rPr>
        <w:t>境内</w:t>
      </w:r>
      <w:r>
        <w:rPr>
          <w:rFonts w:hint="eastAsia" w:ascii="仿宋_GB2312" w:hAnsi="仿宋" w:eastAsia="仿宋_GB2312"/>
          <w:color w:val="auto"/>
          <w:sz w:val="32"/>
          <w:szCs w:val="32"/>
          <w:u w:val="none"/>
        </w:rPr>
        <w:t>外资金（不含中央、省、市各种拨款、周转金、国债资金、补助款</w:t>
      </w:r>
      <w:r>
        <w:rPr>
          <w:rFonts w:hint="eastAsia" w:ascii="仿宋_GB2312" w:hAnsi="仿宋" w:eastAsia="仿宋_GB2312"/>
          <w:color w:val="auto"/>
          <w:sz w:val="32"/>
          <w:szCs w:val="32"/>
          <w:u w:val="none"/>
          <w:lang w:eastAsia="zh-CN"/>
        </w:rPr>
        <w:t>等</w:t>
      </w:r>
      <w:r>
        <w:rPr>
          <w:rFonts w:hint="eastAsia" w:ascii="仿宋_GB2312" w:hAnsi="仿宋" w:eastAsia="仿宋_GB2312"/>
          <w:color w:val="auto"/>
          <w:sz w:val="32"/>
          <w:szCs w:val="32"/>
          <w:u w:val="none"/>
        </w:rPr>
        <w:t>），在三明投资兴办各类企业。</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（二）招商引资项目必须是20</w:t>
      </w:r>
      <w:r>
        <w:rPr>
          <w:rFonts w:hint="eastAsia" w:ascii="仿宋_GB2312" w:hAnsi="仿宋" w:eastAsia="仿宋_GB2312"/>
          <w:color w:val="auto"/>
          <w:sz w:val="32"/>
          <w:szCs w:val="32"/>
          <w:u w:val="none"/>
          <w:lang w:val="en-US" w:eastAsia="zh-CN"/>
        </w:rPr>
        <w:t>20</w:t>
      </w:r>
      <w:r>
        <w:rPr>
          <w:rFonts w:hint="eastAsia" w:ascii="仿宋_GB2312" w:hAnsi="仿宋" w:eastAsia="仿宋_GB2312"/>
          <w:color w:val="auto"/>
          <w:sz w:val="32"/>
          <w:szCs w:val="32"/>
          <w:u w:val="none"/>
        </w:rPr>
        <w:t>年度新引进</w:t>
      </w:r>
      <w:r>
        <w:rPr>
          <w:rFonts w:hint="eastAsia" w:ascii="仿宋_GB2312" w:hAnsi="仿宋" w:eastAsia="仿宋_GB2312"/>
          <w:color w:val="auto"/>
          <w:sz w:val="32"/>
          <w:szCs w:val="32"/>
          <w:u w:val="none"/>
          <w:lang w:eastAsia="zh-CN"/>
        </w:rPr>
        <w:t>注册登记</w:t>
      </w:r>
      <w:r>
        <w:rPr>
          <w:rFonts w:hint="eastAsia" w:ascii="仿宋_GB2312" w:hAnsi="仿宋" w:eastAsia="仿宋_GB2312"/>
          <w:color w:val="auto"/>
          <w:sz w:val="32"/>
          <w:szCs w:val="32"/>
          <w:u w:val="none"/>
        </w:rPr>
        <w:t>或增资项目，必须到项目审批部门办理项目审批或核准备案登记等手续。</w:t>
      </w:r>
      <w:r>
        <w:rPr>
          <w:rFonts w:hint="eastAsia" w:ascii="仿宋_GB2312" w:hAnsi="仿宋_GB2312" w:eastAsia="仿宋_GB2312" w:cs="仿宋_GB2312"/>
          <w:color w:val="auto"/>
          <w:sz w:val="32"/>
          <w:szCs w:val="32"/>
          <w:u w:val="none"/>
        </w:rPr>
        <w:t>属于引资单位上年度的招商引资项目</w:t>
      </w:r>
      <w:r>
        <w:rPr>
          <w:rFonts w:hint="eastAsia" w:ascii="仿宋_GB2312" w:hAnsi="仿宋_GB2312" w:eastAsia="仿宋_GB2312" w:cs="仿宋_GB2312"/>
          <w:color w:val="auto"/>
          <w:sz w:val="32"/>
          <w:szCs w:val="32"/>
          <w:u w:val="none"/>
          <w:lang w:eastAsia="zh-CN"/>
        </w:rPr>
        <w:t>需</w:t>
      </w:r>
      <w:r>
        <w:rPr>
          <w:rFonts w:hint="eastAsia" w:ascii="仿宋_GB2312" w:hAnsi="仿宋_GB2312" w:eastAsia="仿宋_GB2312" w:cs="仿宋_GB2312"/>
          <w:color w:val="auto"/>
          <w:sz w:val="32"/>
          <w:szCs w:val="32"/>
          <w:u w:val="none"/>
          <w:lang w:val="en-US" w:eastAsia="zh-CN"/>
        </w:rPr>
        <w:t>2019年度向市商务局报备登记</w:t>
      </w:r>
      <w:r>
        <w:rPr>
          <w:rFonts w:hint="eastAsia" w:ascii="仿宋_GB2312" w:hAnsi="仿宋_GB2312" w:eastAsia="仿宋_GB2312" w:cs="仿宋_GB2312"/>
          <w:color w:val="auto"/>
          <w:sz w:val="32"/>
          <w:szCs w:val="32"/>
          <w:u w:val="none"/>
          <w:lang w:eastAsia="zh-CN"/>
        </w:rPr>
        <w:t>。</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（三）</w:t>
      </w:r>
      <w:r>
        <w:rPr>
          <w:rFonts w:hint="eastAsia" w:ascii="仿宋_GB2312" w:hAnsi="仿宋" w:eastAsia="仿宋_GB2312"/>
          <w:color w:val="auto"/>
          <w:sz w:val="32"/>
          <w:szCs w:val="32"/>
          <w:u w:val="none"/>
        </w:rPr>
        <w:t>属于基础设施建设、股权投资、房地产开发、国有资产转让或拍卖、政府性</w:t>
      </w:r>
      <w:r>
        <w:rPr>
          <w:rFonts w:hint="eastAsia" w:ascii="仿宋_GB2312" w:hAnsi="仿宋" w:eastAsia="仿宋_GB2312"/>
          <w:color w:val="auto"/>
          <w:sz w:val="32"/>
          <w:szCs w:val="32"/>
          <w:u w:val="none"/>
          <w:lang w:eastAsia="zh-CN"/>
        </w:rPr>
        <w:t>（市属国有企业）</w:t>
      </w:r>
      <w:r>
        <w:rPr>
          <w:rFonts w:hint="eastAsia" w:ascii="仿宋_GB2312" w:hAnsi="仿宋" w:eastAsia="仿宋_GB2312"/>
          <w:color w:val="auto"/>
          <w:sz w:val="32"/>
          <w:szCs w:val="32"/>
          <w:u w:val="none"/>
        </w:rPr>
        <w:t>投资</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社会各界捐资</w:t>
      </w:r>
      <w:r>
        <w:rPr>
          <w:rFonts w:hint="eastAsia" w:ascii="仿宋_GB2312" w:hAnsi="仿宋" w:eastAsia="仿宋_GB2312"/>
          <w:color w:val="auto"/>
          <w:sz w:val="32"/>
          <w:szCs w:val="32"/>
          <w:u w:val="none"/>
          <w:lang w:eastAsia="zh-CN"/>
        </w:rPr>
        <w:t>及原有企业技改提升等项目</w:t>
      </w:r>
      <w:r>
        <w:rPr>
          <w:rFonts w:hint="eastAsia" w:ascii="仿宋_GB2312" w:hAnsi="仿宋" w:eastAsia="仿宋_GB2312"/>
          <w:color w:val="auto"/>
          <w:sz w:val="32"/>
          <w:szCs w:val="32"/>
          <w:u w:val="none"/>
        </w:rPr>
        <w:t>不作为</w:t>
      </w:r>
      <w:r>
        <w:rPr>
          <w:rFonts w:hint="eastAsia" w:ascii="仿宋_GB2312" w:hAnsi="仿宋" w:eastAsia="仿宋_GB2312"/>
          <w:color w:val="auto"/>
          <w:sz w:val="32"/>
          <w:szCs w:val="32"/>
          <w:u w:val="none"/>
          <w:lang w:eastAsia="zh-CN"/>
        </w:rPr>
        <w:t>招商</w:t>
      </w:r>
      <w:r>
        <w:rPr>
          <w:rFonts w:hint="eastAsia" w:ascii="仿宋_GB2312" w:hAnsi="仿宋" w:eastAsia="仿宋_GB2312"/>
          <w:color w:val="auto"/>
          <w:sz w:val="32"/>
          <w:szCs w:val="32"/>
          <w:u w:val="none"/>
        </w:rPr>
        <w:t>引资确认项目。</w:t>
      </w:r>
    </w:p>
    <w:p>
      <w:pPr>
        <w:widowControl w:val="0"/>
        <w:wordWrap/>
        <w:adjustRightInd/>
        <w:snapToGrid/>
        <w:spacing w:before="0" w:after="0" w:line="560" w:lineRule="exact"/>
        <w:ind w:left="0" w:leftChars="0" w:right="0" w:firstLine="622" w:firstLineChars="200"/>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lang w:eastAsia="zh-CN"/>
        </w:rPr>
        <w:t>四</w:t>
      </w:r>
      <w:r>
        <w:rPr>
          <w:rFonts w:hint="eastAsia" w:ascii="黑体" w:hAnsi="黑体" w:eastAsia="黑体"/>
          <w:color w:val="auto"/>
          <w:sz w:val="32"/>
          <w:szCs w:val="32"/>
          <w:u w:val="none"/>
        </w:rPr>
        <w:t>、项目备案</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项目自工商注册落地开始，引资申报单位应持项目公司营业执照、投资者有效身份证明等相关材料复印件，并填写《招商引资项目备案表》（附件</w:t>
      </w:r>
      <w:r>
        <w:rPr>
          <w:rFonts w:hint="eastAsia" w:ascii="仿宋_GB2312" w:hAnsi="仿宋"/>
          <w:color w:val="auto"/>
          <w:sz w:val="32"/>
          <w:szCs w:val="32"/>
          <w:u w:val="none"/>
          <w:lang w:val="en-US" w:eastAsia="zh-CN"/>
        </w:rPr>
        <w:t>2-5-1</w:t>
      </w:r>
      <w:r>
        <w:rPr>
          <w:rFonts w:hint="eastAsia" w:ascii="仿宋_GB2312" w:hAnsi="仿宋" w:eastAsia="仿宋_GB2312"/>
          <w:color w:val="auto"/>
          <w:sz w:val="32"/>
          <w:szCs w:val="32"/>
          <w:u w:val="none"/>
        </w:rPr>
        <w:t>），经各方签字、盖章认定后，到市商务局办理备案登记，作为招商引资单位确认依据。一个项目上只能认定一个引资单位，市直单位的招商项目不得与县（市、区）的招商项目重复。</w:t>
      </w:r>
    </w:p>
    <w:p>
      <w:pPr>
        <w:widowControl w:val="0"/>
        <w:wordWrap/>
        <w:adjustRightInd/>
        <w:snapToGrid/>
        <w:spacing w:before="0" w:after="0" w:line="560" w:lineRule="exact"/>
        <w:ind w:left="0" w:leftChars="0" w:right="0" w:firstLine="622" w:firstLineChars="200"/>
        <w:textAlignment w:val="auto"/>
        <w:outlineLvl w:val="9"/>
        <w:rPr>
          <w:rFonts w:hint="eastAsia" w:ascii="黑体" w:hAnsi="黑体" w:eastAsia="黑体"/>
          <w:color w:val="auto"/>
          <w:sz w:val="32"/>
          <w:szCs w:val="32"/>
          <w:u w:val="none"/>
          <w:lang w:eastAsia="zh-CN"/>
        </w:rPr>
      </w:pPr>
      <w:r>
        <w:rPr>
          <w:rFonts w:hint="eastAsia" w:ascii="黑体" w:hAnsi="黑体" w:eastAsia="黑体"/>
          <w:color w:val="auto"/>
          <w:sz w:val="32"/>
          <w:szCs w:val="32"/>
          <w:u w:val="none"/>
          <w:lang w:eastAsia="zh-CN"/>
        </w:rPr>
        <w:t>五</w:t>
      </w:r>
      <w:r>
        <w:rPr>
          <w:rFonts w:hint="eastAsia" w:ascii="黑体" w:hAnsi="黑体" w:eastAsia="黑体"/>
          <w:color w:val="auto"/>
          <w:sz w:val="32"/>
          <w:szCs w:val="32"/>
          <w:u w:val="none"/>
        </w:rPr>
        <w:t>、</w:t>
      </w:r>
      <w:r>
        <w:rPr>
          <w:rFonts w:hint="eastAsia" w:ascii="黑体" w:hAnsi="黑体" w:eastAsia="黑体"/>
          <w:color w:val="auto"/>
          <w:sz w:val="32"/>
          <w:szCs w:val="32"/>
          <w:u w:val="none"/>
          <w:lang w:eastAsia="zh-CN"/>
        </w:rPr>
        <w:t>考评办法</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（一）对新引进工业项目，当</w:t>
      </w:r>
      <w:r>
        <w:rPr>
          <w:rFonts w:hint="eastAsia" w:ascii="仿宋_GB2312" w:hAnsi="仿宋" w:eastAsia="仿宋_GB2312"/>
          <w:color w:val="auto"/>
          <w:sz w:val="32"/>
          <w:szCs w:val="32"/>
          <w:u w:val="none"/>
          <w:lang w:eastAsia="zh-CN"/>
        </w:rPr>
        <w:t>年</w:t>
      </w:r>
      <w:r>
        <w:rPr>
          <w:rFonts w:hint="eastAsia" w:ascii="仿宋_GB2312" w:hAnsi="仿宋" w:eastAsia="仿宋_GB2312"/>
          <w:color w:val="auto"/>
          <w:sz w:val="32"/>
          <w:szCs w:val="32"/>
          <w:u w:val="none"/>
        </w:rPr>
        <w:t>项目完成公司注册、</w:t>
      </w:r>
      <w:r>
        <w:rPr>
          <w:rFonts w:hint="eastAsia" w:ascii="仿宋_GB2312" w:hAnsi="仿宋_GB2312" w:eastAsia="仿宋_GB2312" w:cs="仿宋_GB2312"/>
          <w:color w:val="auto"/>
          <w:sz w:val="32"/>
          <w:szCs w:val="32"/>
          <w:u w:val="none"/>
          <w:lang w:eastAsia="zh-CN"/>
        </w:rPr>
        <w:t>签订投资合同协议缴纳保证金</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完成土地出让</w:t>
      </w:r>
      <w:r>
        <w:rPr>
          <w:rFonts w:hint="eastAsia" w:ascii="仿宋_GB2312" w:hAnsi="仿宋_GB2312" w:eastAsia="仿宋_GB2312" w:cs="仿宋_GB2312"/>
          <w:color w:val="auto"/>
          <w:sz w:val="32"/>
          <w:szCs w:val="32"/>
          <w:u w:val="none"/>
          <w:lang w:eastAsia="zh-CN"/>
        </w:rPr>
        <w:t>（或购置租赁厂房）</w:t>
      </w:r>
      <w:r>
        <w:rPr>
          <w:rFonts w:hint="eastAsia" w:ascii="仿宋_GB2312" w:hAnsi="仿宋" w:eastAsia="仿宋_GB2312"/>
          <w:color w:val="auto"/>
          <w:sz w:val="32"/>
          <w:szCs w:val="32"/>
          <w:u w:val="none"/>
          <w:lang w:eastAsia="zh-CN"/>
        </w:rPr>
        <w:t>手续、</w:t>
      </w:r>
      <w:r>
        <w:rPr>
          <w:rFonts w:hint="eastAsia" w:ascii="仿宋_GB2312" w:hAnsi="仿宋" w:eastAsia="仿宋_GB2312"/>
          <w:color w:val="auto"/>
          <w:sz w:val="32"/>
          <w:szCs w:val="32"/>
          <w:u w:val="none"/>
        </w:rPr>
        <w:t>项目落地开工建设、当年产生税收等可得分环节，引资申报单位应持</w:t>
      </w:r>
      <w:r>
        <w:rPr>
          <w:rFonts w:hint="eastAsia" w:ascii="仿宋_GB2312" w:hAnsi="仿宋" w:eastAsia="仿宋_GB2312"/>
          <w:color w:val="auto"/>
          <w:sz w:val="32"/>
          <w:szCs w:val="32"/>
          <w:u w:val="none"/>
          <w:lang w:eastAsia="zh-CN"/>
        </w:rPr>
        <w:t>（营业执照、投资合同、保证金缴纳凭证、土地出让价款支付凭证、开工证明、完税证明等）</w:t>
      </w:r>
      <w:r>
        <w:rPr>
          <w:rFonts w:hint="eastAsia" w:ascii="仿宋_GB2312" w:hAnsi="仿宋" w:eastAsia="仿宋_GB2312"/>
          <w:color w:val="auto"/>
          <w:sz w:val="32"/>
          <w:szCs w:val="32"/>
          <w:u w:val="none"/>
        </w:rPr>
        <w:t>相关证明材料，并填写《招商引资项目进展情况表》（附件2</w:t>
      </w:r>
      <w:r>
        <w:rPr>
          <w:rFonts w:hint="eastAsia" w:ascii="仿宋_GB2312" w:hAnsi="仿宋"/>
          <w:color w:val="auto"/>
          <w:sz w:val="32"/>
          <w:szCs w:val="32"/>
          <w:u w:val="none"/>
          <w:lang w:val="en-US" w:eastAsia="zh-CN"/>
        </w:rPr>
        <w:t>-5-2</w:t>
      </w:r>
      <w:r>
        <w:rPr>
          <w:rFonts w:hint="eastAsia" w:ascii="仿宋_GB2312" w:hAnsi="仿宋" w:eastAsia="仿宋_GB2312"/>
          <w:color w:val="auto"/>
          <w:sz w:val="32"/>
          <w:szCs w:val="32"/>
          <w:u w:val="none"/>
        </w:rPr>
        <w:t>）报送至市商务局，作为年终考核得分确认依据。</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（二）对新引进服务业项目，当</w:t>
      </w:r>
      <w:r>
        <w:rPr>
          <w:rFonts w:hint="eastAsia" w:ascii="仿宋_GB2312" w:hAnsi="仿宋" w:eastAsia="仿宋_GB2312"/>
          <w:color w:val="auto"/>
          <w:sz w:val="32"/>
          <w:szCs w:val="32"/>
          <w:u w:val="none"/>
          <w:lang w:eastAsia="zh-CN"/>
        </w:rPr>
        <w:t>年</w:t>
      </w:r>
      <w:r>
        <w:rPr>
          <w:rFonts w:hint="eastAsia" w:ascii="仿宋_GB2312" w:hAnsi="仿宋" w:eastAsia="仿宋_GB2312"/>
          <w:color w:val="auto"/>
          <w:sz w:val="32"/>
          <w:szCs w:val="32"/>
          <w:u w:val="none"/>
        </w:rPr>
        <w:t>项目完成公司注册、公司开始营业</w:t>
      </w:r>
      <w:r>
        <w:rPr>
          <w:rFonts w:hint="eastAsia" w:ascii="仿宋_GB2312" w:hAnsi="仿宋" w:eastAsia="仿宋_GB2312"/>
          <w:color w:val="auto"/>
          <w:sz w:val="32"/>
          <w:szCs w:val="32"/>
          <w:u w:val="none"/>
          <w:lang w:eastAsia="zh-CN"/>
        </w:rPr>
        <w:t>并产生营收</w:t>
      </w:r>
      <w:r>
        <w:rPr>
          <w:rFonts w:hint="eastAsia" w:ascii="仿宋_GB2312" w:hAnsi="仿宋" w:eastAsia="仿宋_GB2312"/>
          <w:color w:val="auto"/>
          <w:sz w:val="32"/>
          <w:szCs w:val="32"/>
          <w:u w:val="none"/>
        </w:rPr>
        <w:t>、当年产生税收等可得分环节，引资申报单位应持</w:t>
      </w:r>
      <w:r>
        <w:rPr>
          <w:rFonts w:hint="eastAsia" w:ascii="仿宋_GB2312" w:hAnsi="仿宋" w:eastAsia="仿宋_GB2312"/>
          <w:color w:val="auto"/>
          <w:sz w:val="32"/>
          <w:szCs w:val="32"/>
          <w:u w:val="none"/>
          <w:lang w:eastAsia="zh-CN"/>
        </w:rPr>
        <w:t>（营业执照、</w:t>
      </w:r>
      <w:r>
        <w:rPr>
          <w:rFonts w:hint="eastAsia" w:ascii="仿宋_GB2312" w:hAnsi="仿宋" w:eastAsia="仿宋_GB2312"/>
          <w:color w:val="auto"/>
          <w:sz w:val="32"/>
          <w:szCs w:val="32"/>
          <w:u w:val="none"/>
        </w:rPr>
        <w:t>房租水电费和人员工资支出</w:t>
      </w:r>
      <w:r>
        <w:rPr>
          <w:rFonts w:hint="eastAsia" w:ascii="仿宋_GB2312" w:hAnsi="仿宋" w:eastAsia="仿宋_GB2312"/>
          <w:color w:val="auto"/>
          <w:sz w:val="32"/>
          <w:szCs w:val="32"/>
          <w:u w:val="none"/>
          <w:lang w:eastAsia="zh-CN"/>
        </w:rPr>
        <w:t>凭证、营收证明、完税证明等）</w:t>
      </w:r>
      <w:r>
        <w:rPr>
          <w:rFonts w:hint="eastAsia" w:ascii="仿宋_GB2312" w:hAnsi="仿宋" w:eastAsia="仿宋_GB2312"/>
          <w:color w:val="auto"/>
          <w:sz w:val="32"/>
          <w:szCs w:val="32"/>
          <w:u w:val="none"/>
        </w:rPr>
        <w:t>相关证明材料，并填写《招商引资项目进展情况表》（附件2</w:t>
      </w:r>
      <w:r>
        <w:rPr>
          <w:rFonts w:hint="eastAsia" w:ascii="仿宋_GB2312" w:hAnsi="仿宋"/>
          <w:color w:val="auto"/>
          <w:sz w:val="32"/>
          <w:szCs w:val="32"/>
          <w:u w:val="none"/>
          <w:lang w:val="en-US" w:eastAsia="zh-CN"/>
        </w:rPr>
        <w:t>-5-2</w:t>
      </w:r>
      <w:r>
        <w:rPr>
          <w:rFonts w:hint="eastAsia" w:ascii="仿宋_GB2312" w:hAnsi="仿宋" w:eastAsia="仿宋_GB2312"/>
          <w:color w:val="auto"/>
          <w:sz w:val="32"/>
          <w:szCs w:val="32"/>
          <w:u w:val="none"/>
        </w:rPr>
        <w:t>）报送至市商务局，作为年终考核得分确认依据。</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lang w:eastAsia="zh-CN"/>
        </w:rPr>
        <w:t>（三）</w:t>
      </w:r>
      <w:r>
        <w:rPr>
          <w:rFonts w:hint="eastAsia" w:ascii="仿宋_GB2312" w:hAnsi="仿宋" w:eastAsia="仿宋_GB2312"/>
          <w:color w:val="auto"/>
          <w:sz w:val="32"/>
          <w:szCs w:val="32"/>
          <w:u w:val="none"/>
        </w:rPr>
        <w:t>一个单位可以引资多个项目，</w:t>
      </w:r>
      <w:r>
        <w:rPr>
          <w:rFonts w:hint="eastAsia" w:ascii="仿宋_GB2312" w:hAnsi="仿宋" w:eastAsia="仿宋_GB2312"/>
          <w:color w:val="auto"/>
          <w:sz w:val="32"/>
          <w:szCs w:val="32"/>
          <w:u w:val="none"/>
          <w:lang w:eastAsia="zh-CN"/>
        </w:rPr>
        <w:t>必须要有达到税收得分阶段的项目，</w:t>
      </w:r>
      <w:r>
        <w:rPr>
          <w:rFonts w:hint="eastAsia" w:ascii="仿宋_GB2312" w:hAnsi="仿宋" w:eastAsia="仿宋_GB2312"/>
          <w:color w:val="auto"/>
          <w:sz w:val="32"/>
          <w:szCs w:val="32"/>
          <w:u w:val="none"/>
        </w:rPr>
        <w:t>各个项目得分可累加，引资单位最后得分，等于多个引进项目得分之和，最多不超过10分</w:t>
      </w:r>
      <w:r>
        <w:rPr>
          <w:rFonts w:hint="eastAsia" w:ascii="仿宋_GB2312" w:hAnsi="仿宋" w:eastAsia="仿宋_GB2312"/>
          <w:color w:val="auto"/>
          <w:sz w:val="32"/>
          <w:szCs w:val="32"/>
          <w:u w:val="none"/>
          <w:lang w:eastAsia="zh-CN"/>
        </w:rPr>
        <w:t>；不得通过多个完成注册登记项目累加得分。</w:t>
      </w:r>
    </w:p>
    <w:p>
      <w:pPr>
        <w:widowControl w:val="0"/>
        <w:wordWrap/>
        <w:adjustRightInd/>
        <w:snapToGrid/>
        <w:spacing w:before="0" w:after="0" w:line="560" w:lineRule="exact"/>
        <w:ind w:left="0" w:leftChars="0" w:right="0" w:firstLine="622" w:firstLineChars="200"/>
        <w:textAlignment w:val="auto"/>
        <w:outlineLvl w:val="9"/>
        <w:rPr>
          <w:rFonts w:hint="eastAsia" w:ascii="黑体" w:hAnsi="黑体" w:eastAsia="黑体"/>
          <w:color w:val="auto"/>
          <w:sz w:val="32"/>
          <w:szCs w:val="32"/>
          <w:u w:val="none"/>
        </w:rPr>
      </w:pPr>
      <w:r>
        <w:rPr>
          <w:rFonts w:hint="eastAsia" w:ascii="黑体" w:hAnsi="黑体" w:eastAsia="黑体"/>
          <w:color w:val="auto"/>
          <w:sz w:val="32"/>
          <w:szCs w:val="32"/>
          <w:u w:val="none"/>
          <w:lang w:eastAsia="zh-CN"/>
        </w:rPr>
        <w:t>六</w:t>
      </w:r>
      <w:r>
        <w:rPr>
          <w:rFonts w:hint="eastAsia" w:ascii="黑体" w:hAnsi="黑体" w:eastAsia="黑体"/>
          <w:color w:val="auto"/>
          <w:sz w:val="32"/>
          <w:szCs w:val="32"/>
          <w:u w:val="none"/>
        </w:rPr>
        <w:t>、其他事项</w:t>
      </w: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当年引进的项目出现撤</w:t>
      </w:r>
      <w:r>
        <w:rPr>
          <w:rFonts w:hint="eastAsia" w:ascii="仿宋_GB2312" w:hAnsi="仿宋" w:eastAsia="仿宋_GB2312"/>
          <w:color w:val="auto"/>
          <w:sz w:val="32"/>
          <w:szCs w:val="32"/>
          <w:u w:val="none"/>
          <w:lang w:eastAsia="zh-CN"/>
        </w:rPr>
        <w:t>销</w:t>
      </w:r>
      <w:r>
        <w:rPr>
          <w:rFonts w:hint="eastAsia" w:ascii="仿宋_GB2312" w:hAnsi="仿宋" w:eastAsia="仿宋_GB2312"/>
          <w:color w:val="auto"/>
          <w:sz w:val="32"/>
          <w:szCs w:val="32"/>
          <w:u w:val="none"/>
        </w:rPr>
        <w:t>或者减资的，引进单位应据实上报，并在年终材料报送中予以说明和扣减。</w:t>
      </w:r>
      <w:r>
        <w:rPr>
          <w:rFonts w:hint="eastAsia" w:ascii="仿宋_GB2312" w:hAnsi="仿宋" w:eastAsia="仿宋_GB2312"/>
          <w:color w:val="auto"/>
          <w:sz w:val="32"/>
          <w:szCs w:val="32"/>
          <w:u w:val="none"/>
          <w:lang w:eastAsia="zh-CN"/>
        </w:rPr>
        <w:t>市商务局将</w:t>
      </w:r>
      <w:r>
        <w:rPr>
          <w:rFonts w:hint="eastAsia" w:ascii="仿宋_GB2312" w:hAnsi="仿宋" w:eastAsia="仿宋_GB2312"/>
          <w:color w:val="auto"/>
          <w:sz w:val="32"/>
          <w:szCs w:val="32"/>
          <w:u w:val="none"/>
        </w:rPr>
        <w:t>定期对</w:t>
      </w:r>
      <w:r>
        <w:rPr>
          <w:rFonts w:hint="eastAsia" w:ascii="仿宋_GB2312" w:hAnsi="仿宋" w:eastAsia="仿宋_GB2312"/>
          <w:color w:val="auto"/>
          <w:sz w:val="32"/>
          <w:szCs w:val="32"/>
          <w:u w:val="none"/>
          <w:lang w:eastAsia="zh-CN"/>
        </w:rPr>
        <w:t>项目情况</w:t>
      </w:r>
      <w:r>
        <w:rPr>
          <w:rFonts w:hint="eastAsia" w:ascii="仿宋_GB2312" w:hAnsi="仿宋" w:eastAsia="仿宋_GB2312"/>
          <w:color w:val="auto"/>
          <w:sz w:val="32"/>
          <w:szCs w:val="32"/>
          <w:u w:val="none"/>
        </w:rPr>
        <w:t>进行</w:t>
      </w:r>
      <w:r>
        <w:rPr>
          <w:rFonts w:hint="eastAsia" w:ascii="仿宋_GB2312" w:hAnsi="仿宋" w:eastAsia="仿宋_GB2312"/>
          <w:color w:val="auto"/>
          <w:sz w:val="32"/>
          <w:szCs w:val="32"/>
          <w:u w:val="none"/>
          <w:lang w:eastAsia="zh-CN"/>
        </w:rPr>
        <w:t>督查通报</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并适时开展现场检查，</w:t>
      </w:r>
      <w:r>
        <w:rPr>
          <w:rFonts w:hint="eastAsia" w:ascii="仿宋_GB2312" w:hAnsi="仿宋" w:eastAsia="仿宋_GB2312"/>
          <w:color w:val="auto"/>
          <w:sz w:val="32"/>
          <w:szCs w:val="32"/>
          <w:u w:val="none"/>
        </w:rPr>
        <w:t>若发现</w:t>
      </w:r>
      <w:r>
        <w:rPr>
          <w:rFonts w:hint="eastAsia" w:ascii="仿宋_GB2312" w:hAnsi="仿宋" w:eastAsia="仿宋_GB2312"/>
          <w:color w:val="auto"/>
          <w:sz w:val="32"/>
          <w:szCs w:val="32"/>
          <w:u w:val="none"/>
          <w:lang w:eastAsia="zh-CN"/>
        </w:rPr>
        <w:t>夸大项目总投资，虚报项目进度或存在将上年度项目作为当年新增项目上报等</w:t>
      </w:r>
      <w:r>
        <w:rPr>
          <w:rFonts w:hint="eastAsia" w:ascii="仿宋_GB2312" w:hAnsi="仿宋" w:eastAsia="仿宋_GB2312"/>
          <w:color w:val="auto"/>
          <w:sz w:val="32"/>
          <w:szCs w:val="32"/>
          <w:u w:val="none"/>
        </w:rPr>
        <w:t>弄虚作假行为的</w:t>
      </w:r>
      <w:r>
        <w:rPr>
          <w:rFonts w:hint="eastAsia" w:ascii="仿宋_GB2312" w:hAnsi="仿宋" w:eastAsia="仿宋_GB2312"/>
          <w:color w:val="auto"/>
          <w:sz w:val="32"/>
          <w:szCs w:val="32"/>
          <w:u w:val="none"/>
          <w:lang w:eastAsia="zh-CN"/>
        </w:rPr>
        <w:t>，对年终计分进行核减</w:t>
      </w:r>
      <w:r>
        <w:rPr>
          <w:rFonts w:hint="eastAsia" w:ascii="仿宋_GB2312" w:hAnsi="仿宋" w:eastAsia="仿宋_GB2312"/>
          <w:color w:val="auto"/>
          <w:sz w:val="32"/>
          <w:szCs w:val="32"/>
          <w:u w:val="none"/>
        </w:rPr>
        <w:t>。</w:t>
      </w:r>
    </w:p>
    <w:p>
      <w:pPr>
        <w:widowControl w:val="0"/>
        <w:wordWrap/>
        <w:adjustRightInd/>
        <w:snapToGrid/>
        <w:spacing w:before="0" w:after="0" w:line="560" w:lineRule="exact"/>
        <w:ind w:left="0" w:leftChars="0" w:right="0"/>
        <w:textAlignment w:val="auto"/>
        <w:outlineLvl w:val="9"/>
        <w:rPr>
          <w:rFonts w:hint="eastAsia" w:ascii="仿宋_GB2312" w:hAnsi="仿宋" w:eastAsia="仿宋_GB2312"/>
          <w:color w:val="auto"/>
          <w:sz w:val="32"/>
          <w:szCs w:val="32"/>
          <w:u w:val="none"/>
        </w:rPr>
      </w:pPr>
    </w:p>
    <w:p>
      <w:pPr>
        <w:widowControl w:val="0"/>
        <w:wordWrap/>
        <w:adjustRightInd/>
        <w:snapToGrid/>
        <w:spacing w:before="0" w:after="0" w:line="560" w:lineRule="exact"/>
        <w:ind w:left="0" w:leftChars="0" w:right="0" w:firstLine="622" w:firstLineChars="20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附</w:t>
      </w:r>
      <w:r>
        <w:rPr>
          <w:rFonts w:hint="eastAsia" w:ascii="仿宋_GB2312" w:hAnsi="仿宋" w:eastAsia="仿宋_GB2312"/>
          <w:color w:val="auto"/>
          <w:sz w:val="32"/>
          <w:szCs w:val="32"/>
          <w:u w:val="none"/>
          <w:lang w:eastAsia="zh-CN"/>
        </w:rPr>
        <w:t>件</w:t>
      </w:r>
      <w:r>
        <w:rPr>
          <w:rFonts w:hint="eastAsia" w:ascii="仿宋_GB2312" w:hAnsi="仿宋" w:eastAsia="仿宋_GB2312"/>
          <w:color w:val="auto"/>
          <w:sz w:val="32"/>
          <w:szCs w:val="32"/>
          <w:u w:val="none"/>
        </w:rPr>
        <w:t>：</w:t>
      </w:r>
      <w:r>
        <w:rPr>
          <w:rFonts w:hint="eastAsia" w:ascii="仿宋_GB2312" w:hAnsi="仿宋"/>
          <w:color w:val="auto"/>
          <w:sz w:val="32"/>
          <w:szCs w:val="32"/>
          <w:u w:val="none"/>
          <w:lang w:val="en-US" w:eastAsia="zh-CN"/>
        </w:rPr>
        <w:t>2-5-1</w:t>
      </w:r>
      <w:r>
        <w:rPr>
          <w:rFonts w:hint="eastAsia" w:ascii="仿宋_GB2312" w:hAnsi="仿宋" w:eastAsia="仿宋_GB2312"/>
          <w:color w:val="auto"/>
          <w:sz w:val="32"/>
          <w:szCs w:val="32"/>
          <w:u w:val="none"/>
        </w:rPr>
        <w:t>.招商引资项目备案表</w:t>
      </w:r>
    </w:p>
    <w:p>
      <w:pPr>
        <w:widowControl w:val="0"/>
        <w:wordWrap/>
        <w:adjustRightInd/>
        <w:snapToGrid/>
        <w:spacing w:before="0" w:after="0" w:line="560" w:lineRule="exact"/>
        <w:ind w:left="0" w:leftChars="0" w:right="0"/>
        <w:textAlignment w:val="auto"/>
        <w:outlineLvl w:val="9"/>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 xml:space="preserve">         </w:t>
      </w:r>
      <w:r>
        <w:rPr>
          <w:rFonts w:hint="eastAsia" w:ascii="仿宋_GB2312" w:hAnsi="仿宋"/>
          <w:color w:val="auto"/>
          <w:sz w:val="32"/>
          <w:szCs w:val="32"/>
          <w:u w:val="none"/>
          <w:lang w:val="en-US" w:eastAsia="zh-CN"/>
        </w:rPr>
        <w:t xml:space="preserve"> 2-5-2</w:t>
      </w:r>
      <w:r>
        <w:rPr>
          <w:rFonts w:hint="eastAsia" w:ascii="仿宋_GB2312" w:hAnsi="仿宋" w:eastAsia="仿宋_GB2312"/>
          <w:color w:val="auto"/>
          <w:sz w:val="32"/>
          <w:szCs w:val="32"/>
          <w:u w:val="none"/>
        </w:rPr>
        <w:t>.招商引资项目进展情况表</w:t>
      </w:r>
    </w:p>
    <w:p>
      <w:pPr>
        <w:widowControl w:val="0"/>
        <w:wordWrap/>
        <w:adjustRightInd/>
        <w:snapToGrid/>
        <w:spacing w:before="0" w:after="0" w:line="560" w:lineRule="exact"/>
        <w:ind w:left="0" w:leftChars="0" w:right="0"/>
        <w:textAlignment w:val="auto"/>
        <w:outlineLvl w:val="9"/>
        <w:rPr>
          <w:rFonts w:hint="eastAsia" w:ascii="仿宋_GB2312" w:hAnsi="仿宋" w:eastAsia="仿宋_GB2312"/>
          <w:color w:val="auto"/>
          <w:sz w:val="32"/>
          <w:szCs w:val="32"/>
          <w:u w:val="none"/>
        </w:rPr>
      </w:pPr>
    </w:p>
    <w:p>
      <w:pPr>
        <w:widowControl w:val="0"/>
        <w:adjustRightInd/>
        <w:snapToGrid/>
        <w:spacing w:line="580" w:lineRule="exact"/>
        <w:textAlignment w:val="auto"/>
        <w:rPr>
          <w:rFonts w:hint="eastAsia" w:ascii="仿宋_GB2312" w:hAnsi="仿宋" w:eastAsia="仿宋_GB2312"/>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rPr>
      </w:pPr>
    </w:p>
    <w:p>
      <w:pPr>
        <w:rPr>
          <w:rFonts w:hint="eastAsia" w:ascii="黑体" w:eastAsia="黑体"/>
          <w:color w:val="auto"/>
          <w:sz w:val="32"/>
          <w:szCs w:val="32"/>
          <w:u w:val="none"/>
          <w:lang w:eastAsia="zh-CN"/>
        </w:rPr>
      </w:pPr>
    </w:p>
    <w:p>
      <w:pPr>
        <w:rPr>
          <w:rFonts w:hint="eastAsia" w:ascii="黑体" w:eastAsia="黑体"/>
          <w:color w:val="auto"/>
          <w:sz w:val="32"/>
          <w:szCs w:val="32"/>
          <w:u w:val="none"/>
          <w:lang w:eastAsia="zh-CN"/>
        </w:rPr>
      </w:pPr>
    </w:p>
    <w:p>
      <w:pPr>
        <w:rPr>
          <w:rFonts w:hint="default" w:ascii="黑体" w:eastAsia="黑体"/>
          <w:color w:val="auto"/>
          <w:sz w:val="32"/>
          <w:szCs w:val="32"/>
          <w:u w:val="none"/>
          <w:lang w:val="en-US" w:eastAsia="zh-CN"/>
        </w:rPr>
      </w:pPr>
      <w:r>
        <w:rPr>
          <w:rFonts w:hint="eastAsia" w:ascii="黑体" w:eastAsia="黑体"/>
          <w:color w:val="auto"/>
          <w:sz w:val="32"/>
          <w:szCs w:val="32"/>
          <w:u w:val="none"/>
          <w:lang w:eastAsia="zh-CN"/>
        </w:rPr>
        <w:t>附件</w:t>
      </w:r>
      <w:r>
        <w:rPr>
          <w:rFonts w:hint="eastAsia" w:ascii="黑体" w:eastAsia="黑体"/>
          <w:color w:val="auto"/>
          <w:sz w:val="32"/>
          <w:szCs w:val="32"/>
          <w:u w:val="none"/>
          <w:lang w:val="en-US" w:eastAsia="zh-CN"/>
        </w:rPr>
        <w:t>2-5-1</w:t>
      </w:r>
    </w:p>
    <w:p>
      <w:pPr>
        <w:widowControl w:val="0"/>
        <w:spacing w:line="440" w:lineRule="atLeas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招商引资项目备案表</w:t>
      </w:r>
    </w:p>
    <w:p>
      <w:pPr>
        <w:widowControl w:val="0"/>
        <w:wordWrap w:val="0"/>
        <w:snapToGrid w:val="0"/>
        <w:spacing w:line="440" w:lineRule="atLeast"/>
        <w:jc w:val="right"/>
        <w:textAlignment w:val="auto"/>
        <w:rPr>
          <w:rFonts w:hint="eastAsia" w:ascii="仿宋_GB2312" w:hAnsi="方正小标宋简体" w:eastAsia="仿宋_GB2312" w:cs="方正小标宋简体"/>
          <w:color w:val="auto"/>
          <w:sz w:val="24"/>
          <w:u w:val="none"/>
        </w:rPr>
      </w:pPr>
      <w:r>
        <w:rPr>
          <w:rFonts w:hint="eastAsia" w:ascii="仿宋_GB2312" w:hAnsi="方正小标宋简体" w:eastAsia="仿宋_GB2312" w:cs="方正小标宋简体"/>
          <w:color w:val="auto"/>
          <w:sz w:val="24"/>
          <w:u w:val="none"/>
        </w:rPr>
        <w:t>填报时间：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50"/>
        <w:gridCol w:w="251"/>
        <w:gridCol w:w="709"/>
        <w:gridCol w:w="284"/>
        <w:gridCol w:w="206"/>
        <w:gridCol w:w="1069"/>
        <w:gridCol w:w="381"/>
        <w:gridCol w:w="186"/>
        <w:gridCol w:w="709"/>
        <w:gridCol w:w="55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9" w:type="dxa"/>
            <w:vMerge w:val="restart"/>
            <w:vAlign w:val="center"/>
          </w:tcPr>
          <w:p>
            <w:pPr>
              <w:widowControl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项目引进单位</w:t>
            </w:r>
          </w:p>
        </w:tc>
        <w:tc>
          <w:tcPr>
            <w:tcW w:w="2694" w:type="dxa"/>
            <w:gridSpan w:val="4"/>
            <w:vMerge w:val="restart"/>
            <w:vAlign w:val="center"/>
          </w:tcPr>
          <w:p>
            <w:pPr>
              <w:widowControl w:val="0"/>
              <w:spacing w:line="440" w:lineRule="atLeast"/>
              <w:jc w:val="center"/>
              <w:textAlignment w:val="auto"/>
              <w:rPr>
                <w:rFonts w:hint="eastAsia" w:ascii="仿宋_GB2312" w:eastAsia="仿宋_GB2312"/>
                <w:color w:val="auto"/>
                <w:sz w:val="24"/>
                <w:u w:val="none"/>
              </w:rPr>
            </w:pPr>
          </w:p>
        </w:tc>
        <w:tc>
          <w:tcPr>
            <w:tcW w:w="4557" w:type="dxa"/>
            <w:gridSpan w:val="7"/>
            <w:vAlign w:val="center"/>
          </w:tcPr>
          <w:p>
            <w:pPr>
              <w:widowControl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○综合经济管理、服务和监管部门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9" w:type="dxa"/>
            <w:vMerge w:val="continue"/>
            <w:vAlign w:val="center"/>
          </w:tcPr>
          <w:p>
            <w:pPr>
              <w:widowControl w:val="0"/>
              <w:spacing w:line="440" w:lineRule="atLeast"/>
              <w:jc w:val="center"/>
              <w:textAlignment w:val="auto"/>
              <w:rPr>
                <w:rFonts w:hint="eastAsia" w:ascii="仿宋_GB2312" w:eastAsia="仿宋_GB2312"/>
                <w:color w:val="auto"/>
                <w:sz w:val="24"/>
                <w:u w:val="none"/>
              </w:rPr>
            </w:pPr>
          </w:p>
        </w:tc>
        <w:tc>
          <w:tcPr>
            <w:tcW w:w="2694" w:type="dxa"/>
            <w:gridSpan w:val="4"/>
            <w:vMerge w:val="continue"/>
            <w:vAlign w:val="center"/>
          </w:tcPr>
          <w:p>
            <w:pPr>
              <w:widowControl w:val="0"/>
              <w:spacing w:line="440" w:lineRule="atLeast"/>
              <w:jc w:val="center"/>
              <w:textAlignment w:val="auto"/>
              <w:rPr>
                <w:rFonts w:hint="eastAsia" w:ascii="仿宋_GB2312" w:eastAsia="仿宋_GB2312"/>
                <w:color w:val="auto"/>
                <w:sz w:val="24"/>
                <w:u w:val="none"/>
              </w:rPr>
            </w:pPr>
          </w:p>
        </w:tc>
        <w:tc>
          <w:tcPr>
            <w:tcW w:w="4557" w:type="dxa"/>
            <w:gridSpan w:val="7"/>
            <w:vAlign w:val="center"/>
          </w:tcPr>
          <w:p>
            <w:pPr>
              <w:widowControl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○党群机构、组织协调和司法部门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9" w:type="dxa"/>
            <w:vAlign w:val="center"/>
          </w:tcPr>
          <w:p>
            <w:pPr>
              <w:widowControl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经办人姓名</w:t>
            </w:r>
          </w:p>
        </w:tc>
        <w:tc>
          <w:tcPr>
            <w:tcW w:w="2694" w:type="dxa"/>
            <w:gridSpan w:val="4"/>
            <w:vAlign w:val="center"/>
          </w:tcPr>
          <w:p>
            <w:pPr>
              <w:widowControl w:val="0"/>
              <w:spacing w:line="440" w:lineRule="atLeast"/>
              <w:jc w:val="center"/>
              <w:textAlignment w:val="auto"/>
              <w:rPr>
                <w:rFonts w:hint="eastAsia" w:ascii="仿宋_GB2312" w:eastAsia="仿宋_GB2312"/>
                <w:color w:val="auto"/>
                <w:sz w:val="24"/>
                <w:u w:val="none"/>
              </w:rPr>
            </w:pPr>
          </w:p>
        </w:tc>
        <w:tc>
          <w:tcPr>
            <w:tcW w:w="1275" w:type="dxa"/>
            <w:gridSpan w:val="2"/>
            <w:vAlign w:val="center"/>
          </w:tcPr>
          <w:p>
            <w:pPr>
              <w:widowControl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联系电话</w:t>
            </w:r>
          </w:p>
        </w:tc>
        <w:tc>
          <w:tcPr>
            <w:tcW w:w="3282" w:type="dxa"/>
            <w:gridSpan w:val="5"/>
            <w:vAlign w:val="center"/>
          </w:tcPr>
          <w:p>
            <w:pPr>
              <w:widowControl w:val="0"/>
              <w:spacing w:line="440" w:lineRule="atLeast"/>
              <w:jc w:val="center"/>
              <w:textAlignment w:val="auto"/>
              <w:rPr>
                <w:rFonts w:hint="eastAsia" w:ascii="仿宋_GB2312"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9" w:type="dxa"/>
            <w:vMerge w:val="restart"/>
            <w:vAlign w:val="center"/>
          </w:tcPr>
          <w:p>
            <w:pPr>
              <w:widowControl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引进项目名称</w:t>
            </w:r>
          </w:p>
          <w:p>
            <w:pPr>
              <w:widowControl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w:t>
            </w:r>
            <w:r>
              <w:rPr>
                <w:rFonts w:hint="eastAsia" w:ascii="仿宋_GB2312" w:eastAsia="仿宋_GB2312"/>
                <w:color w:val="auto"/>
                <w:sz w:val="24"/>
                <w:u w:val="none"/>
                <w:lang w:eastAsia="zh-CN"/>
              </w:rPr>
              <w:t>新注册</w:t>
            </w:r>
            <w:r>
              <w:rPr>
                <w:rFonts w:hint="eastAsia" w:ascii="仿宋_GB2312" w:eastAsia="仿宋_GB2312"/>
                <w:color w:val="auto"/>
                <w:sz w:val="24"/>
                <w:u w:val="none"/>
              </w:rPr>
              <w:t>公司名称）</w:t>
            </w:r>
          </w:p>
        </w:tc>
        <w:tc>
          <w:tcPr>
            <w:tcW w:w="2694" w:type="dxa"/>
            <w:gridSpan w:val="4"/>
            <w:vMerge w:val="restart"/>
            <w:vAlign w:val="center"/>
          </w:tcPr>
          <w:p>
            <w:pPr>
              <w:widowControl w:val="0"/>
              <w:spacing w:line="440" w:lineRule="atLeast"/>
              <w:textAlignment w:val="auto"/>
              <w:rPr>
                <w:rFonts w:hint="eastAsia" w:ascii="仿宋_GB2312" w:eastAsia="仿宋_GB2312"/>
                <w:color w:val="auto"/>
                <w:sz w:val="24"/>
                <w:u w:val="none"/>
              </w:rPr>
            </w:pPr>
          </w:p>
        </w:tc>
        <w:tc>
          <w:tcPr>
            <w:tcW w:w="1275" w:type="dxa"/>
            <w:gridSpan w:val="2"/>
            <w:vMerge w:val="restart"/>
            <w:vAlign w:val="center"/>
          </w:tcPr>
          <w:p>
            <w:pPr>
              <w:widowControl w:val="0"/>
              <w:spacing w:line="440" w:lineRule="atLeast"/>
              <w:textAlignment w:val="auto"/>
              <w:rPr>
                <w:rFonts w:hint="eastAsia" w:ascii="仿宋_GB2312" w:eastAsia="仿宋_GB2312"/>
                <w:color w:val="auto"/>
                <w:sz w:val="24"/>
                <w:u w:val="none"/>
              </w:rPr>
            </w:pPr>
            <w:r>
              <w:rPr>
                <w:rFonts w:hint="eastAsia" w:ascii="仿宋_GB2312" w:eastAsia="仿宋_GB2312"/>
                <w:color w:val="auto"/>
                <w:sz w:val="24"/>
                <w:u w:val="none"/>
              </w:rPr>
              <w:t>项目类别</w:t>
            </w:r>
          </w:p>
        </w:tc>
        <w:tc>
          <w:tcPr>
            <w:tcW w:w="3282" w:type="dxa"/>
            <w:gridSpan w:val="5"/>
            <w:vAlign w:val="center"/>
          </w:tcPr>
          <w:p>
            <w:pPr>
              <w:widowControl w:val="0"/>
              <w:spacing w:line="440" w:lineRule="atLeast"/>
              <w:textAlignment w:val="auto"/>
              <w:rPr>
                <w:rFonts w:hint="eastAsia" w:ascii="仿宋_GB2312" w:eastAsia="仿宋_GB2312"/>
                <w:color w:val="auto"/>
                <w:sz w:val="24"/>
                <w:u w:val="none"/>
              </w:rPr>
            </w:pPr>
            <w:r>
              <w:rPr>
                <w:rFonts w:hint="eastAsia" w:ascii="仿宋_GB2312" w:eastAsia="仿宋_GB2312"/>
                <w:color w:val="auto"/>
                <w:sz w:val="24"/>
                <w:u w:val="none"/>
              </w:rPr>
              <w:t xml:space="preserve">○工业项目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09" w:type="dxa"/>
            <w:vMerge w:val="continue"/>
            <w:vAlign w:val="center"/>
          </w:tcPr>
          <w:p>
            <w:pPr>
              <w:widowControl w:val="0"/>
              <w:spacing w:line="440" w:lineRule="atLeast"/>
              <w:jc w:val="center"/>
              <w:textAlignment w:val="auto"/>
              <w:rPr>
                <w:rFonts w:hint="eastAsia" w:ascii="仿宋_GB2312" w:eastAsia="仿宋_GB2312"/>
                <w:color w:val="auto"/>
                <w:sz w:val="24"/>
                <w:u w:val="none"/>
              </w:rPr>
            </w:pPr>
          </w:p>
        </w:tc>
        <w:tc>
          <w:tcPr>
            <w:tcW w:w="2694" w:type="dxa"/>
            <w:gridSpan w:val="4"/>
            <w:vMerge w:val="continue"/>
            <w:vAlign w:val="center"/>
          </w:tcPr>
          <w:p>
            <w:pPr>
              <w:widowControl w:val="0"/>
              <w:spacing w:line="440" w:lineRule="atLeast"/>
              <w:textAlignment w:val="auto"/>
              <w:rPr>
                <w:rFonts w:hint="eastAsia" w:ascii="仿宋_GB2312" w:eastAsia="仿宋_GB2312"/>
                <w:color w:val="auto"/>
                <w:sz w:val="24"/>
                <w:u w:val="none"/>
              </w:rPr>
            </w:pPr>
          </w:p>
        </w:tc>
        <w:tc>
          <w:tcPr>
            <w:tcW w:w="1275" w:type="dxa"/>
            <w:gridSpan w:val="2"/>
            <w:vMerge w:val="continue"/>
            <w:vAlign w:val="center"/>
          </w:tcPr>
          <w:p>
            <w:pPr>
              <w:widowControl w:val="0"/>
              <w:spacing w:line="440" w:lineRule="atLeast"/>
              <w:textAlignment w:val="auto"/>
              <w:rPr>
                <w:rFonts w:hint="eastAsia" w:ascii="仿宋_GB2312" w:eastAsia="仿宋_GB2312"/>
                <w:color w:val="auto"/>
                <w:sz w:val="24"/>
                <w:u w:val="none"/>
              </w:rPr>
            </w:pPr>
          </w:p>
        </w:tc>
        <w:tc>
          <w:tcPr>
            <w:tcW w:w="3282" w:type="dxa"/>
            <w:gridSpan w:val="5"/>
            <w:vAlign w:val="center"/>
          </w:tcPr>
          <w:p>
            <w:pPr>
              <w:widowControl w:val="0"/>
              <w:spacing w:line="440" w:lineRule="atLeast"/>
              <w:textAlignment w:val="auto"/>
              <w:rPr>
                <w:rFonts w:hint="eastAsia" w:ascii="仿宋_GB2312" w:eastAsia="仿宋_GB2312"/>
                <w:color w:val="auto"/>
                <w:sz w:val="24"/>
                <w:u w:val="none"/>
              </w:rPr>
            </w:pPr>
            <w:r>
              <w:rPr>
                <w:rFonts w:hint="eastAsia" w:ascii="仿宋_GB2312" w:eastAsia="仿宋_GB2312"/>
                <w:color w:val="auto"/>
                <w:sz w:val="24"/>
                <w:u w:val="none"/>
              </w:rPr>
              <w:t xml:space="preserve">○服务业项目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9" w:type="dxa"/>
            <w:vAlign w:val="center"/>
          </w:tcPr>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项目总投资</w:t>
            </w:r>
          </w:p>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(万元)</w:t>
            </w:r>
          </w:p>
        </w:tc>
        <w:tc>
          <w:tcPr>
            <w:tcW w:w="1450" w:type="dxa"/>
            <w:vAlign w:val="center"/>
          </w:tcPr>
          <w:p>
            <w:pPr>
              <w:widowControl w:val="0"/>
              <w:snapToGrid w:val="0"/>
              <w:spacing w:line="440" w:lineRule="atLeast"/>
              <w:jc w:val="center"/>
              <w:textAlignment w:val="auto"/>
              <w:rPr>
                <w:rFonts w:hint="eastAsia" w:ascii="仿宋_GB2312" w:eastAsia="仿宋_GB2312"/>
                <w:color w:val="auto"/>
                <w:sz w:val="24"/>
                <w:u w:val="none"/>
              </w:rPr>
            </w:pPr>
          </w:p>
        </w:tc>
        <w:tc>
          <w:tcPr>
            <w:tcW w:w="1450" w:type="dxa"/>
            <w:gridSpan w:val="4"/>
            <w:vAlign w:val="center"/>
          </w:tcPr>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注册资金(万元)</w:t>
            </w:r>
          </w:p>
        </w:tc>
        <w:tc>
          <w:tcPr>
            <w:tcW w:w="1450" w:type="dxa"/>
            <w:gridSpan w:val="2"/>
            <w:vAlign w:val="center"/>
          </w:tcPr>
          <w:p>
            <w:pPr>
              <w:widowControl w:val="0"/>
              <w:snapToGrid w:val="0"/>
              <w:spacing w:line="440" w:lineRule="atLeast"/>
              <w:jc w:val="center"/>
              <w:textAlignment w:val="auto"/>
              <w:rPr>
                <w:rFonts w:hint="eastAsia" w:ascii="仿宋_GB2312" w:eastAsia="仿宋_GB2312"/>
                <w:color w:val="auto"/>
                <w:sz w:val="24"/>
                <w:u w:val="none"/>
              </w:rPr>
            </w:pPr>
          </w:p>
        </w:tc>
        <w:tc>
          <w:tcPr>
            <w:tcW w:w="1450" w:type="dxa"/>
            <w:gridSpan w:val="3"/>
            <w:vAlign w:val="center"/>
          </w:tcPr>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注册日期</w:t>
            </w:r>
          </w:p>
        </w:tc>
        <w:tc>
          <w:tcPr>
            <w:tcW w:w="1451" w:type="dxa"/>
            <w:vAlign w:val="center"/>
          </w:tcPr>
          <w:p>
            <w:pPr>
              <w:widowControl w:val="0"/>
              <w:snapToGrid w:val="0"/>
              <w:spacing w:line="440" w:lineRule="atLeast"/>
              <w:jc w:val="center"/>
              <w:textAlignment w:val="auto"/>
              <w:rPr>
                <w:rFonts w:hint="eastAsia" w:ascii="仿宋_GB2312"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809" w:type="dxa"/>
            <w:vAlign w:val="center"/>
          </w:tcPr>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项目落户地址</w:t>
            </w:r>
          </w:p>
          <w:p>
            <w:pPr>
              <w:widowControl w:val="0"/>
              <w:snapToGrid w:val="0"/>
              <w:spacing w:line="440" w:lineRule="atLeast"/>
              <w:jc w:val="center"/>
              <w:textAlignment w:val="auto"/>
              <w:rPr>
                <w:rFonts w:hint="eastAsia" w:ascii="仿宋_GB2312" w:eastAsia="仿宋_GB2312"/>
                <w:color w:val="auto"/>
                <w:spacing w:val="-20"/>
                <w:sz w:val="24"/>
                <w:u w:val="none"/>
              </w:rPr>
            </w:pPr>
            <w:r>
              <w:rPr>
                <w:rFonts w:hint="eastAsia" w:ascii="仿宋_GB2312" w:eastAsia="仿宋_GB2312"/>
                <w:color w:val="auto"/>
                <w:spacing w:val="-20"/>
                <w:sz w:val="24"/>
                <w:u w:val="none"/>
              </w:rPr>
              <w:t>（企业注册地址）</w:t>
            </w:r>
          </w:p>
        </w:tc>
        <w:tc>
          <w:tcPr>
            <w:tcW w:w="7251" w:type="dxa"/>
            <w:gridSpan w:val="11"/>
            <w:vAlign w:val="center"/>
          </w:tcPr>
          <w:p>
            <w:pPr>
              <w:widowControl w:val="0"/>
              <w:snapToGrid w:val="0"/>
              <w:spacing w:line="440" w:lineRule="atLeast"/>
              <w:jc w:val="center"/>
              <w:textAlignment w:val="auto"/>
              <w:rPr>
                <w:rFonts w:hint="eastAsia" w:ascii="仿宋_GB2312"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809" w:type="dxa"/>
            <w:vAlign w:val="center"/>
          </w:tcPr>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b/>
                <w:color w:val="auto"/>
                <w:sz w:val="24"/>
                <w:u w:val="none"/>
              </w:rPr>
              <w:t>投资方基本情况</w:t>
            </w:r>
            <w:r>
              <w:rPr>
                <w:rFonts w:hint="eastAsia" w:ascii="仿宋_GB2312" w:eastAsia="仿宋_GB2312"/>
                <w:color w:val="auto"/>
                <w:sz w:val="24"/>
                <w:u w:val="none"/>
              </w:rPr>
              <w:t>（名称、投资来源国别/地区、主要业务、规模、行业地位等）</w:t>
            </w:r>
          </w:p>
        </w:tc>
        <w:tc>
          <w:tcPr>
            <w:tcW w:w="7251" w:type="dxa"/>
            <w:gridSpan w:val="11"/>
            <w:vAlign w:val="center"/>
          </w:tcPr>
          <w:p>
            <w:pPr>
              <w:widowControl w:val="0"/>
              <w:snapToGrid w:val="0"/>
              <w:spacing w:line="440" w:lineRule="atLeast"/>
              <w:jc w:val="center"/>
              <w:textAlignment w:val="auto"/>
              <w:rPr>
                <w:rFonts w:hint="eastAsia" w:ascii="仿宋_GB2312"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投资方</w:t>
            </w:r>
          </w:p>
          <w:p>
            <w:pPr>
              <w:widowControl w:val="0"/>
              <w:snapToGrid w:val="0"/>
              <w:spacing w:line="440" w:lineRule="atLeast"/>
              <w:jc w:val="center"/>
              <w:textAlignment w:val="auto"/>
              <w:rPr>
                <w:rFonts w:hint="eastAsia" w:ascii="仿宋_GB2312" w:eastAsia="仿宋_GB2312"/>
                <w:b/>
                <w:color w:val="auto"/>
                <w:sz w:val="24"/>
                <w:u w:val="none"/>
              </w:rPr>
            </w:pPr>
            <w:r>
              <w:rPr>
                <w:rFonts w:hint="eastAsia" w:ascii="仿宋_GB2312" w:eastAsia="仿宋_GB2312"/>
                <w:color w:val="auto"/>
                <w:sz w:val="24"/>
                <w:u w:val="none"/>
              </w:rPr>
              <w:t>对接负责人</w:t>
            </w:r>
          </w:p>
        </w:tc>
        <w:tc>
          <w:tcPr>
            <w:tcW w:w="1701" w:type="dxa"/>
            <w:gridSpan w:val="2"/>
            <w:vAlign w:val="center"/>
          </w:tcPr>
          <w:p>
            <w:pPr>
              <w:widowControl w:val="0"/>
              <w:snapToGrid w:val="0"/>
              <w:spacing w:line="440" w:lineRule="atLeast"/>
              <w:jc w:val="center"/>
              <w:textAlignment w:val="auto"/>
              <w:rPr>
                <w:rFonts w:hint="eastAsia" w:ascii="仿宋_GB2312" w:eastAsia="仿宋_GB2312"/>
                <w:color w:val="auto"/>
                <w:sz w:val="24"/>
                <w:u w:val="none"/>
              </w:rPr>
            </w:pPr>
          </w:p>
        </w:tc>
        <w:tc>
          <w:tcPr>
            <w:tcW w:w="709" w:type="dxa"/>
            <w:vAlign w:val="center"/>
          </w:tcPr>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职务</w:t>
            </w:r>
          </w:p>
        </w:tc>
        <w:tc>
          <w:tcPr>
            <w:tcW w:w="2126" w:type="dxa"/>
            <w:gridSpan w:val="5"/>
            <w:vAlign w:val="center"/>
          </w:tcPr>
          <w:p>
            <w:pPr>
              <w:widowControl w:val="0"/>
              <w:snapToGrid w:val="0"/>
              <w:spacing w:line="440" w:lineRule="atLeast"/>
              <w:jc w:val="center"/>
              <w:textAlignment w:val="auto"/>
              <w:rPr>
                <w:rFonts w:hint="eastAsia" w:ascii="仿宋_GB2312" w:eastAsia="仿宋_GB2312"/>
                <w:color w:val="auto"/>
                <w:sz w:val="24"/>
                <w:u w:val="none"/>
              </w:rPr>
            </w:pPr>
          </w:p>
        </w:tc>
        <w:tc>
          <w:tcPr>
            <w:tcW w:w="709" w:type="dxa"/>
            <w:vAlign w:val="center"/>
          </w:tcPr>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电话</w:t>
            </w:r>
          </w:p>
        </w:tc>
        <w:tc>
          <w:tcPr>
            <w:tcW w:w="2006" w:type="dxa"/>
            <w:gridSpan w:val="2"/>
            <w:vAlign w:val="center"/>
          </w:tcPr>
          <w:p>
            <w:pPr>
              <w:widowControl w:val="0"/>
              <w:snapToGrid w:val="0"/>
              <w:spacing w:line="440" w:lineRule="atLeast"/>
              <w:jc w:val="center"/>
              <w:textAlignment w:val="auto"/>
              <w:rPr>
                <w:rFonts w:hint="eastAsia" w:ascii="仿宋_GB2312"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1809" w:type="dxa"/>
            <w:vAlign w:val="center"/>
          </w:tcPr>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b/>
                <w:color w:val="auto"/>
                <w:sz w:val="24"/>
                <w:u w:val="none"/>
              </w:rPr>
              <w:t>项目基本情况</w:t>
            </w:r>
            <w:r>
              <w:rPr>
                <w:rFonts w:hint="eastAsia" w:ascii="仿宋_GB2312" w:eastAsia="仿宋_GB2312"/>
                <w:color w:val="auto"/>
                <w:sz w:val="24"/>
                <w:u w:val="none"/>
              </w:rPr>
              <w:t>（拟投资建设内容、主要产品或服务、规模等)</w:t>
            </w:r>
          </w:p>
        </w:tc>
        <w:tc>
          <w:tcPr>
            <w:tcW w:w="7251" w:type="dxa"/>
            <w:gridSpan w:val="11"/>
            <w:tcBorders>
              <w:top w:val="single" w:color="auto" w:sz="4" w:space="0"/>
            </w:tcBorders>
            <w:vAlign w:val="center"/>
          </w:tcPr>
          <w:p>
            <w:pPr>
              <w:widowControl w:val="0"/>
              <w:snapToGrid w:val="0"/>
              <w:spacing w:line="440" w:lineRule="atLeast"/>
              <w:jc w:val="center"/>
              <w:textAlignment w:val="auto"/>
              <w:rPr>
                <w:rFonts w:hint="eastAsia" w:ascii="仿宋_GB2312"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1809" w:type="dxa"/>
            <w:vAlign w:val="center"/>
          </w:tcPr>
          <w:p>
            <w:pPr>
              <w:widowControl w:val="0"/>
              <w:adjustRightInd w:val="0"/>
              <w:snapToGrid w:val="0"/>
              <w:spacing w:line="440" w:lineRule="atLeast"/>
              <w:jc w:val="center"/>
              <w:textAlignment w:val="auto"/>
              <w:rPr>
                <w:rFonts w:ascii="仿宋_GB2312" w:eastAsia="仿宋_GB2312"/>
                <w:b/>
                <w:color w:val="auto"/>
                <w:sz w:val="24"/>
                <w:u w:val="none"/>
              </w:rPr>
            </w:pPr>
            <w:r>
              <w:rPr>
                <w:rFonts w:hint="eastAsia" w:ascii="仿宋_GB2312" w:eastAsia="仿宋_GB2312"/>
                <w:b/>
                <w:color w:val="auto"/>
                <w:sz w:val="24"/>
                <w:u w:val="none"/>
              </w:rPr>
              <w:t>对接洽谈情况</w:t>
            </w:r>
          </w:p>
          <w:p>
            <w:pPr>
              <w:widowControl w:val="0"/>
              <w:snapToGrid w:val="0"/>
              <w:spacing w:line="440" w:lineRule="atLeast"/>
              <w:jc w:val="center"/>
              <w:textAlignment w:val="auto"/>
              <w:rPr>
                <w:rFonts w:hint="eastAsia" w:ascii="仿宋_GB2312" w:eastAsia="仿宋_GB2312"/>
                <w:color w:val="auto"/>
                <w:sz w:val="24"/>
                <w:u w:val="none"/>
              </w:rPr>
            </w:pPr>
            <w:r>
              <w:rPr>
                <w:rFonts w:hint="eastAsia" w:ascii="仿宋_GB2312" w:eastAsia="仿宋_GB2312"/>
                <w:color w:val="auto"/>
                <w:sz w:val="24"/>
                <w:u w:val="none"/>
              </w:rPr>
              <w:t>（说明引资单位促成投资项目落地有关情况）</w:t>
            </w:r>
          </w:p>
        </w:tc>
        <w:tc>
          <w:tcPr>
            <w:tcW w:w="7251" w:type="dxa"/>
            <w:gridSpan w:val="11"/>
            <w:vAlign w:val="center"/>
          </w:tcPr>
          <w:p>
            <w:pPr>
              <w:widowControl w:val="0"/>
              <w:snapToGrid w:val="0"/>
              <w:spacing w:line="440" w:lineRule="atLeast"/>
              <w:jc w:val="center"/>
              <w:textAlignment w:val="auto"/>
              <w:rPr>
                <w:rFonts w:hint="eastAsia" w:ascii="仿宋_GB2312"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9060" w:type="dxa"/>
            <w:gridSpan w:val="12"/>
            <w:vAlign w:val="top"/>
          </w:tcPr>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r>
              <w:rPr>
                <w:rFonts w:hint="eastAsia" w:ascii="仿宋_GB2312" w:eastAsia="仿宋_GB2312"/>
                <w:color w:val="auto"/>
                <w:sz w:val="24"/>
                <w:u w:val="none"/>
              </w:rPr>
              <w:t>申报单位意见：</w:t>
            </w:r>
          </w:p>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r>
              <w:rPr>
                <w:rFonts w:hint="eastAsia" w:ascii="仿宋_GB2312" w:eastAsia="仿宋_GB2312"/>
                <w:color w:val="auto"/>
                <w:sz w:val="24"/>
                <w:u w:val="none"/>
              </w:rPr>
              <w:t>负责人签字：             盖章：                       年    月     日</w:t>
            </w:r>
          </w:p>
          <w:p>
            <w:pPr>
              <w:widowControl w:val="0"/>
              <w:spacing w:line="440" w:lineRule="atLeast"/>
              <w:textAlignment w:val="auto"/>
              <w:rPr>
                <w:rFonts w:hint="eastAsia" w:ascii="仿宋_GB2312"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9060" w:type="dxa"/>
            <w:gridSpan w:val="12"/>
            <w:vAlign w:val="top"/>
          </w:tcPr>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r>
              <w:rPr>
                <w:rFonts w:hint="eastAsia" w:ascii="仿宋_GB2312" w:eastAsia="仿宋_GB2312"/>
                <w:color w:val="auto"/>
                <w:sz w:val="24"/>
                <w:u w:val="none"/>
              </w:rPr>
              <w:t>投资方意见：</w:t>
            </w:r>
          </w:p>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r>
              <w:rPr>
                <w:rFonts w:hint="eastAsia" w:ascii="仿宋_GB2312" w:eastAsia="仿宋_GB2312"/>
                <w:color w:val="auto"/>
                <w:sz w:val="24"/>
                <w:u w:val="none"/>
              </w:rPr>
              <w:t>负责人签字：             盖章：                       年    月     日</w:t>
            </w:r>
          </w:p>
          <w:p>
            <w:pPr>
              <w:widowControl w:val="0"/>
              <w:spacing w:line="440" w:lineRule="atLeast"/>
              <w:textAlignment w:val="auto"/>
              <w:rPr>
                <w:rFonts w:hint="eastAsia" w:ascii="仿宋_GB2312" w:eastAsia="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9060" w:type="dxa"/>
            <w:gridSpan w:val="12"/>
            <w:vAlign w:val="top"/>
          </w:tcPr>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r>
              <w:rPr>
                <w:rFonts w:hint="eastAsia" w:ascii="仿宋_GB2312" w:eastAsia="仿宋_GB2312"/>
                <w:color w:val="auto"/>
                <w:sz w:val="24"/>
                <w:u w:val="none"/>
              </w:rPr>
              <w:t>项目所在县（市、区）人民政府或</w:t>
            </w:r>
            <w:r>
              <w:rPr>
                <w:rFonts w:hint="eastAsia" w:ascii="仿宋_GB2312" w:eastAsia="仿宋_GB2312"/>
                <w:color w:val="auto"/>
                <w:sz w:val="24"/>
                <w:u w:val="none"/>
                <w:lang w:eastAsia="zh-CN"/>
              </w:rPr>
              <w:t>市级管理</w:t>
            </w:r>
            <w:r>
              <w:rPr>
                <w:rFonts w:hint="eastAsia" w:ascii="仿宋_GB2312" w:eastAsia="仿宋_GB2312"/>
                <w:color w:val="auto"/>
                <w:sz w:val="24"/>
                <w:u w:val="none"/>
              </w:rPr>
              <w:t>园区意见：</w:t>
            </w:r>
          </w:p>
          <w:p>
            <w:pPr>
              <w:widowControl w:val="0"/>
              <w:spacing w:line="440" w:lineRule="atLeast"/>
              <w:textAlignment w:val="auto"/>
              <w:rPr>
                <w:rFonts w:hint="eastAsia" w:ascii="仿宋_GB2312" w:eastAsia="仿宋_GB2312"/>
                <w:color w:val="auto"/>
                <w:sz w:val="24"/>
                <w:u w:val="none"/>
              </w:rPr>
            </w:pPr>
          </w:p>
          <w:p>
            <w:pPr>
              <w:widowControl w:val="0"/>
              <w:spacing w:line="440" w:lineRule="atLeast"/>
              <w:textAlignment w:val="auto"/>
              <w:rPr>
                <w:rFonts w:hint="eastAsia" w:ascii="仿宋_GB2312" w:eastAsia="仿宋_GB2312"/>
                <w:color w:val="auto"/>
                <w:sz w:val="24"/>
                <w:u w:val="none"/>
              </w:rPr>
            </w:pPr>
            <w:r>
              <w:rPr>
                <w:rFonts w:hint="eastAsia" w:ascii="仿宋_GB2312" w:eastAsia="仿宋_GB2312"/>
                <w:color w:val="auto"/>
                <w:sz w:val="24"/>
                <w:u w:val="none"/>
              </w:rPr>
              <w:t>负责人签字：             盖章：                       年    月     日</w:t>
            </w:r>
          </w:p>
        </w:tc>
      </w:tr>
    </w:tbl>
    <w:p>
      <w:pPr>
        <w:widowControl w:val="0"/>
        <w:spacing w:line="440" w:lineRule="atLeast"/>
        <w:textAlignment w:val="auto"/>
        <w:rPr>
          <w:rFonts w:hint="eastAsia" w:ascii="黑体" w:eastAsia="黑体"/>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587" w:gutter="0"/>
          <w:paperSrc/>
          <w:pgNumType w:fmt="decimal" w:start="1"/>
          <w:cols w:space="720" w:num="1"/>
          <w:docGrid w:type="linesAndChars" w:linePitch="439" w:charSpace="-1844"/>
        </w:sectPr>
      </w:pPr>
      <w:r>
        <w:rPr>
          <w:rFonts w:hint="eastAsia" w:ascii="仿宋_GB2312" w:eastAsia="仿宋_GB2312"/>
          <w:color w:val="auto"/>
          <w:sz w:val="24"/>
          <w:u w:val="none"/>
        </w:rPr>
        <w:t>注：本表一式</w:t>
      </w:r>
      <w:r>
        <w:rPr>
          <w:rFonts w:hint="eastAsia" w:ascii="仿宋_GB2312" w:eastAsia="仿宋_GB2312"/>
          <w:color w:val="auto"/>
          <w:sz w:val="24"/>
          <w:u w:val="none"/>
          <w:lang w:eastAsia="zh-CN"/>
        </w:rPr>
        <w:t>两</w:t>
      </w:r>
      <w:r>
        <w:rPr>
          <w:rFonts w:hint="eastAsia" w:ascii="仿宋_GB2312" w:eastAsia="仿宋_GB2312"/>
          <w:color w:val="auto"/>
          <w:sz w:val="24"/>
          <w:u w:val="none"/>
        </w:rPr>
        <w:t>份，市商务局一份，引资单位存档一份。</w:t>
      </w:r>
    </w:p>
    <w:p>
      <w:pPr>
        <w:rPr>
          <w:rFonts w:hint="default" w:ascii="黑体" w:eastAsia="黑体"/>
          <w:color w:val="auto"/>
          <w:sz w:val="32"/>
          <w:szCs w:val="32"/>
          <w:u w:val="none"/>
          <w:lang w:val="en-US"/>
        </w:rPr>
      </w:pPr>
      <w:r>
        <w:rPr>
          <w:rFonts w:hint="eastAsia" w:ascii="黑体" w:eastAsia="黑体"/>
          <w:color w:val="auto"/>
          <w:sz w:val="32"/>
          <w:szCs w:val="32"/>
          <w:u w:val="none"/>
          <w:lang w:eastAsia="zh-CN"/>
        </w:rPr>
        <w:t>附件</w:t>
      </w:r>
      <w:r>
        <w:rPr>
          <w:rFonts w:hint="eastAsia" w:ascii="黑体" w:eastAsia="黑体"/>
          <w:color w:val="auto"/>
          <w:sz w:val="32"/>
          <w:szCs w:val="32"/>
          <w:u w:val="none"/>
          <w:lang w:val="en-US" w:eastAsia="zh-CN"/>
        </w:rPr>
        <w:t>2-5-2</w:t>
      </w:r>
    </w:p>
    <w:p>
      <w:pPr>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招商引资项目进展情况表</w:t>
      </w:r>
    </w:p>
    <w:p>
      <w:pPr>
        <w:wordWrap w:val="0"/>
        <w:snapToGrid w:val="0"/>
        <w:ind w:right="600"/>
        <w:rPr>
          <w:rFonts w:hint="eastAsia" w:ascii="仿宋_GB2312" w:hAnsi="方正小标宋简体" w:eastAsia="仿宋_GB2312" w:cs="方正小标宋简体"/>
          <w:color w:val="auto"/>
          <w:sz w:val="24"/>
          <w:u w:val="none"/>
        </w:rPr>
      </w:pPr>
      <w:r>
        <w:rPr>
          <w:rFonts w:hint="eastAsia" w:ascii="仿宋_GB2312" w:hAnsi="方正小标宋简体" w:eastAsia="仿宋_GB2312" w:cs="方正小标宋简体"/>
          <w:color w:val="auto"/>
          <w:sz w:val="24"/>
          <w:u w:val="none"/>
        </w:rPr>
        <w:t>单位名称：                                                                          填报时间：       年   月   日</w:t>
      </w:r>
    </w:p>
    <w:tbl>
      <w:tblPr>
        <w:tblStyle w:val="5"/>
        <w:tblW w:w="148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1793"/>
        <w:gridCol w:w="1006"/>
        <w:gridCol w:w="1375"/>
        <w:gridCol w:w="2888"/>
        <w:gridCol w:w="1337"/>
        <w:gridCol w:w="1344"/>
        <w:gridCol w:w="1881"/>
        <w:gridCol w:w="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2376" w:type="dxa"/>
            <w:vMerge w:val="restart"/>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项目名称</w:t>
            </w:r>
          </w:p>
        </w:tc>
        <w:tc>
          <w:tcPr>
            <w:tcW w:w="11624" w:type="dxa"/>
            <w:gridSpan w:val="7"/>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（工业类）项目进展情况</w:t>
            </w:r>
          </w:p>
        </w:tc>
        <w:tc>
          <w:tcPr>
            <w:tcW w:w="823" w:type="dxa"/>
            <w:vMerge w:val="restart"/>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自评得分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2376" w:type="dxa"/>
            <w:vMerge w:val="continue"/>
            <w:vAlign w:val="center"/>
          </w:tcPr>
          <w:p>
            <w:pPr>
              <w:jc w:val="center"/>
              <w:rPr>
                <w:rFonts w:hint="eastAsia" w:ascii="仿宋_GB2312" w:eastAsia="仿宋_GB2312"/>
                <w:color w:val="auto"/>
                <w:sz w:val="24"/>
                <w:u w:val="none"/>
              </w:rPr>
            </w:pPr>
          </w:p>
        </w:tc>
        <w:tc>
          <w:tcPr>
            <w:tcW w:w="1793" w:type="dxa"/>
            <w:vAlign w:val="center"/>
          </w:tcPr>
          <w:p>
            <w:pPr>
              <w:jc w:val="center"/>
              <w:rPr>
                <w:rFonts w:hint="eastAsia" w:ascii="黑体" w:hAnsi="黑体" w:eastAsia="黑体"/>
                <w:color w:val="auto"/>
                <w:sz w:val="24"/>
                <w:u w:val="none"/>
                <w:lang w:eastAsia="zh-CN"/>
              </w:rPr>
            </w:pPr>
            <w:r>
              <w:rPr>
                <w:rFonts w:hint="eastAsia" w:ascii="黑体" w:hAnsi="黑体" w:eastAsia="黑体"/>
                <w:color w:val="auto"/>
                <w:sz w:val="24"/>
                <w:u w:val="none"/>
                <w:lang w:eastAsia="zh-CN"/>
              </w:rPr>
              <w:t>工商登记注册</w:t>
            </w:r>
          </w:p>
        </w:tc>
        <w:tc>
          <w:tcPr>
            <w:tcW w:w="2381" w:type="dxa"/>
            <w:gridSpan w:val="2"/>
            <w:vAlign w:val="center"/>
          </w:tcPr>
          <w:p>
            <w:pPr>
              <w:jc w:val="center"/>
              <w:rPr>
                <w:rFonts w:hint="eastAsia" w:ascii="黑体" w:hAnsi="黑体" w:eastAsia="黑体"/>
                <w:color w:val="auto"/>
                <w:sz w:val="24"/>
                <w:u w:val="none"/>
                <w:lang w:eastAsia="zh-CN"/>
              </w:rPr>
            </w:pPr>
            <w:r>
              <w:rPr>
                <w:rFonts w:hint="eastAsia" w:ascii="黑体" w:hAnsi="黑体" w:eastAsia="黑体"/>
                <w:color w:val="auto"/>
                <w:sz w:val="24"/>
                <w:u w:val="none"/>
                <w:lang w:eastAsia="zh-CN"/>
              </w:rPr>
              <w:t>签订投资合同协议</w:t>
            </w:r>
          </w:p>
          <w:p>
            <w:pPr>
              <w:jc w:val="center"/>
              <w:rPr>
                <w:rFonts w:hint="eastAsia" w:ascii="黑体" w:hAnsi="黑体" w:eastAsia="黑体"/>
                <w:color w:val="auto"/>
                <w:sz w:val="24"/>
                <w:u w:val="none"/>
              </w:rPr>
            </w:pPr>
            <w:r>
              <w:rPr>
                <w:rFonts w:hint="eastAsia" w:ascii="黑体" w:hAnsi="黑体" w:eastAsia="黑体"/>
                <w:color w:val="auto"/>
                <w:sz w:val="24"/>
                <w:u w:val="none"/>
                <w:lang w:eastAsia="zh-CN"/>
              </w:rPr>
              <w:t>缴纳保证金</w:t>
            </w:r>
            <w:r>
              <w:rPr>
                <w:rFonts w:hint="eastAsia" w:ascii="黑体" w:hAnsi="黑体" w:eastAsia="黑体"/>
                <w:color w:val="auto"/>
                <w:sz w:val="24"/>
                <w:u w:val="none"/>
              </w:rPr>
              <w:t>情况</w:t>
            </w:r>
          </w:p>
        </w:tc>
        <w:tc>
          <w:tcPr>
            <w:tcW w:w="2888" w:type="dxa"/>
            <w:vAlign w:val="center"/>
          </w:tcPr>
          <w:p>
            <w:pPr>
              <w:jc w:val="center"/>
              <w:rPr>
                <w:rFonts w:hint="eastAsia" w:ascii="黑体" w:hAnsi="黑体" w:eastAsia="黑体"/>
                <w:color w:val="auto"/>
                <w:sz w:val="24"/>
                <w:u w:val="none"/>
                <w:lang w:eastAsia="zh-CN"/>
              </w:rPr>
            </w:pPr>
            <w:r>
              <w:rPr>
                <w:rFonts w:hint="eastAsia" w:ascii="黑体" w:hAnsi="黑体" w:eastAsia="黑体"/>
                <w:color w:val="auto"/>
                <w:sz w:val="24"/>
                <w:u w:val="none"/>
                <w:lang w:eastAsia="zh-CN"/>
              </w:rPr>
              <w:t>完成土地出让手续</w:t>
            </w:r>
          </w:p>
          <w:p>
            <w:pPr>
              <w:jc w:val="center"/>
              <w:rPr>
                <w:rFonts w:hint="eastAsia" w:ascii="黑体" w:hAnsi="黑体" w:eastAsia="黑体"/>
                <w:color w:val="auto"/>
                <w:sz w:val="24"/>
                <w:u w:val="none"/>
                <w:lang w:eastAsia="zh-CN"/>
              </w:rPr>
            </w:pPr>
            <w:r>
              <w:rPr>
                <w:rFonts w:hint="eastAsia" w:ascii="黑体" w:hAnsi="黑体" w:eastAsia="黑体"/>
                <w:color w:val="auto"/>
                <w:sz w:val="24"/>
                <w:u w:val="none"/>
                <w:lang w:eastAsia="zh-CN"/>
              </w:rPr>
              <w:t>（或购置租赁厂房）情况</w:t>
            </w:r>
          </w:p>
        </w:tc>
        <w:tc>
          <w:tcPr>
            <w:tcW w:w="2681" w:type="dxa"/>
            <w:gridSpan w:val="2"/>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项目落地开工建设情况</w:t>
            </w:r>
          </w:p>
        </w:tc>
        <w:tc>
          <w:tcPr>
            <w:tcW w:w="1881" w:type="dxa"/>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产生税收情况</w:t>
            </w:r>
          </w:p>
        </w:tc>
        <w:tc>
          <w:tcPr>
            <w:tcW w:w="823" w:type="dxa"/>
            <w:vMerge w:val="continue"/>
            <w:vAlign w:val="center"/>
          </w:tcPr>
          <w:p>
            <w:pPr>
              <w:jc w:val="center"/>
              <w:rPr>
                <w:rFonts w:hint="eastAsia" w:ascii="黑体" w:hAnsi="黑体" w:eastAsia="黑体"/>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6" w:hRule="atLeast"/>
          <w:jc w:val="center"/>
        </w:trPr>
        <w:tc>
          <w:tcPr>
            <w:tcW w:w="2376" w:type="dxa"/>
            <w:vAlign w:val="center"/>
          </w:tcPr>
          <w:p>
            <w:pPr>
              <w:jc w:val="center"/>
              <w:rPr>
                <w:rFonts w:hint="eastAsia" w:ascii="仿宋_GB2312" w:eastAsia="仿宋_GB2312"/>
                <w:color w:val="auto"/>
                <w:sz w:val="24"/>
                <w:u w:val="none"/>
              </w:rPr>
            </w:pPr>
          </w:p>
        </w:tc>
        <w:tc>
          <w:tcPr>
            <w:tcW w:w="1793" w:type="dxa"/>
            <w:vAlign w:val="center"/>
          </w:tcPr>
          <w:p>
            <w:pPr>
              <w:jc w:val="center"/>
              <w:rPr>
                <w:rFonts w:hint="eastAsia" w:ascii="仿宋_GB2312" w:hAnsi="仿宋" w:eastAsia="仿宋_GB2312"/>
                <w:color w:val="auto"/>
                <w:sz w:val="24"/>
                <w:u w:val="none"/>
              </w:rPr>
            </w:pPr>
          </w:p>
        </w:tc>
        <w:tc>
          <w:tcPr>
            <w:tcW w:w="2381" w:type="dxa"/>
            <w:gridSpan w:val="2"/>
            <w:vAlign w:val="center"/>
          </w:tcPr>
          <w:p>
            <w:pPr>
              <w:jc w:val="center"/>
              <w:rPr>
                <w:rFonts w:hint="eastAsia" w:ascii="仿宋_GB2312" w:eastAsia="仿宋_GB2312"/>
                <w:color w:val="auto"/>
                <w:sz w:val="24"/>
                <w:u w:val="none"/>
              </w:rPr>
            </w:pPr>
          </w:p>
        </w:tc>
        <w:tc>
          <w:tcPr>
            <w:tcW w:w="2888" w:type="dxa"/>
            <w:vAlign w:val="center"/>
          </w:tcPr>
          <w:p>
            <w:pPr>
              <w:jc w:val="center"/>
              <w:rPr>
                <w:rFonts w:hint="eastAsia" w:ascii="仿宋_GB2312" w:eastAsia="仿宋_GB2312"/>
                <w:color w:val="auto"/>
                <w:sz w:val="24"/>
                <w:u w:val="none"/>
              </w:rPr>
            </w:pPr>
          </w:p>
        </w:tc>
        <w:tc>
          <w:tcPr>
            <w:tcW w:w="2681" w:type="dxa"/>
            <w:gridSpan w:val="2"/>
            <w:vAlign w:val="center"/>
          </w:tcPr>
          <w:p>
            <w:pPr>
              <w:jc w:val="center"/>
              <w:rPr>
                <w:rFonts w:hint="eastAsia" w:ascii="仿宋_GB2312" w:eastAsia="仿宋_GB2312"/>
                <w:color w:val="auto"/>
                <w:sz w:val="24"/>
                <w:u w:val="none"/>
              </w:rPr>
            </w:pPr>
          </w:p>
        </w:tc>
        <w:tc>
          <w:tcPr>
            <w:tcW w:w="1881" w:type="dxa"/>
            <w:vAlign w:val="center"/>
          </w:tcPr>
          <w:p>
            <w:pPr>
              <w:jc w:val="center"/>
              <w:rPr>
                <w:rFonts w:hint="eastAsia" w:ascii="仿宋_GB2312" w:eastAsia="仿宋_GB2312"/>
                <w:color w:val="auto"/>
                <w:sz w:val="24"/>
                <w:u w:val="none"/>
              </w:rPr>
            </w:pPr>
          </w:p>
        </w:tc>
        <w:tc>
          <w:tcPr>
            <w:tcW w:w="823" w:type="dxa"/>
            <w:vAlign w:val="center"/>
          </w:tcPr>
          <w:p>
            <w:pPr>
              <w:jc w:val="center"/>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376" w:type="dxa"/>
            <w:vMerge w:val="restart"/>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项目名称</w:t>
            </w:r>
          </w:p>
        </w:tc>
        <w:tc>
          <w:tcPr>
            <w:tcW w:w="11624" w:type="dxa"/>
            <w:gridSpan w:val="7"/>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（服务业类）项目进展情况</w:t>
            </w:r>
          </w:p>
        </w:tc>
        <w:tc>
          <w:tcPr>
            <w:tcW w:w="823" w:type="dxa"/>
            <w:vMerge w:val="restart"/>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自评得分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2376" w:type="dxa"/>
            <w:vMerge w:val="continue"/>
            <w:vAlign w:val="center"/>
          </w:tcPr>
          <w:p>
            <w:pPr>
              <w:jc w:val="center"/>
              <w:rPr>
                <w:rFonts w:hint="eastAsia" w:ascii="黑体" w:hAnsi="黑体" w:eastAsia="黑体"/>
                <w:color w:val="auto"/>
                <w:sz w:val="24"/>
                <w:u w:val="none"/>
              </w:rPr>
            </w:pPr>
          </w:p>
        </w:tc>
        <w:tc>
          <w:tcPr>
            <w:tcW w:w="2799" w:type="dxa"/>
            <w:gridSpan w:val="2"/>
            <w:vAlign w:val="center"/>
          </w:tcPr>
          <w:p>
            <w:pPr>
              <w:jc w:val="center"/>
              <w:rPr>
                <w:rFonts w:hint="eastAsia" w:ascii="黑体" w:hAnsi="黑体" w:eastAsia="黑体"/>
                <w:color w:val="auto"/>
                <w:sz w:val="24"/>
                <w:u w:val="none"/>
                <w:lang w:eastAsia="zh-CN"/>
              </w:rPr>
            </w:pPr>
            <w:r>
              <w:rPr>
                <w:rFonts w:hint="eastAsia" w:ascii="黑体" w:hAnsi="黑体" w:eastAsia="黑体"/>
                <w:color w:val="auto"/>
                <w:sz w:val="24"/>
                <w:u w:val="none"/>
                <w:lang w:eastAsia="zh-CN"/>
              </w:rPr>
              <w:t>工商登记注册</w:t>
            </w:r>
          </w:p>
        </w:tc>
        <w:tc>
          <w:tcPr>
            <w:tcW w:w="5600" w:type="dxa"/>
            <w:gridSpan w:val="3"/>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公司营业</w:t>
            </w:r>
            <w:r>
              <w:rPr>
                <w:rFonts w:hint="eastAsia" w:ascii="黑体" w:hAnsi="黑体" w:eastAsia="黑体"/>
                <w:color w:val="auto"/>
                <w:sz w:val="24"/>
                <w:u w:val="none"/>
                <w:lang w:eastAsia="zh-CN"/>
              </w:rPr>
              <w:t>及营收</w:t>
            </w:r>
            <w:r>
              <w:rPr>
                <w:rFonts w:hint="eastAsia" w:ascii="黑体" w:hAnsi="黑体" w:eastAsia="黑体"/>
                <w:color w:val="auto"/>
                <w:sz w:val="24"/>
                <w:u w:val="none"/>
              </w:rPr>
              <w:t>情况</w:t>
            </w:r>
          </w:p>
        </w:tc>
        <w:tc>
          <w:tcPr>
            <w:tcW w:w="3225" w:type="dxa"/>
            <w:gridSpan w:val="2"/>
            <w:vAlign w:val="center"/>
          </w:tcPr>
          <w:p>
            <w:pPr>
              <w:jc w:val="center"/>
              <w:rPr>
                <w:rFonts w:hint="eastAsia" w:ascii="黑体" w:hAnsi="黑体" w:eastAsia="黑体"/>
                <w:color w:val="auto"/>
                <w:sz w:val="24"/>
                <w:u w:val="none"/>
              </w:rPr>
            </w:pPr>
            <w:r>
              <w:rPr>
                <w:rFonts w:hint="eastAsia" w:ascii="黑体" w:hAnsi="黑体" w:eastAsia="黑体"/>
                <w:color w:val="auto"/>
                <w:sz w:val="24"/>
                <w:u w:val="none"/>
              </w:rPr>
              <w:t>产生税收情况</w:t>
            </w:r>
          </w:p>
        </w:tc>
        <w:tc>
          <w:tcPr>
            <w:tcW w:w="823" w:type="dxa"/>
            <w:vMerge w:val="continue"/>
            <w:vAlign w:val="center"/>
          </w:tcPr>
          <w:p>
            <w:pPr>
              <w:jc w:val="center"/>
              <w:rPr>
                <w:rFonts w:hint="eastAsia" w:ascii="仿宋_GB2312" w:eastAsia="仿宋_GB2312"/>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jc w:val="center"/>
        </w:trPr>
        <w:tc>
          <w:tcPr>
            <w:tcW w:w="2376" w:type="dxa"/>
            <w:vAlign w:val="center"/>
          </w:tcPr>
          <w:p>
            <w:pPr>
              <w:jc w:val="center"/>
              <w:rPr>
                <w:rFonts w:hint="eastAsia" w:ascii="仿宋_GB2312" w:eastAsia="仿宋_GB2312"/>
                <w:color w:val="auto"/>
                <w:sz w:val="24"/>
                <w:u w:val="none"/>
              </w:rPr>
            </w:pPr>
          </w:p>
        </w:tc>
        <w:tc>
          <w:tcPr>
            <w:tcW w:w="2799" w:type="dxa"/>
            <w:gridSpan w:val="2"/>
            <w:vAlign w:val="center"/>
          </w:tcPr>
          <w:p>
            <w:pPr>
              <w:jc w:val="center"/>
              <w:rPr>
                <w:rFonts w:hint="eastAsia" w:ascii="仿宋_GB2312" w:eastAsia="仿宋_GB2312"/>
                <w:color w:val="auto"/>
                <w:sz w:val="24"/>
                <w:u w:val="none"/>
              </w:rPr>
            </w:pPr>
          </w:p>
        </w:tc>
        <w:tc>
          <w:tcPr>
            <w:tcW w:w="5600" w:type="dxa"/>
            <w:gridSpan w:val="3"/>
            <w:vAlign w:val="center"/>
          </w:tcPr>
          <w:p>
            <w:pPr>
              <w:jc w:val="center"/>
              <w:rPr>
                <w:rFonts w:hint="eastAsia" w:ascii="仿宋_GB2312" w:eastAsia="仿宋_GB2312"/>
                <w:color w:val="auto"/>
                <w:sz w:val="24"/>
                <w:u w:val="none"/>
              </w:rPr>
            </w:pPr>
          </w:p>
        </w:tc>
        <w:tc>
          <w:tcPr>
            <w:tcW w:w="3225" w:type="dxa"/>
            <w:gridSpan w:val="2"/>
            <w:vAlign w:val="center"/>
          </w:tcPr>
          <w:p>
            <w:pPr>
              <w:jc w:val="center"/>
              <w:rPr>
                <w:rFonts w:hint="eastAsia" w:ascii="仿宋_GB2312" w:eastAsia="仿宋_GB2312"/>
                <w:color w:val="auto"/>
                <w:sz w:val="24"/>
                <w:u w:val="none"/>
              </w:rPr>
            </w:pPr>
          </w:p>
        </w:tc>
        <w:tc>
          <w:tcPr>
            <w:tcW w:w="823" w:type="dxa"/>
            <w:vAlign w:val="center"/>
          </w:tcPr>
          <w:p>
            <w:pPr>
              <w:jc w:val="center"/>
              <w:rPr>
                <w:rFonts w:hint="eastAsia" w:ascii="仿宋_GB2312" w:eastAsia="仿宋_GB2312"/>
                <w:color w:val="auto"/>
                <w:sz w:val="24"/>
                <w:u w:val="none"/>
              </w:rPr>
            </w:pPr>
          </w:p>
        </w:tc>
      </w:tr>
    </w:tbl>
    <w:p>
      <w:pPr>
        <w:rPr>
          <w:rFonts w:hint="eastAsia" w:ascii="仿宋_GB2312" w:hAnsi="仿宋_GB2312" w:eastAsia="仿宋_GB2312" w:cs="仿宋_GB2312"/>
          <w:color w:val="auto"/>
          <w:sz w:val="32"/>
          <w:szCs w:val="32"/>
          <w:u w:val="none"/>
        </w:rPr>
        <w:sectPr>
          <w:pgSz w:w="16838" w:h="11906" w:orient="landscape"/>
          <w:pgMar w:top="1417" w:right="1134" w:bottom="1417" w:left="1134" w:header="851" w:footer="1020" w:gutter="0"/>
          <w:pgNumType w:fmt="decimal"/>
          <w:cols w:space="720" w:num="1"/>
          <w:docGrid w:type="linesAndChars" w:linePitch="453" w:charSpace="-1443"/>
        </w:sectPr>
      </w:pPr>
      <w:r>
        <w:rPr>
          <w:rFonts w:hint="eastAsia" w:ascii="仿宋_GB2312" w:hAnsi="方正小标宋简体" w:eastAsia="仿宋_GB2312" w:cs="方正小标宋简体"/>
          <w:color w:val="auto"/>
          <w:sz w:val="24"/>
          <w:u w:val="none"/>
        </w:rPr>
        <w:t>注：请各单位认真填写项目各</w:t>
      </w:r>
      <w:r>
        <w:rPr>
          <w:rFonts w:hint="eastAsia" w:ascii="仿宋_GB2312" w:hAnsi="方正小标宋简体" w:eastAsia="仿宋_GB2312" w:cs="方正小标宋简体"/>
          <w:color w:val="auto"/>
          <w:sz w:val="24"/>
          <w:u w:val="none"/>
          <w:lang w:eastAsia="zh-CN"/>
        </w:rPr>
        <w:t>阶段</w:t>
      </w:r>
      <w:r>
        <w:rPr>
          <w:rFonts w:hint="eastAsia" w:ascii="仿宋_GB2312" w:hAnsi="方正小标宋简体" w:eastAsia="仿宋_GB2312" w:cs="方正小标宋简体"/>
          <w:color w:val="auto"/>
          <w:sz w:val="24"/>
          <w:u w:val="none"/>
        </w:rPr>
        <w:t>详细进展情况（可另附页说明），并出具相关证明材料报送至市商务局。</w:t>
      </w:r>
    </w:p>
    <w:p>
      <w:pPr>
        <w:widowControl w:val="0"/>
        <w:wordWrap/>
        <w:adjustRightInd/>
        <w:snapToGrid/>
        <w:spacing w:before="0" w:after="0" w:line="540" w:lineRule="exact"/>
        <w:ind w:left="0" w:leftChars="0"/>
        <w:jc w:val="left"/>
        <w:textAlignment w:val="auto"/>
        <w:rPr>
          <w:rFonts w:hint="default" w:ascii="方正小标宋简体" w:hAnsi="黑体" w:eastAsia="方正小标宋简体"/>
          <w:color w:val="auto"/>
          <w:sz w:val="44"/>
          <w:szCs w:val="44"/>
          <w:u w:val="none"/>
          <w:lang w:val="en-US"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2-6</w:t>
      </w:r>
    </w:p>
    <w:p>
      <w:pPr>
        <w:widowControl w:val="0"/>
        <w:wordWrap/>
        <w:adjustRightInd/>
        <w:snapToGrid/>
        <w:spacing w:before="0" w:after="0" w:line="540" w:lineRule="exact"/>
        <w:ind w:left="0" w:leftChars="0"/>
        <w:jc w:val="center"/>
        <w:textAlignment w:val="auto"/>
        <w:rPr>
          <w:rFonts w:hint="eastAsia" w:ascii="方正小标宋简体" w:hAnsi="黑体" w:eastAsia="方正小标宋简体"/>
          <w:color w:val="auto"/>
          <w:sz w:val="44"/>
          <w:szCs w:val="44"/>
          <w:u w:val="none"/>
          <w:lang w:eastAsia="zh-CN"/>
        </w:rPr>
      </w:pPr>
    </w:p>
    <w:p>
      <w:pPr>
        <w:widowControl w:val="0"/>
        <w:wordWrap/>
        <w:adjustRightInd/>
        <w:snapToGrid/>
        <w:spacing w:before="0" w:after="0" w:line="540" w:lineRule="exact"/>
        <w:ind w:left="0" w:leftChars="0"/>
        <w:jc w:val="center"/>
        <w:textAlignment w:val="auto"/>
        <w:rPr>
          <w:rFonts w:hint="eastAsia" w:ascii="方正小标宋简体" w:hAnsi="黑体" w:eastAsia="方正小标宋简体"/>
          <w:color w:val="auto"/>
          <w:sz w:val="44"/>
          <w:szCs w:val="44"/>
          <w:u w:val="none"/>
        </w:rPr>
      </w:pPr>
      <w:r>
        <w:rPr>
          <w:rFonts w:hint="eastAsia" w:ascii="方正小标宋简体" w:hAnsi="黑体" w:eastAsia="方正小标宋简体"/>
          <w:color w:val="auto"/>
          <w:sz w:val="44"/>
          <w:szCs w:val="44"/>
          <w:u w:val="none"/>
          <w:lang w:eastAsia="zh-CN"/>
        </w:rPr>
        <w:t>项目审批服务和提升服务质量、服务对象评议考评细化方案</w:t>
      </w:r>
    </w:p>
    <w:p>
      <w:pPr>
        <w:widowControl w:val="0"/>
        <w:wordWrap/>
        <w:adjustRightInd/>
        <w:snapToGrid/>
        <w:spacing w:before="0" w:after="0" w:line="540" w:lineRule="exact"/>
        <w:ind w:left="0" w:leftChars="0" w:right="0"/>
        <w:jc w:val="center"/>
        <w:textAlignment w:val="auto"/>
        <w:outlineLvl w:val="9"/>
        <w:rPr>
          <w:rFonts w:hint="eastAsia" w:ascii="楷体" w:hAnsi="楷体" w:eastAsia="楷体" w:cs="楷体"/>
          <w:color w:val="auto"/>
          <w:sz w:val="32"/>
          <w:szCs w:val="32"/>
          <w:u w:val="none"/>
          <w:lang w:eastAsia="zh-CN"/>
        </w:rPr>
      </w:pPr>
      <w:r>
        <w:rPr>
          <w:rFonts w:hint="eastAsia" w:ascii="楷体" w:hAnsi="楷体" w:eastAsia="楷体" w:cs="楷体"/>
          <w:color w:val="auto"/>
          <w:sz w:val="32"/>
          <w:szCs w:val="32"/>
          <w:u w:val="none"/>
          <w:lang w:eastAsia="zh-CN"/>
        </w:rPr>
        <w:t>（考评牵头单位：市行政服务中心管委会）</w:t>
      </w:r>
    </w:p>
    <w:p>
      <w:pPr>
        <w:widowControl w:val="0"/>
        <w:wordWrap/>
        <w:adjustRightInd/>
        <w:snapToGrid/>
        <w:spacing w:before="0" w:after="0" w:line="540" w:lineRule="exact"/>
        <w:ind w:left="0" w:leftChars="0" w:firstLine="640" w:firstLineChars="200"/>
        <w:textAlignment w:val="auto"/>
        <w:rPr>
          <w:rFonts w:hint="eastAsia" w:ascii="仿宋_GB2312" w:hAnsi="黑体" w:eastAsia="仿宋_GB2312"/>
          <w:color w:val="auto"/>
          <w:sz w:val="32"/>
          <w:szCs w:val="32"/>
          <w:u w:val="none"/>
        </w:rPr>
      </w:pPr>
    </w:p>
    <w:p>
      <w:pPr>
        <w:widowControl w:val="0"/>
        <w:wordWrap/>
        <w:adjustRightInd/>
        <w:snapToGrid/>
        <w:spacing w:before="0" w:after="0" w:line="540" w:lineRule="exact"/>
        <w:ind w:left="0" w:leftChars="0" w:firstLine="640" w:firstLineChars="200"/>
        <w:textAlignment w:val="auto"/>
        <w:outlineLvl w:val="0"/>
        <w:rPr>
          <w:rFonts w:hint="eastAsia" w:ascii="黑体" w:hAnsi="黑体" w:eastAsia="黑体"/>
          <w:color w:val="auto"/>
          <w:sz w:val="32"/>
          <w:szCs w:val="32"/>
          <w:u w:val="none"/>
          <w:lang w:eastAsia="zh-CN"/>
        </w:rPr>
      </w:pPr>
      <w:r>
        <w:rPr>
          <w:rFonts w:hint="eastAsia" w:ascii="黑体" w:hAnsi="黑体" w:eastAsia="黑体"/>
          <w:color w:val="auto"/>
          <w:sz w:val="32"/>
          <w:szCs w:val="32"/>
          <w:u w:val="none"/>
          <w:lang w:eastAsia="zh-CN"/>
        </w:rPr>
        <w:t>一、项目审批服务和提升服务质量的考评</w:t>
      </w:r>
    </w:p>
    <w:p>
      <w:pPr>
        <w:widowControl w:val="0"/>
        <w:wordWrap/>
        <w:adjustRightInd/>
        <w:snapToGrid/>
        <w:spacing w:before="0" w:after="0" w:line="540" w:lineRule="exact"/>
        <w:ind w:left="0" w:leftChars="0" w:firstLine="640" w:firstLineChars="200"/>
        <w:textAlignment w:val="auto"/>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对行政服务单位（窗口）进行考核，</w:t>
      </w:r>
      <w:r>
        <w:rPr>
          <w:rFonts w:hint="eastAsia" w:ascii="仿宋_GB2312" w:hAnsi="黑体" w:eastAsia="仿宋_GB2312"/>
          <w:b w:val="0"/>
          <w:bCs w:val="0"/>
          <w:color w:val="auto"/>
          <w:sz w:val="32"/>
          <w:szCs w:val="32"/>
          <w:u w:val="none"/>
        </w:rPr>
        <w:t>实行百分制，每月</w:t>
      </w:r>
      <w:r>
        <w:rPr>
          <w:rFonts w:hint="eastAsia" w:ascii="仿宋_GB2312" w:hAnsi="黑体" w:eastAsia="仿宋_GB2312"/>
          <w:color w:val="auto"/>
          <w:sz w:val="32"/>
          <w:szCs w:val="32"/>
          <w:u w:val="none"/>
        </w:rPr>
        <w:t>考核一次。考核由“互联网+政务服务”、行为规范、</w:t>
      </w:r>
      <w:r>
        <w:rPr>
          <w:rFonts w:hint="eastAsia" w:ascii="仿宋_GB2312" w:hAnsi="楷体" w:eastAsia="仿宋_GB2312"/>
          <w:color w:val="auto"/>
          <w:sz w:val="32"/>
          <w:szCs w:val="32"/>
          <w:u w:val="none"/>
        </w:rPr>
        <w:t>行政服务标准化和审批服务便民化</w:t>
      </w:r>
      <w:r>
        <w:rPr>
          <w:rFonts w:hint="eastAsia" w:ascii="仿宋_GB2312" w:hAnsi="黑体" w:eastAsia="仿宋_GB2312"/>
          <w:color w:val="auto"/>
          <w:sz w:val="32"/>
          <w:szCs w:val="32"/>
          <w:u w:val="none"/>
        </w:rPr>
        <w:t>、社会评价和投诉信访、党建精神文明平安建设、</w:t>
      </w:r>
      <w:r>
        <w:rPr>
          <w:rFonts w:hint="eastAsia" w:ascii="仿宋_GB2312" w:hAnsi="楷体" w:eastAsia="仿宋_GB2312"/>
          <w:color w:val="auto"/>
          <w:sz w:val="32"/>
          <w:szCs w:val="32"/>
          <w:u w:val="none"/>
        </w:rPr>
        <w:t>推行“五办工作法”工作情况</w:t>
      </w:r>
      <w:r>
        <w:rPr>
          <w:rFonts w:hint="eastAsia" w:ascii="仿宋_GB2312" w:hAnsi="黑体" w:eastAsia="仿宋_GB2312"/>
          <w:color w:val="auto"/>
          <w:sz w:val="32"/>
          <w:szCs w:val="32"/>
          <w:u w:val="none"/>
        </w:rPr>
        <w:t>以及信息宣传等方面构成，按加减分标准，分别由职能科室组织实施。</w:t>
      </w:r>
    </w:p>
    <w:p>
      <w:pPr>
        <w:widowControl w:val="0"/>
        <w:wordWrap/>
        <w:adjustRightInd/>
        <w:snapToGrid/>
        <w:spacing w:before="0" w:after="0" w:line="540" w:lineRule="exact"/>
        <w:ind w:left="0" w:leftChars="0" w:firstLine="640" w:firstLineChars="200"/>
        <w:textAlignment w:val="auto"/>
        <w:outlineLvl w:val="0"/>
        <w:rPr>
          <w:rFonts w:hint="eastAsia" w:ascii="楷体_GB2312" w:hAnsi="黑体" w:eastAsia="楷体_GB2312"/>
          <w:b w:val="0"/>
          <w:bCs/>
          <w:color w:val="auto"/>
          <w:sz w:val="32"/>
          <w:szCs w:val="32"/>
          <w:u w:val="none"/>
        </w:rPr>
      </w:pPr>
      <w:r>
        <w:rPr>
          <w:rFonts w:hint="eastAsia" w:ascii="楷体_GB2312" w:hAnsi="楷体" w:eastAsia="楷体_GB2312"/>
          <w:b w:val="0"/>
          <w:bCs/>
          <w:color w:val="auto"/>
          <w:sz w:val="32"/>
          <w:szCs w:val="32"/>
          <w:u w:val="none"/>
        </w:rPr>
        <w:t>（一）</w:t>
      </w:r>
      <w:r>
        <w:rPr>
          <w:rFonts w:hint="eastAsia" w:ascii="楷体_GB2312" w:hAnsi="黑体" w:eastAsia="楷体_GB2312"/>
          <w:b w:val="0"/>
          <w:bCs/>
          <w:color w:val="auto"/>
          <w:sz w:val="32"/>
          <w:szCs w:val="32"/>
          <w:u w:val="none"/>
        </w:rPr>
        <w:t>“互联网+政务服务”（60分）</w:t>
      </w:r>
    </w:p>
    <w:p>
      <w:pPr>
        <w:widowControl w:val="0"/>
        <w:wordWrap/>
        <w:adjustRightInd/>
        <w:snapToGrid/>
        <w:spacing w:before="0" w:after="0" w:line="540" w:lineRule="exact"/>
        <w:ind w:left="0" w:leftChars="0" w:firstLine="640" w:firstLineChars="200"/>
        <w:textAlignment w:val="auto"/>
        <w:rPr>
          <w:rFonts w:hint="eastAsia" w:ascii="仿宋_GB2312" w:hAnsi="黑体" w:eastAsia="仿宋_GB2312"/>
          <w:color w:val="auto"/>
          <w:sz w:val="32"/>
          <w:szCs w:val="32"/>
          <w:u w:val="none"/>
        </w:rPr>
      </w:pPr>
      <w:r>
        <w:rPr>
          <w:rFonts w:hint="eastAsia" w:ascii="仿宋_GB2312" w:hAnsi="黑体" w:eastAsia="仿宋_GB2312"/>
          <w:color w:val="auto"/>
          <w:sz w:val="32"/>
          <w:szCs w:val="32"/>
          <w:u w:val="none"/>
        </w:rPr>
        <w:t>考核包括福建省网上办事大厅应用、电子证照生成和应用、网办事项更新维护、全流程网办、闽政通</w:t>
      </w:r>
      <w:r>
        <w:rPr>
          <w:rFonts w:ascii="仿宋_GB2312" w:hAnsi="黑体" w:eastAsia="仿宋_GB2312"/>
          <w:color w:val="auto"/>
          <w:sz w:val="32"/>
          <w:szCs w:val="32"/>
          <w:u w:val="none"/>
        </w:rPr>
        <w:t>APP</w:t>
      </w:r>
      <w:r>
        <w:rPr>
          <w:rFonts w:hint="eastAsia" w:ascii="仿宋_GB2312" w:hAnsi="黑体" w:eastAsia="仿宋_GB2312"/>
          <w:color w:val="auto"/>
          <w:sz w:val="32"/>
          <w:szCs w:val="32"/>
          <w:u w:val="none"/>
        </w:rPr>
        <w:t>及e三明</w:t>
      </w:r>
      <w:r>
        <w:rPr>
          <w:rFonts w:ascii="仿宋_GB2312" w:hAnsi="黑体" w:eastAsia="仿宋_GB2312"/>
          <w:color w:val="auto"/>
          <w:sz w:val="32"/>
          <w:szCs w:val="32"/>
          <w:u w:val="none"/>
        </w:rPr>
        <w:t>APP</w:t>
      </w:r>
      <w:r>
        <w:rPr>
          <w:rFonts w:hint="eastAsia" w:ascii="仿宋_GB2312" w:hAnsi="黑体" w:eastAsia="仿宋_GB2312"/>
          <w:color w:val="auto"/>
          <w:sz w:val="32"/>
          <w:szCs w:val="32"/>
          <w:u w:val="none"/>
        </w:rPr>
        <w:t>资源对接等部分。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1</w:t>
      </w:r>
      <w:r>
        <w:rPr>
          <w:rFonts w:ascii="仿宋_GB2312" w:eastAsia="仿宋_GB2312"/>
          <w:b w:val="0"/>
          <w:bCs w:val="0"/>
          <w:color w:val="auto"/>
          <w:sz w:val="32"/>
          <w:szCs w:val="32"/>
          <w:u w:val="none"/>
        </w:rPr>
        <w:t>.</w:t>
      </w:r>
      <w:r>
        <w:rPr>
          <w:rFonts w:hint="eastAsia" w:ascii="仿宋_GB2312" w:eastAsia="仿宋_GB2312"/>
          <w:b w:val="0"/>
          <w:bCs w:val="0"/>
          <w:color w:val="auto"/>
          <w:sz w:val="32"/>
          <w:szCs w:val="32"/>
          <w:u w:val="none"/>
        </w:rPr>
        <w:t>网厅办件（15分）。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按省上要求，事项必须纳入省网上办事大厅统一管理，业务办理可以采用数据联网或二次录入方式。部门单位在网上办事大厅办件（不含自建系统办件）达到去年月平均办件量10</w:t>
      </w:r>
      <w:r>
        <w:rPr>
          <w:rFonts w:ascii="仿宋_GB2312" w:eastAsia="仿宋_GB2312"/>
          <w:b w:val="0"/>
          <w:bCs w:val="0"/>
          <w:color w:val="auto"/>
          <w:sz w:val="32"/>
          <w:szCs w:val="32"/>
          <w:u w:val="none"/>
        </w:rPr>
        <w:t>0%</w:t>
      </w:r>
      <w:r>
        <w:rPr>
          <w:rFonts w:hint="eastAsia" w:ascii="仿宋_GB2312" w:eastAsia="仿宋_GB2312"/>
          <w:b w:val="0"/>
          <w:bCs w:val="0"/>
          <w:color w:val="auto"/>
          <w:sz w:val="32"/>
          <w:szCs w:val="32"/>
          <w:u w:val="none"/>
        </w:rPr>
        <w:t>以上得13分，</w:t>
      </w:r>
      <w:r>
        <w:rPr>
          <w:rFonts w:ascii="仿宋_GB2312" w:eastAsia="仿宋_GB2312"/>
          <w:b w:val="0"/>
          <w:bCs w:val="0"/>
          <w:color w:val="auto"/>
          <w:sz w:val="32"/>
          <w:szCs w:val="32"/>
          <w:u w:val="none"/>
        </w:rPr>
        <w:t>80%</w:t>
      </w:r>
      <w:r>
        <w:rPr>
          <w:rFonts w:hint="eastAsia" w:ascii="仿宋_GB2312" w:eastAsia="仿宋_GB2312"/>
          <w:b w:val="0"/>
          <w:bCs w:val="0"/>
          <w:color w:val="auto"/>
          <w:sz w:val="32"/>
          <w:szCs w:val="32"/>
          <w:u w:val="none"/>
        </w:rPr>
        <w:t>以上得12分，</w:t>
      </w:r>
      <w:r>
        <w:rPr>
          <w:rFonts w:ascii="仿宋_GB2312" w:eastAsia="仿宋_GB2312"/>
          <w:b w:val="0"/>
          <w:bCs w:val="0"/>
          <w:color w:val="auto"/>
          <w:sz w:val="32"/>
          <w:szCs w:val="32"/>
          <w:u w:val="none"/>
        </w:rPr>
        <w:t>50%</w:t>
      </w:r>
      <w:r>
        <w:rPr>
          <w:rFonts w:hint="eastAsia" w:ascii="仿宋_GB2312" w:eastAsia="仿宋_GB2312"/>
          <w:b w:val="0"/>
          <w:bCs w:val="0"/>
          <w:color w:val="auto"/>
          <w:sz w:val="32"/>
          <w:szCs w:val="32"/>
          <w:u w:val="none"/>
        </w:rPr>
        <w:t>至</w:t>
      </w:r>
      <w:r>
        <w:rPr>
          <w:rFonts w:ascii="仿宋_GB2312" w:eastAsia="仿宋_GB2312"/>
          <w:b w:val="0"/>
          <w:bCs w:val="0"/>
          <w:color w:val="auto"/>
          <w:sz w:val="32"/>
          <w:szCs w:val="32"/>
          <w:u w:val="none"/>
        </w:rPr>
        <w:t>80%</w:t>
      </w:r>
      <w:r>
        <w:rPr>
          <w:rFonts w:hint="eastAsia" w:ascii="仿宋_GB2312" w:eastAsia="仿宋_GB2312"/>
          <w:b w:val="0"/>
          <w:bCs w:val="0"/>
          <w:color w:val="auto"/>
          <w:sz w:val="32"/>
          <w:szCs w:val="32"/>
          <w:u w:val="none"/>
        </w:rPr>
        <w:t>得10分，低于</w:t>
      </w:r>
      <w:r>
        <w:rPr>
          <w:rFonts w:ascii="仿宋_GB2312" w:eastAsia="仿宋_GB2312"/>
          <w:b w:val="0"/>
          <w:bCs w:val="0"/>
          <w:color w:val="auto"/>
          <w:sz w:val="32"/>
          <w:szCs w:val="32"/>
          <w:u w:val="none"/>
        </w:rPr>
        <w:t>50%</w:t>
      </w:r>
      <w:r>
        <w:rPr>
          <w:rFonts w:hint="eastAsia" w:ascii="仿宋_GB2312" w:eastAsia="仿宋_GB2312"/>
          <w:b w:val="0"/>
          <w:bCs w:val="0"/>
          <w:color w:val="auto"/>
          <w:sz w:val="32"/>
          <w:szCs w:val="32"/>
          <w:u w:val="none"/>
        </w:rPr>
        <w:t>得8分；同时，按网办办件量从高到低排序</w:t>
      </w:r>
      <w:r>
        <w:rPr>
          <w:rFonts w:ascii="仿宋_GB2312" w:eastAsia="仿宋_GB2312"/>
          <w:b w:val="0"/>
          <w:bCs w:val="0"/>
          <w:color w:val="auto"/>
          <w:sz w:val="32"/>
          <w:szCs w:val="32"/>
          <w:u w:val="none"/>
        </w:rPr>
        <w:t>(</w:t>
      </w:r>
      <w:r>
        <w:rPr>
          <w:rFonts w:hint="eastAsia" w:ascii="仿宋_GB2312" w:eastAsia="仿宋_GB2312"/>
          <w:b w:val="0"/>
          <w:bCs w:val="0"/>
          <w:color w:val="auto"/>
          <w:sz w:val="32"/>
          <w:szCs w:val="32"/>
          <w:u w:val="none"/>
        </w:rPr>
        <w:t>自建系统需二次录入网上办事大厅</w:t>
      </w:r>
      <w:r>
        <w:rPr>
          <w:rFonts w:ascii="仿宋_GB2312" w:eastAsia="仿宋_GB2312"/>
          <w:b w:val="0"/>
          <w:bCs w:val="0"/>
          <w:color w:val="auto"/>
          <w:sz w:val="32"/>
          <w:szCs w:val="32"/>
          <w:u w:val="none"/>
        </w:rPr>
        <w:t>)</w:t>
      </w:r>
      <w:r>
        <w:rPr>
          <w:rFonts w:hint="eastAsia" w:ascii="仿宋_GB2312" w:eastAsia="仿宋_GB2312"/>
          <w:b w:val="0"/>
          <w:bCs w:val="0"/>
          <w:color w:val="auto"/>
          <w:sz w:val="32"/>
          <w:szCs w:val="32"/>
          <w:u w:val="none"/>
        </w:rPr>
        <w:t>，最高得分2分，低</w:t>
      </w:r>
      <w:r>
        <w:rPr>
          <w:rFonts w:ascii="仿宋_GB2312" w:eastAsia="仿宋_GB2312"/>
          <w:b w:val="0"/>
          <w:bCs w:val="0"/>
          <w:color w:val="auto"/>
          <w:sz w:val="32"/>
          <w:szCs w:val="32"/>
          <w:u w:val="none"/>
        </w:rPr>
        <w:t>1</w:t>
      </w:r>
      <w:r>
        <w:rPr>
          <w:rFonts w:hint="eastAsia" w:ascii="仿宋_GB2312" w:eastAsia="仿宋_GB2312"/>
          <w:b w:val="0"/>
          <w:bCs w:val="0"/>
          <w:color w:val="auto"/>
          <w:sz w:val="32"/>
          <w:szCs w:val="32"/>
          <w:u w:val="none"/>
        </w:rPr>
        <w:t>位减</w:t>
      </w:r>
      <w:r>
        <w:rPr>
          <w:rFonts w:ascii="仿宋_GB2312" w:eastAsia="仿宋_GB2312"/>
          <w:b w:val="0"/>
          <w:bCs w:val="0"/>
          <w:color w:val="auto"/>
          <w:sz w:val="32"/>
          <w:szCs w:val="32"/>
          <w:u w:val="none"/>
        </w:rPr>
        <w:t>0</w:t>
      </w:r>
      <w:r>
        <w:rPr>
          <w:rFonts w:hint="eastAsia" w:ascii="仿宋_GB2312" w:eastAsia="仿宋_GB2312"/>
          <w:b w:val="0"/>
          <w:bCs w:val="0"/>
          <w:color w:val="auto"/>
          <w:sz w:val="32"/>
          <w:szCs w:val="32"/>
          <w:u w:val="none"/>
        </w:rPr>
        <w:t>.1分（排名相同得分相同，后续排名按序列计算），除办件频率极低的事项外，办件不录入网厅，网厅办件量为零的单位的部门倒扣5分。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2</w:t>
      </w:r>
      <w:r>
        <w:rPr>
          <w:rFonts w:ascii="仿宋_GB2312" w:eastAsia="仿宋_GB2312"/>
          <w:b w:val="0"/>
          <w:bCs w:val="0"/>
          <w:color w:val="auto"/>
          <w:sz w:val="32"/>
          <w:szCs w:val="32"/>
          <w:u w:val="none"/>
        </w:rPr>
        <w:t>.</w:t>
      </w:r>
      <w:r>
        <w:rPr>
          <w:rFonts w:hint="eastAsia" w:ascii="仿宋_GB2312" w:eastAsia="仿宋_GB2312"/>
          <w:b w:val="0"/>
          <w:bCs w:val="0"/>
          <w:color w:val="auto"/>
          <w:sz w:val="32"/>
          <w:szCs w:val="32"/>
          <w:u w:val="none"/>
        </w:rPr>
        <w:t>全程网办事项（10分）。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部门单位事项入驻“</w:t>
      </w:r>
      <w:r>
        <w:rPr>
          <w:rFonts w:ascii="仿宋_GB2312" w:eastAsia="仿宋_GB2312"/>
          <w:b w:val="0"/>
          <w:bCs w:val="0"/>
          <w:color w:val="auto"/>
          <w:sz w:val="32"/>
          <w:szCs w:val="32"/>
          <w:u w:val="none"/>
        </w:rPr>
        <w:t>e</w:t>
      </w:r>
      <w:r>
        <w:rPr>
          <w:rFonts w:hint="eastAsia" w:ascii="仿宋_GB2312" w:eastAsia="仿宋_GB2312"/>
          <w:b w:val="0"/>
          <w:bCs w:val="0"/>
          <w:color w:val="auto"/>
          <w:sz w:val="32"/>
          <w:szCs w:val="32"/>
          <w:u w:val="none"/>
        </w:rPr>
        <w:t>三明”网上办事平台及“</w:t>
      </w:r>
      <w:r>
        <w:rPr>
          <w:rFonts w:ascii="仿宋_GB2312" w:eastAsia="仿宋_GB2312"/>
          <w:b w:val="0"/>
          <w:bCs w:val="0"/>
          <w:color w:val="auto"/>
          <w:sz w:val="32"/>
          <w:szCs w:val="32"/>
          <w:u w:val="none"/>
        </w:rPr>
        <w:t>E</w:t>
      </w:r>
      <w:r>
        <w:rPr>
          <w:rFonts w:hint="eastAsia" w:ascii="仿宋_GB2312" w:eastAsia="仿宋_GB2312"/>
          <w:b w:val="0"/>
          <w:bCs w:val="0"/>
          <w:color w:val="auto"/>
          <w:sz w:val="32"/>
          <w:szCs w:val="32"/>
          <w:u w:val="none"/>
        </w:rPr>
        <w:t>政务”自助服务机，或通过接口在“</w:t>
      </w:r>
      <w:r>
        <w:rPr>
          <w:rFonts w:ascii="仿宋_GB2312" w:eastAsia="仿宋_GB2312"/>
          <w:b w:val="0"/>
          <w:bCs w:val="0"/>
          <w:color w:val="auto"/>
          <w:sz w:val="32"/>
          <w:szCs w:val="32"/>
          <w:u w:val="none"/>
        </w:rPr>
        <w:t>e</w:t>
      </w:r>
      <w:r>
        <w:rPr>
          <w:rFonts w:hint="eastAsia" w:ascii="仿宋_GB2312" w:eastAsia="仿宋_GB2312"/>
          <w:b w:val="0"/>
          <w:bCs w:val="0"/>
          <w:color w:val="auto"/>
          <w:sz w:val="32"/>
          <w:szCs w:val="32"/>
          <w:u w:val="none"/>
        </w:rPr>
        <w:t>三明”实现全程网办的，每个服务事项得</w:t>
      </w:r>
      <w:r>
        <w:rPr>
          <w:rFonts w:ascii="仿宋_GB2312" w:eastAsia="仿宋_GB2312"/>
          <w:b w:val="0"/>
          <w:bCs w:val="0"/>
          <w:color w:val="auto"/>
          <w:sz w:val="32"/>
          <w:szCs w:val="32"/>
          <w:u w:val="none"/>
        </w:rPr>
        <w:t>0.5</w:t>
      </w:r>
      <w:r>
        <w:rPr>
          <w:rFonts w:hint="eastAsia" w:ascii="仿宋_GB2312" w:eastAsia="仿宋_GB2312"/>
          <w:b w:val="0"/>
          <w:bCs w:val="0"/>
          <w:color w:val="auto"/>
          <w:sz w:val="32"/>
          <w:szCs w:val="32"/>
          <w:u w:val="none"/>
        </w:rPr>
        <w:t>分，最高得5分。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全程网办数量。部门单位在“</w:t>
      </w:r>
      <w:r>
        <w:rPr>
          <w:rFonts w:ascii="仿宋_GB2312" w:eastAsia="仿宋_GB2312"/>
          <w:b w:val="0"/>
          <w:bCs w:val="0"/>
          <w:color w:val="auto"/>
          <w:sz w:val="32"/>
          <w:szCs w:val="32"/>
          <w:u w:val="none"/>
        </w:rPr>
        <w:t>e</w:t>
      </w:r>
      <w:r>
        <w:rPr>
          <w:rFonts w:hint="eastAsia" w:ascii="仿宋_GB2312" w:eastAsia="仿宋_GB2312"/>
          <w:b w:val="0"/>
          <w:bCs w:val="0"/>
          <w:color w:val="auto"/>
          <w:sz w:val="32"/>
          <w:szCs w:val="32"/>
          <w:u w:val="none"/>
        </w:rPr>
        <w:t>三明”或网上办事大厅（不含自建系统）上开展全程网办，月办理网上申报件数量3</w:t>
      </w:r>
      <w:r>
        <w:rPr>
          <w:rFonts w:ascii="仿宋_GB2312" w:eastAsia="仿宋_GB2312"/>
          <w:b w:val="0"/>
          <w:bCs w:val="0"/>
          <w:color w:val="auto"/>
          <w:sz w:val="32"/>
          <w:szCs w:val="32"/>
          <w:u w:val="none"/>
        </w:rPr>
        <w:t>0</w:t>
      </w:r>
      <w:r>
        <w:rPr>
          <w:rFonts w:hint="eastAsia" w:ascii="仿宋_GB2312" w:eastAsia="仿宋_GB2312"/>
          <w:b w:val="0"/>
          <w:bCs w:val="0"/>
          <w:color w:val="auto"/>
          <w:sz w:val="32"/>
          <w:szCs w:val="32"/>
          <w:u w:val="none"/>
        </w:rPr>
        <w:t>件以上的得5分，20件以上得4分，1</w:t>
      </w:r>
      <w:r>
        <w:rPr>
          <w:rFonts w:ascii="仿宋_GB2312" w:eastAsia="仿宋_GB2312"/>
          <w:b w:val="0"/>
          <w:bCs w:val="0"/>
          <w:color w:val="auto"/>
          <w:sz w:val="32"/>
          <w:szCs w:val="32"/>
          <w:u w:val="none"/>
        </w:rPr>
        <w:t>0</w:t>
      </w:r>
      <w:r>
        <w:rPr>
          <w:rFonts w:hint="eastAsia" w:ascii="仿宋_GB2312" w:eastAsia="仿宋_GB2312"/>
          <w:b w:val="0"/>
          <w:bCs w:val="0"/>
          <w:color w:val="auto"/>
          <w:sz w:val="32"/>
          <w:szCs w:val="32"/>
          <w:u w:val="none"/>
        </w:rPr>
        <w:t>件及以下得3分，没有办理网上申报件的不得分。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3</w:t>
      </w:r>
      <w:r>
        <w:rPr>
          <w:rFonts w:ascii="仿宋_GB2312" w:eastAsia="仿宋_GB2312"/>
          <w:b w:val="0"/>
          <w:bCs w:val="0"/>
          <w:color w:val="auto"/>
          <w:sz w:val="32"/>
          <w:szCs w:val="32"/>
          <w:u w:val="none"/>
        </w:rPr>
        <w:t>.</w:t>
      </w:r>
      <w:r>
        <w:rPr>
          <w:rFonts w:hint="eastAsia" w:ascii="仿宋_GB2312" w:eastAsia="仿宋_GB2312"/>
          <w:b w:val="0"/>
          <w:bCs w:val="0"/>
          <w:color w:val="auto"/>
          <w:sz w:val="32"/>
          <w:szCs w:val="32"/>
          <w:u w:val="none"/>
        </w:rPr>
        <w:t>并联审批（10分）。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“一件事”办理。部门单位通过网上办事大厅开展并联审批（含工改系统）及“一件事”集成套餐服务的，有相应办件，每件加</w:t>
      </w:r>
      <w:r>
        <w:rPr>
          <w:rFonts w:ascii="仿宋_GB2312" w:eastAsia="仿宋_GB2312"/>
          <w:b w:val="0"/>
          <w:bCs w:val="0"/>
          <w:color w:val="auto"/>
          <w:sz w:val="32"/>
          <w:szCs w:val="32"/>
          <w:u w:val="none"/>
        </w:rPr>
        <w:t>1</w:t>
      </w:r>
      <w:r>
        <w:rPr>
          <w:rFonts w:hint="eastAsia" w:ascii="仿宋_GB2312" w:eastAsia="仿宋_GB2312"/>
          <w:b w:val="0"/>
          <w:bCs w:val="0"/>
          <w:color w:val="auto"/>
          <w:sz w:val="32"/>
          <w:szCs w:val="32"/>
          <w:u w:val="none"/>
        </w:rPr>
        <w:t>分，最多加5分。（须报送“一件事”事项名称）</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投资项目”办理。部门单位通过网上办事大厅及时上传和更新投资项目信息，数据全部准确的得5分，数据错误率高于0.5%的，每增加0.5%扣1分，最多扣5分。各单位应主动修正数据，无此项目的部门按最低得分部门评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4</w:t>
      </w:r>
      <w:r>
        <w:rPr>
          <w:rFonts w:ascii="仿宋_GB2312" w:eastAsia="仿宋_GB2312"/>
          <w:b w:val="0"/>
          <w:bCs w:val="0"/>
          <w:color w:val="auto"/>
          <w:sz w:val="32"/>
          <w:szCs w:val="32"/>
          <w:u w:val="none"/>
        </w:rPr>
        <w:t>.</w:t>
      </w:r>
      <w:r>
        <w:rPr>
          <w:rFonts w:hint="eastAsia" w:ascii="仿宋_GB2312" w:eastAsia="仿宋_GB2312"/>
          <w:b w:val="0"/>
          <w:bCs w:val="0"/>
          <w:color w:val="auto"/>
          <w:sz w:val="32"/>
          <w:szCs w:val="32"/>
          <w:u w:val="none"/>
        </w:rPr>
        <w:t>电子证照（10分）。</w:t>
      </w:r>
    </w:p>
    <w:p>
      <w:pPr>
        <w:widowControl w:val="0"/>
        <w:wordWrap/>
        <w:adjustRightInd/>
        <w:snapToGrid/>
        <w:spacing w:before="0" w:after="0" w:line="540" w:lineRule="exact"/>
        <w:ind w:left="0" w:leftChars="0" w:firstLine="640" w:firstLineChars="200"/>
        <w:textAlignment w:val="auto"/>
        <w:rPr>
          <w:rFonts w:ascii="仿宋_GB2312" w:eastAsia="仿宋_GB2312"/>
          <w:b w:val="0"/>
          <w:bCs w:val="0"/>
          <w:color w:val="auto"/>
          <w:sz w:val="32"/>
          <w:szCs w:val="32"/>
          <w:u w:val="none"/>
        </w:rPr>
      </w:pPr>
      <w:r>
        <w:rPr>
          <w:rFonts w:hint="eastAsia" w:ascii="仿宋_GB2312" w:eastAsia="仿宋_GB2312"/>
          <w:b w:val="0"/>
          <w:bCs w:val="0"/>
          <w:color w:val="auto"/>
          <w:sz w:val="32"/>
          <w:szCs w:val="32"/>
          <w:u w:val="none"/>
        </w:rPr>
        <w:t>部门单位在网上办事大厅（不含自建系统）中调用电子证照的，3</w:t>
      </w:r>
      <w:r>
        <w:rPr>
          <w:rFonts w:ascii="仿宋_GB2312" w:eastAsia="仿宋_GB2312"/>
          <w:b w:val="0"/>
          <w:bCs w:val="0"/>
          <w:color w:val="auto"/>
          <w:sz w:val="32"/>
          <w:szCs w:val="32"/>
          <w:u w:val="none"/>
        </w:rPr>
        <w:t>0</w:t>
      </w:r>
      <w:r>
        <w:rPr>
          <w:rFonts w:hint="eastAsia" w:ascii="仿宋_GB2312" w:eastAsia="仿宋_GB2312"/>
          <w:b w:val="0"/>
          <w:bCs w:val="0"/>
          <w:color w:val="auto"/>
          <w:sz w:val="32"/>
          <w:szCs w:val="32"/>
          <w:u w:val="none"/>
        </w:rPr>
        <w:t>件以上得5分，20件得4分，1</w:t>
      </w:r>
      <w:r>
        <w:rPr>
          <w:rFonts w:ascii="仿宋_GB2312" w:eastAsia="仿宋_GB2312"/>
          <w:b w:val="0"/>
          <w:bCs w:val="0"/>
          <w:color w:val="auto"/>
          <w:sz w:val="32"/>
          <w:szCs w:val="32"/>
          <w:u w:val="none"/>
        </w:rPr>
        <w:t>0</w:t>
      </w:r>
      <w:r>
        <w:rPr>
          <w:rFonts w:hint="eastAsia" w:ascii="仿宋_GB2312" w:eastAsia="仿宋_GB2312"/>
          <w:b w:val="0"/>
          <w:bCs w:val="0"/>
          <w:color w:val="auto"/>
          <w:sz w:val="32"/>
          <w:szCs w:val="32"/>
          <w:u w:val="none"/>
        </w:rPr>
        <w:t>件及以下得3分，办件没有调取电子证照的不得分。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color w:val="auto"/>
          <w:sz w:val="32"/>
          <w:szCs w:val="32"/>
          <w:u w:val="none"/>
        </w:rPr>
        <w:t>部门单位办件完成后全部按要求同步生成电子证照并推送的得</w:t>
      </w:r>
      <w:r>
        <w:rPr>
          <w:rFonts w:ascii="仿宋_GB2312" w:eastAsia="仿宋_GB2312"/>
          <w:color w:val="auto"/>
          <w:sz w:val="32"/>
          <w:szCs w:val="32"/>
          <w:u w:val="none"/>
        </w:rPr>
        <w:t>5</w:t>
      </w:r>
      <w:r>
        <w:rPr>
          <w:rFonts w:hint="eastAsia" w:ascii="仿宋_GB2312" w:eastAsia="仿宋_GB2312"/>
          <w:color w:val="auto"/>
          <w:sz w:val="32"/>
          <w:szCs w:val="32"/>
          <w:u w:val="none"/>
        </w:rPr>
        <w:t>分，没有及时生成电子证照并推送的，每件扣</w:t>
      </w:r>
      <w:r>
        <w:rPr>
          <w:rFonts w:ascii="仿宋_GB2312" w:eastAsia="仿宋_GB2312"/>
          <w:color w:val="auto"/>
          <w:sz w:val="32"/>
          <w:szCs w:val="32"/>
          <w:u w:val="none"/>
        </w:rPr>
        <w:t>0.1</w:t>
      </w:r>
      <w:r>
        <w:rPr>
          <w:rFonts w:hint="eastAsia" w:ascii="仿宋_GB2312" w:eastAsia="仿宋_GB2312"/>
          <w:color w:val="auto"/>
          <w:sz w:val="32"/>
          <w:szCs w:val="32"/>
          <w:u w:val="none"/>
        </w:rPr>
        <w:t>分，扣</w:t>
      </w:r>
      <w:r>
        <w:rPr>
          <w:rFonts w:hint="eastAsia" w:ascii="仿宋_GB2312" w:eastAsia="仿宋_GB2312"/>
          <w:b w:val="0"/>
          <w:bCs w:val="0"/>
          <w:color w:val="auto"/>
          <w:sz w:val="32"/>
          <w:szCs w:val="32"/>
          <w:u w:val="none"/>
        </w:rPr>
        <w:t>完为止。</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5.星级达标（3分）。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星级服务达标情况，全部达标的得3分。以全省各地星级达标事项为参照，凡是星级事项低于省最高星级的发现一项扣1分，最多扣3分。三星级以上占比低于全省事项总体平均水平的扣2分，四星级以上占比低于全省事项总体平均水平的扣1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6</w:t>
      </w:r>
      <w:r>
        <w:rPr>
          <w:rFonts w:ascii="仿宋_GB2312" w:eastAsia="仿宋_GB2312"/>
          <w:b w:val="0"/>
          <w:bCs w:val="0"/>
          <w:color w:val="auto"/>
          <w:sz w:val="32"/>
          <w:szCs w:val="32"/>
          <w:u w:val="none"/>
        </w:rPr>
        <w:t>.</w:t>
      </w:r>
      <w:r>
        <w:rPr>
          <w:rFonts w:hint="eastAsia" w:ascii="仿宋_GB2312" w:eastAsia="仿宋_GB2312"/>
          <w:b w:val="0"/>
          <w:bCs w:val="0"/>
          <w:color w:val="auto"/>
          <w:sz w:val="32"/>
          <w:szCs w:val="32"/>
          <w:u w:val="none"/>
        </w:rPr>
        <w:t>四级四同（5分）。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部门单位按“四级四同”要求将审批服务事项入驻省市网上办事大厅，并及时更新维护办事指南，事项全部入驻省市网上办事大厅得5分，网上办事指南信息出现错误或事项未与国家或省级事项目录关联的，每个问题事项或未关联事项扣</w:t>
      </w:r>
      <w:r>
        <w:rPr>
          <w:rFonts w:ascii="仿宋_GB2312" w:eastAsia="仿宋_GB2312"/>
          <w:b w:val="0"/>
          <w:bCs w:val="0"/>
          <w:color w:val="auto"/>
          <w:sz w:val="32"/>
          <w:szCs w:val="32"/>
          <w:u w:val="none"/>
        </w:rPr>
        <w:t>0.5</w:t>
      </w:r>
      <w:r>
        <w:rPr>
          <w:rFonts w:hint="eastAsia" w:ascii="仿宋_GB2312" w:eastAsia="仿宋_GB2312"/>
          <w:b w:val="0"/>
          <w:bCs w:val="0"/>
          <w:color w:val="auto"/>
          <w:sz w:val="32"/>
          <w:szCs w:val="32"/>
          <w:u w:val="none"/>
        </w:rPr>
        <w:t>分，扣完为止。</w:t>
      </w:r>
    </w:p>
    <w:p>
      <w:pPr>
        <w:widowControl w:val="0"/>
        <w:wordWrap/>
        <w:adjustRightInd/>
        <w:snapToGrid/>
        <w:spacing w:before="0" w:after="0" w:line="540" w:lineRule="exact"/>
        <w:ind w:left="0" w:leftChars="0" w:right="35" w:rightChars="11"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7.材料电子化（5分）。</w:t>
      </w:r>
    </w:p>
    <w:p>
      <w:pPr>
        <w:widowControl w:val="0"/>
        <w:wordWrap/>
        <w:adjustRightInd/>
        <w:snapToGrid/>
        <w:spacing w:before="0" w:after="0" w:line="540" w:lineRule="exact"/>
        <w:ind w:left="0" w:leftChars="0" w:right="35" w:rightChars="11"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部门单位在网上办事大厅将群众纸质材料扫描或拍照处理并录入可信电子材料库，每生成一份电子材料的得0.1分，最多5分。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8.邮寄办（2分）。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部门通过网上办事大厅与速递客户订单系统推行申请材料快递收取，审批结果快递送达，实现“一趟不用跑，最后跑一趟”办事。有实际邮寄办的，基础分1.5分，办件20件、10件、10件以下，分别加0.5分、0.3分、0.2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val="0"/>
          <w:color w:val="auto"/>
          <w:sz w:val="32"/>
          <w:szCs w:val="32"/>
          <w:u w:val="none"/>
        </w:rPr>
      </w:pPr>
      <w:r>
        <w:rPr>
          <w:rFonts w:hint="eastAsia" w:ascii="仿宋_GB2312" w:eastAsia="仿宋_GB2312"/>
          <w:b w:val="0"/>
          <w:bCs w:val="0"/>
          <w:color w:val="auto"/>
          <w:sz w:val="32"/>
          <w:szCs w:val="32"/>
          <w:u w:val="none"/>
        </w:rPr>
        <w:t>9</w:t>
      </w:r>
      <w:r>
        <w:rPr>
          <w:rFonts w:ascii="仿宋_GB2312" w:eastAsia="仿宋_GB2312"/>
          <w:b w:val="0"/>
          <w:bCs w:val="0"/>
          <w:color w:val="auto"/>
          <w:sz w:val="32"/>
          <w:szCs w:val="32"/>
          <w:u w:val="none"/>
        </w:rPr>
        <w:t>.</w:t>
      </w:r>
      <w:r>
        <w:rPr>
          <w:rFonts w:hint="eastAsia" w:ascii="仿宋_GB2312" w:eastAsia="仿宋_GB2312"/>
          <w:b w:val="0"/>
          <w:bCs w:val="0"/>
          <w:color w:val="auto"/>
          <w:sz w:val="32"/>
          <w:szCs w:val="32"/>
          <w:u w:val="none"/>
        </w:rPr>
        <w:t>超期办理（扣分项）。</w:t>
      </w:r>
    </w:p>
    <w:p>
      <w:pPr>
        <w:widowControl w:val="0"/>
        <w:wordWrap/>
        <w:adjustRightInd/>
        <w:snapToGrid/>
        <w:spacing w:before="0" w:after="0" w:line="540" w:lineRule="exact"/>
        <w:ind w:left="0" w:leftChars="0" w:firstLine="640" w:firstLineChars="200"/>
        <w:textAlignment w:val="auto"/>
        <w:rPr>
          <w:rFonts w:ascii="仿宋_GB2312" w:eastAsia="仿宋_GB2312"/>
          <w:b w:val="0"/>
          <w:bCs w:val="0"/>
          <w:color w:val="auto"/>
          <w:sz w:val="32"/>
          <w:szCs w:val="32"/>
          <w:u w:val="none"/>
        </w:rPr>
      </w:pPr>
      <w:r>
        <w:rPr>
          <w:rFonts w:hint="eastAsia" w:ascii="仿宋_GB2312" w:eastAsia="仿宋_GB2312"/>
          <w:b w:val="0"/>
          <w:bCs w:val="0"/>
          <w:color w:val="auto"/>
          <w:sz w:val="32"/>
          <w:szCs w:val="32"/>
          <w:u w:val="none"/>
        </w:rPr>
        <w:t>部门单位超期件（含网上申报件预审处理超时）或满意度评价“好差评”评价为差评（不满意、非常不满意），每件扣</w:t>
      </w:r>
      <w:r>
        <w:rPr>
          <w:rFonts w:ascii="仿宋_GB2312" w:eastAsia="仿宋_GB2312"/>
          <w:b w:val="0"/>
          <w:bCs w:val="0"/>
          <w:color w:val="auto"/>
          <w:sz w:val="32"/>
          <w:szCs w:val="32"/>
          <w:u w:val="none"/>
        </w:rPr>
        <w:t>1</w:t>
      </w:r>
      <w:r>
        <w:rPr>
          <w:rFonts w:hint="eastAsia" w:ascii="仿宋_GB2312" w:eastAsia="仿宋_GB2312"/>
          <w:b w:val="0"/>
          <w:bCs w:val="0"/>
          <w:color w:val="auto"/>
          <w:sz w:val="32"/>
          <w:szCs w:val="32"/>
          <w:u w:val="none"/>
        </w:rPr>
        <w:t>分。</w:t>
      </w:r>
    </w:p>
    <w:p>
      <w:pPr>
        <w:widowControl w:val="0"/>
        <w:wordWrap/>
        <w:adjustRightInd/>
        <w:snapToGrid/>
        <w:spacing w:before="0" w:after="0" w:line="540" w:lineRule="exact"/>
        <w:ind w:left="0" w:leftChars="0" w:firstLine="480" w:firstLineChars="150"/>
        <w:textAlignment w:val="auto"/>
        <w:rPr>
          <w:rFonts w:hint="eastAsia" w:ascii="楷体_GB2312" w:hAnsi="楷体" w:eastAsia="楷体_GB2312"/>
          <w:b w:val="0"/>
          <w:bCs w:val="0"/>
          <w:color w:val="auto"/>
          <w:sz w:val="32"/>
          <w:szCs w:val="32"/>
          <w:u w:val="none"/>
        </w:rPr>
      </w:pPr>
      <w:r>
        <w:rPr>
          <w:rFonts w:hint="eastAsia" w:ascii="楷体_GB2312" w:hAnsi="楷体" w:eastAsia="楷体_GB2312"/>
          <w:b w:val="0"/>
          <w:bCs w:val="0"/>
          <w:color w:val="auto"/>
          <w:sz w:val="32"/>
          <w:szCs w:val="32"/>
          <w:u w:val="none"/>
        </w:rPr>
        <w:t>（二）行政服务标准化和审批服务便民化（15分）</w:t>
      </w:r>
    </w:p>
    <w:p>
      <w:pPr>
        <w:widowControl w:val="0"/>
        <w:wordWrap/>
        <w:adjustRightInd/>
        <w:snapToGrid/>
        <w:spacing w:before="0" w:after="0" w:line="540" w:lineRule="exact"/>
        <w:ind w:left="0" w:leftChars="0" w:firstLine="640" w:firstLineChars="200"/>
        <w:textAlignment w:val="auto"/>
        <w:rPr>
          <w:rFonts w:ascii="仿宋_GB2312" w:eastAsia="仿宋_GB2312"/>
          <w:b w:val="0"/>
          <w:bCs w:val="0"/>
          <w:color w:val="auto"/>
          <w:sz w:val="32"/>
          <w:szCs w:val="32"/>
          <w:u w:val="none"/>
        </w:rPr>
      </w:pPr>
      <w:r>
        <w:rPr>
          <w:rFonts w:hint="eastAsia" w:ascii="仿宋_GB2312" w:hAnsi="黑体" w:eastAsia="仿宋_GB2312"/>
          <w:b w:val="0"/>
          <w:bCs w:val="0"/>
          <w:color w:val="auto"/>
          <w:sz w:val="32"/>
          <w:szCs w:val="32"/>
          <w:u w:val="none"/>
        </w:rPr>
        <w:t>1.</w:t>
      </w:r>
      <w:r>
        <w:rPr>
          <w:rFonts w:hint="eastAsia" w:ascii="仿宋_GB2312" w:eastAsia="仿宋_GB2312"/>
          <w:b w:val="0"/>
          <w:bCs w:val="0"/>
          <w:color w:val="auto"/>
          <w:sz w:val="32"/>
          <w:szCs w:val="32"/>
          <w:u w:val="none"/>
        </w:rPr>
        <w:t>“一趟不用跑”和“最多跑一趟”办事清单</w:t>
      </w:r>
      <w:r>
        <w:rPr>
          <w:rFonts w:hint="eastAsia" w:ascii="仿宋_GB2312" w:hAnsi="黑体" w:eastAsia="仿宋_GB2312"/>
          <w:b w:val="0"/>
          <w:bCs w:val="0"/>
          <w:color w:val="auto"/>
          <w:sz w:val="32"/>
          <w:szCs w:val="32"/>
          <w:u w:val="none"/>
        </w:rPr>
        <w:t>动态调整</w:t>
      </w:r>
      <w:r>
        <w:rPr>
          <w:rFonts w:hint="eastAsia" w:ascii="仿宋_GB2312" w:eastAsia="仿宋_GB2312"/>
          <w:b w:val="0"/>
          <w:bCs w:val="0"/>
          <w:color w:val="auto"/>
          <w:sz w:val="32"/>
          <w:szCs w:val="32"/>
          <w:u w:val="none"/>
        </w:rPr>
        <w:t>、报送和落实情况（5分）。</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b w:val="0"/>
          <w:bCs w:val="0"/>
          <w:color w:val="auto"/>
          <w:sz w:val="32"/>
          <w:szCs w:val="32"/>
          <w:u w:val="none"/>
        </w:rPr>
        <w:t>（1）“一趟不用跑”和“最多跑一趟”事项数占本部门单位审批服务事项数95%以上，其中“</w:t>
      </w:r>
      <w:r>
        <w:rPr>
          <w:rFonts w:hint="eastAsia" w:ascii="仿宋_GB2312" w:eastAsia="仿宋_GB2312"/>
          <w:color w:val="auto"/>
          <w:sz w:val="32"/>
          <w:szCs w:val="32"/>
          <w:u w:val="none"/>
        </w:rPr>
        <w:t>一趟不用跑”事项数占本部门单位审批服务事项数65%以上，全程网办五星级事项数占本部门单位审批服务事项数55%以上。（省指标）</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（2）部门单位“一趟不用跑”和“最多跑一趟”事项清单达到全省前列水平。</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（3）“一趟不用跑”和“最多跑一趟”事项及时上网公开，并调整网上办事大厅。</w:t>
      </w:r>
    </w:p>
    <w:p>
      <w:pPr>
        <w:widowControl w:val="0"/>
        <w:wordWrap/>
        <w:adjustRightInd/>
        <w:snapToGrid/>
        <w:spacing w:before="0" w:after="0" w:line="540" w:lineRule="exact"/>
        <w:ind w:left="0" w:leftChars="0" w:firstLine="643" w:firstLineChars="200"/>
        <w:textAlignment w:val="auto"/>
        <w:rPr>
          <w:rFonts w:ascii="仿宋_GB2312" w:eastAsia="仿宋_GB2312"/>
          <w:b/>
          <w:color w:val="auto"/>
          <w:sz w:val="32"/>
          <w:szCs w:val="32"/>
          <w:u w:val="none"/>
        </w:rPr>
      </w:pPr>
      <w:r>
        <w:rPr>
          <w:rFonts w:hint="eastAsia" w:ascii="仿宋_GB2312" w:eastAsia="仿宋_GB2312"/>
          <w:b/>
          <w:color w:val="auto"/>
          <w:sz w:val="32"/>
          <w:szCs w:val="32"/>
          <w:u w:val="none"/>
        </w:rPr>
        <w:t>市直部门单位完成第（1）项得基础分2分，未达到全省前列水平、未落实上网公开和调整网上办事大厅一项扣0.5分，扣完为止。</w:t>
      </w:r>
    </w:p>
    <w:p>
      <w:pPr>
        <w:widowControl w:val="0"/>
        <w:tabs>
          <w:tab w:val="left" w:pos="1815"/>
        </w:tabs>
        <w:wordWrap/>
        <w:adjustRightInd/>
        <w:snapToGrid/>
        <w:spacing w:before="0" w:after="0" w:line="540" w:lineRule="exact"/>
        <w:ind w:left="0" w:leftChars="0" w:firstLine="640" w:firstLineChars="200"/>
        <w:textAlignment w:val="auto"/>
        <w:rPr>
          <w:rFonts w:ascii="仿宋_GB2312" w:eastAsia="仿宋_GB2312"/>
          <w:b w:val="0"/>
          <w:bCs/>
          <w:color w:val="auto"/>
          <w:sz w:val="32"/>
          <w:szCs w:val="32"/>
          <w:u w:val="none"/>
        </w:rPr>
      </w:pPr>
      <w:r>
        <w:rPr>
          <w:rFonts w:hint="eastAsia" w:ascii="仿宋_GB2312" w:eastAsia="仿宋_GB2312"/>
          <w:b w:val="0"/>
          <w:bCs/>
          <w:color w:val="auto"/>
          <w:sz w:val="32"/>
          <w:szCs w:val="32"/>
          <w:u w:val="none"/>
        </w:rPr>
        <w:t>2.持续压缩审批时限（3分）。</w:t>
      </w:r>
    </w:p>
    <w:p>
      <w:pPr>
        <w:widowControl w:val="0"/>
        <w:tabs>
          <w:tab w:val="left" w:pos="1815"/>
        </w:tabs>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（1）所有审批和服务事项的承诺时限要统一控制在法定时限的50%以内，且公共服务事项中即办件的数量要达到总办件量的70%以上。</w:t>
      </w:r>
    </w:p>
    <w:p>
      <w:pPr>
        <w:widowControl w:val="0"/>
        <w:wordWrap/>
        <w:adjustRightInd/>
        <w:snapToGrid/>
        <w:spacing w:before="0" w:after="0" w:line="540" w:lineRule="exact"/>
        <w:ind w:left="0" w:leftChars="0" w:firstLine="640" w:firstLineChars="200"/>
        <w:textAlignment w:val="auto"/>
        <w:rPr>
          <w:rFonts w:ascii="仿宋_GB2312" w:hAnsi="黑体" w:eastAsia="仿宋_GB2312"/>
          <w:color w:val="auto"/>
          <w:sz w:val="32"/>
          <w:szCs w:val="32"/>
          <w:u w:val="none"/>
        </w:rPr>
      </w:pPr>
      <w:r>
        <w:rPr>
          <w:rFonts w:hint="eastAsia" w:ascii="仿宋_GB2312" w:eastAsia="仿宋_GB2312"/>
          <w:color w:val="auto"/>
          <w:sz w:val="32"/>
          <w:szCs w:val="32"/>
          <w:u w:val="none"/>
        </w:rPr>
        <w:t>（2）各部门单位不定期对照全省其他地市同级部门同类事项审批时限，持续压缩审批时限，同步修改网上办事大厅，</w:t>
      </w:r>
      <w:r>
        <w:rPr>
          <w:rFonts w:hint="eastAsia" w:ascii="仿宋_GB2312" w:hAnsi="黑体" w:eastAsia="仿宋_GB2312"/>
          <w:color w:val="auto"/>
          <w:sz w:val="32"/>
          <w:szCs w:val="32"/>
          <w:u w:val="none"/>
        </w:rPr>
        <w:t>达到全省最短。</w:t>
      </w:r>
    </w:p>
    <w:p>
      <w:pPr>
        <w:widowControl w:val="0"/>
        <w:wordWrap/>
        <w:adjustRightInd/>
        <w:snapToGrid/>
        <w:spacing w:before="0" w:after="0" w:line="540" w:lineRule="exact"/>
        <w:ind w:left="0" w:leftChars="0" w:firstLine="643" w:firstLineChars="200"/>
        <w:textAlignment w:val="auto"/>
        <w:rPr>
          <w:rFonts w:hint="eastAsia" w:ascii="仿宋_GB2312" w:eastAsia="仿宋_GB2312"/>
          <w:b/>
          <w:color w:val="auto"/>
          <w:sz w:val="32"/>
          <w:szCs w:val="32"/>
          <w:u w:val="none"/>
        </w:rPr>
      </w:pPr>
      <w:r>
        <w:rPr>
          <w:rFonts w:hint="eastAsia" w:ascii="仿宋_GB2312" w:eastAsia="仿宋_GB2312"/>
          <w:b/>
          <w:color w:val="auto"/>
          <w:sz w:val="32"/>
          <w:szCs w:val="32"/>
          <w:u w:val="none"/>
        </w:rPr>
        <w:t>市直部门单位完成第（1）项得基础分2分，未达到全省最短和网上同步修改的一项扣0.5分，扣完为止。</w:t>
      </w:r>
    </w:p>
    <w:p>
      <w:pPr>
        <w:widowControl w:val="0"/>
        <w:wordWrap/>
        <w:adjustRightInd/>
        <w:snapToGrid/>
        <w:spacing w:before="0" w:after="0" w:line="540" w:lineRule="exact"/>
        <w:ind w:left="0" w:leftChars="0" w:firstLine="640" w:firstLineChars="200"/>
        <w:textAlignment w:val="auto"/>
        <w:rPr>
          <w:rFonts w:ascii="仿宋_GB2312" w:hAnsi="黑体" w:eastAsia="仿宋_GB2312"/>
          <w:b w:val="0"/>
          <w:bCs/>
          <w:color w:val="auto"/>
          <w:sz w:val="32"/>
          <w:szCs w:val="32"/>
          <w:u w:val="none"/>
        </w:rPr>
      </w:pPr>
      <w:r>
        <w:rPr>
          <w:rFonts w:hint="eastAsia" w:ascii="仿宋_GB2312" w:hAnsi="黑体" w:eastAsia="仿宋_GB2312"/>
          <w:b w:val="0"/>
          <w:bCs/>
          <w:color w:val="auto"/>
          <w:sz w:val="32"/>
          <w:szCs w:val="32"/>
          <w:u w:val="none"/>
        </w:rPr>
        <w:t>3.惠企政策兑现落实情况（5分）。</w:t>
      </w:r>
    </w:p>
    <w:p>
      <w:pPr>
        <w:widowControl w:val="0"/>
        <w:tabs>
          <w:tab w:val="left" w:pos="1815"/>
        </w:tabs>
        <w:wordWrap/>
        <w:adjustRightInd/>
        <w:snapToGrid/>
        <w:spacing w:before="0" w:after="0" w:line="540" w:lineRule="exact"/>
        <w:ind w:left="0" w:leftChars="0" w:firstLine="640" w:firstLineChars="200"/>
        <w:textAlignment w:val="auto"/>
        <w:rPr>
          <w:rFonts w:hint="eastAsia" w:ascii="仿宋_GB2312"/>
          <w:color w:val="auto"/>
          <w:szCs w:val="32"/>
          <w:u w:val="none"/>
        </w:rPr>
      </w:pPr>
      <w:r>
        <w:rPr>
          <w:rFonts w:hint="eastAsia" w:ascii="仿宋_GB2312" w:eastAsia="仿宋_GB2312"/>
          <w:color w:val="auto"/>
          <w:sz w:val="32"/>
          <w:szCs w:val="32"/>
          <w:u w:val="none"/>
        </w:rPr>
        <w:t>进一步推进落实惠企政策兑现工作，设立惠企政策兑现窗口，实行“一窗受理、分流转办、限时办结、统一反馈”办理。各相关部门单位惠企政策兑现业务入驻市惠企政策兑现窗口受理和出件。</w:t>
      </w:r>
    </w:p>
    <w:p>
      <w:pPr>
        <w:widowControl w:val="0"/>
        <w:tabs>
          <w:tab w:val="left" w:pos="1815"/>
        </w:tabs>
        <w:wordWrap/>
        <w:adjustRightInd/>
        <w:snapToGrid/>
        <w:spacing w:before="0" w:after="0" w:line="540" w:lineRule="exact"/>
        <w:ind w:left="0" w:leftChars="0" w:firstLine="643" w:firstLineChars="200"/>
        <w:textAlignment w:val="auto"/>
        <w:rPr>
          <w:rFonts w:hint="eastAsia" w:ascii="仿宋_GB2312" w:eastAsia="仿宋_GB2312"/>
          <w:b/>
          <w:color w:val="auto"/>
          <w:sz w:val="32"/>
          <w:szCs w:val="32"/>
          <w:u w:val="none"/>
        </w:rPr>
      </w:pPr>
      <w:r>
        <w:rPr>
          <w:rFonts w:hint="eastAsia" w:ascii="仿宋_GB2312" w:eastAsia="仿宋_GB2312"/>
          <w:b/>
          <w:color w:val="auto"/>
          <w:sz w:val="32"/>
          <w:szCs w:val="32"/>
          <w:u w:val="none"/>
        </w:rPr>
        <w:t>基础分为1分，市直部门单位完成梳理汇总惠企政策得分2分，完成惠企政策兑现得2分。（须报送相关佐证材料）</w:t>
      </w:r>
    </w:p>
    <w:p>
      <w:pPr>
        <w:widowControl w:val="0"/>
        <w:wordWrap/>
        <w:adjustRightInd/>
        <w:snapToGrid/>
        <w:spacing w:before="0" w:after="0" w:line="540" w:lineRule="exact"/>
        <w:ind w:left="0" w:leftChars="0" w:firstLine="643" w:firstLineChars="200"/>
        <w:textAlignment w:val="auto"/>
        <w:rPr>
          <w:rFonts w:hint="eastAsia" w:ascii="仿宋_GB2312" w:eastAsia="仿宋_GB2312"/>
          <w:b/>
          <w:color w:val="auto"/>
          <w:sz w:val="32"/>
          <w:szCs w:val="32"/>
          <w:u w:val="none"/>
        </w:rPr>
      </w:pPr>
      <w:r>
        <w:rPr>
          <w:rFonts w:hint="eastAsia" w:ascii="仿宋_GB2312" w:eastAsia="仿宋_GB2312"/>
          <w:b/>
          <w:color w:val="auto"/>
          <w:sz w:val="32"/>
          <w:szCs w:val="32"/>
          <w:u w:val="none"/>
        </w:rPr>
        <w:t>无此事项的部门，按该项参与单位最低得分计分，有事不上网办兑现办理，扣5分。</w:t>
      </w:r>
    </w:p>
    <w:p>
      <w:pPr>
        <w:widowControl w:val="0"/>
        <w:wordWrap/>
        <w:adjustRightInd/>
        <w:snapToGrid/>
        <w:spacing w:before="0" w:after="0" w:line="540" w:lineRule="exact"/>
        <w:ind w:left="0" w:leftChars="0" w:firstLine="640" w:firstLineChars="200"/>
        <w:textAlignment w:val="auto"/>
        <w:rPr>
          <w:rFonts w:ascii="仿宋_GB2312" w:hAnsi="黑体" w:eastAsia="仿宋_GB2312"/>
          <w:b w:val="0"/>
          <w:bCs/>
          <w:color w:val="auto"/>
          <w:sz w:val="32"/>
          <w:szCs w:val="32"/>
          <w:u w:val="none"/>
        </w:rPr>
      </w:pPr>
      <w:r>
        <w:rPr>
          <w:rFonts w:hint="eastAsia" w:ascii="仿宋_GB2312" w:hAnsi="黑体" w:eastAsia="仿宋_GB2312"/>
          <w:b w:val="0"/>
          <w:bCs/>
          <w:color w:val="auto"/>
          <w:sz w:val="32"/>
          <w:szCs w:val="32"/>
          <w:u w:val="none"/>
        </w:rPr>
        <w:t>4.改革创新典型经验（2分）。</w:t>
      </w:r>
    </w:p>
    <w:p>
      <w:pPr>
        <w:widowControl w:val="0"/>
        <w:wordWrap/>
        <w:adjustRightInd/>
        <w:snapToGrid/>
        <w:spacing w:before="0" w:after="0" w:line="540" w:lineRule="exact"/>
        <w:ind w:left="0" w:leftChars="0" w:firstLine="640" w:firstLineChars="200"/>
        <w:textAlignment w:val="auto"/>
        <w:rPr>
          <w:rFonts w:ascii="仿宋_GB2312" w:eastAsia="仿宋_GB2312"/>
          <w:b/>
          <w:color w:val="auto"/>
          <w:sz w:val="32"/>
          <w:szCs w:val="32"/>
          <w:u w:val="none"/>
        </w:rPr>
      </w:pPr>
      <w:r>
        <w:rPr>
          <w:rFonts w:hint="eastAsia" w:ascii="仿宋_GB2312" w:eastAsia="仿宋_GB2312"/>
          <w:color w:val="auto"/>
          <w:sz w:val="32"/>
          <w:szCs w:val="32"/>
          <w:u w:val="none"/>
        </w:rPr>
        <w:t>市直部门单位政务服务“放管服”改革创新典型经验受市里通报表扬的加1分；受省及国家部委通报表扬宣传的加2分。</w:t>
      </w:r>
      <w:r>
        <w:rPr>
          <w:rFonts w:hint="eastAsia" w:ascii="仿宋_GB2312" w:eastAsia="仿宋_GB2312"/>
          <w:b/>
          <w:color w:val="auto"/>
          <w:sz w:val="32"/>
          <w:szCs w:val="32"/>
          <w:u w:val="none"/>
        </w:rPr>
        <w:t>（须报送相关佐证材料）</w:t>
      </w:r>
    </w:p>
    <w:p>
      <w:pPr>
        <w:widowControl w:val="0"/>
        <w:wordWrap/>
        <w:adjustRightInd/>
        <w:snapToGrid/>
        <w:spacing w:before="0" w:after="0" w:line="540" w:lineRule="exact"/>
        <w:ind w:left="0" w:leftChars="0" w:firstLine="640" w:firstLineChars="200"/>
        <w:textAlignment w:val="auto"/>
        <w:rPr>
          <w:rFonts w:hint="eastAsia" w:ascii="楷体_GB2312" w:hAnsi="楷体" w:eastAsia="楷体_GB2312"/>
          <w:b w:val="0"/>
          <w:bCs/>
          <w:color w:val="auto"/>
          <w:sz w:val="32"/>
          <w:szCs w:val="32"/>
          <w:u w:val="none"/>
        </w:rPr>
      </w:pPr>
      <w:r>
        <w:rPr>
          <w:rFonts w:hint="eastAsia" w:ascii="楷体_GB2312" w:hAnsi="楷体" w:eastAsia="楷体_GB2312"/>
          <w:b w:val="0"/>
          <w:bCs/>
          <w:color w:val="auto"/>
          <w:sz w:val="32"/>
          <w:szCs w:val="32"/>
          <w:u w:val="none"/>
        </w:rPr>
        <w:t>（三）推行“五办工作法”工作情况（5分）</w:t>
      </w:r>
    </w:p>
    <w:p>
      <w:pPr>
        <w:widowControl w:val="0"/>
        <w:wordWrap/>
        <w:adjustRightInd/>
        <w:snapToGrid/>
        <w:spacing w:before="0" w:after="0" w:line="540" w:lineRule="exact"/>
        <w:ind w:left="0" w:leftChars="0" w:firstLine="640" w:firstLineChars="200"/>
        <w:textAlignment w:val="auto"/>
        <w:rPr>
          <w:rFonts w:ascii="仿宋_GB2312" w:eastAsia="仿宋_GB2312"/>
          <w:b w:val="0"/>
          <w:bCs/>
          <w:color w:val="auto"/>
          <w:sz w:val="32"/>
          <w:szCs w:val="32"/>
          <w:u w:val="none"/>
        </w:rPr>
      </w:pPr>
      <w:r>
        <w:rPr>
          <w:rFonts w:hint="eastAsia" w:ascii="仿宋_GB2312" w:eastAsia="仿宋_GB2312"/>
          <w:b w:val="0"/>
          <w:bCs/>
          <w:color w:val="auto"/>
          <w:sz w:val="32"/>
          <w:szCs w:val="32"/>
          <w:u w:val="none"/>
        </w:rPr>
        <w:t>1.“五办工作法”办理实例（4分）。</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b w:val="0"/>
          <w:bCs/>
          <w:color w:val="auto"/>
          <w:sz w:val="32"/>
          <w:szCs w:val="32"/>
          <w:u w:val="none"/>
        </w:rPr>
        <w:t>（1）各入驻部门单位应定期报送实行“五办工作法”的办</w:t>
      </w:r>
      <w:r>
        <w:rPr>
          <w:rFonts w:hint="eastAsia" w:ascii="仿宋_GB2312" w:eastAsia="仿宋_GB2312"/>
          <w:color w:val="auto"/>
          <w:sz w:val="32"/>
          <w:szCs w:val="32"/>
          <w:u w:val="none"/>
        </w:rPr>
        <w:t>件数量。实行“五办工作法”办件数量根据办件量分为三类得分（3.5分、3分、2.5分、2分），未办件得基础1.5分，未报送办件量不得分。</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（2）各入驻部门单位须报送实行“五办工作法”的具体事例。（0.5分）</w:t>
      </w:r>
    </w:p>
    <w:p>
      <w:pPr>
        <w:widowControl w:val="0"/>
        <w:wordWrap/>
        <w:adjustRightInd/>
        <w:snapToGrid/>
        <w:spacing w:before="0" w:after="0" w:line="540" w:lineRule="exact"/>
        <w:ind w:left="0" w:leftChars="0" w:firstLine="640" w:firstLineChars="200"/>
        <w:textAlignment w:val="auto"/>
        <w:rPr>
          <w:rFonts w:ascii="仿宋_GB2312" w:eastAsia="仿宋_GB2312"/>
          <w:b w:val="0"/>
          <w:bCs/>
          <w:color w:val="auto"/>
          <w:sz w:val="32"/>
          <w:szCs w:val="32"/>
          <w:u w:val="none"/>
        </w:rPr>
      </w:pPr>
      <w:r>
        <w:rPr>
          <w:rFonts w:hint="eastAsia" w:ascii="仿宋_GB2312" w:eastAsia="仿宋_GB2312"/>
          <w:b w:val="0"/>
          <w:bCs/>
          <w:color w:val="auto"/>
          <w:sz w:val="32"/>
          <w:szCs w:val="32"/>
          <w:u w:val="none"/>
        </w:rPr>
        <w:t>2.推行“五办工作法”创新情况（1分）。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b w:val="0"/>
          <w:bCs/>
          <w:color w:val="auto"/>
          <w:sz w:val="32"/>
          <w:szCs w:val="32"/>
          <w:u w:val="none"/>
        </w:rPr>
      </w:pPr>
      <w:r>
        <w:rPr>
          <w:rFonts w:hint="eastAsia" w:ascii="仿宋_GB2312" w:eastAsia="仿宋_GB2312"/>
          <w:b w:val="0"/>
          <w:bCs/>
          <w:color w:val="auto"/>
          <w:sz w:val="32"/>
          <w:szCs w:val="32"/>
          <w:u w:val="none"/>
        </w:rPr>
        <w:t>推行“五办工作法”中利用“e三明”APP、闽政通APP和微信等先进技术手段，开展网办、容缺办理、微信拍先办、上门服务等创新工作做法。（须提供相关事例作为佐证材料）</w:t>
      </w:r>
    </w:p>
    <w:p>
      <w:pPr>
        <w:widowControl w:val="0"/>
        <w:wordWrap/>
        <w:adjustRightInd/>
        <w:snapToGrid/>
        <w:spacing w:before="0" w:after="0" w:line="540" w:lineRule="exact"/>
        <w:ind w:left="0" w:leftChars="0" w:firstLine="640" w:firstLineChars="200"/>
        <w:textAlignment w:val="auto"/>
        <w:rPr>
          <w:rFonts w:hint="eastAsia" w:ascii="楷体_GB2312" w:hAnsi="楷体" w:eastAsia="楷体_GB2312"/>
          <w:b w:val="0"/>
          <w:bCs/>
          <w:color w:val="auto"/>
          <w:sz w:val="32"/>
          <w:szCs w:val="32"/>
          <w:u w:val="none"/>
        </w:rPr>
      </w:pPr>
      <w:r>
        <w:rPr>
          <w:rFonts w:hint="eastAsia" w:ascii="楷体_GB2312" w:hAnsi="楷体" w:eastAsia="楷体_GB2312"/>
          <w:b w:val="0"/>
          <w:bCs/>
          <w:color w:val="auto"/>
          <w:sz w:val="32"/>
          <w:szCs w:val="32"/>
          <w:u w:val="none"/>
        </w:rPr>
        <w:t>（四）服务规范和评价（10分）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color w:val="auto"/>
          <w:sz w:val="32"/>
          <w:szCs w:val="32"/>
          <w:u w:val="none"/>
        </w:rPr>
      </w:pPr>
      <w:r>
        <w:rPr>
          <w:rFonts w:ascii="仿宋_GB2312" w:eastAsia="仿宋_GB2312"/>
          <w:b w:val="0"/>
          <w:bCs/>
          <w:color w:val="auto"/>
          <w:sz w:val="32"/>
          <w:szCs w:val="32"/>
          <w:u w:val="none"/>
        </w:rPr>
        <w:t>1.</w:t>
      </w:r>
      <w:r>
        <w:rPr>
          <w:rFonts w:hint="eastAsia" w:ascii="仿宋_GB2312" w:eastAsia="仿宋_GB2312"/>
          <w:b w:val="0"/>
          <w:bCs/>
          <w:color w:val="auto"/>
          <w:sz w:val="32"/>
          <w:szCs w:val="32"/>
          <w:u w:val="none"/>
        </w:rPr>
        <w:t>工作人员在上班时间未按规定着装、佩证上岗，无故迟到、</w:t>
      </w:r>
      <w:r>
        <w:rPr>
          <w:rFonts w:hint="eastAsia" w:ascii="仿宋_GB2312" w:eastAsia="仿宋_GB2312"/>
          <w:color w:val="auto"/>
          <w:sz w:val="32"/>
          <w:szCs w:val="32"/>
          <w:u w:val="none"/>
        </w:rPr>
        <w:t>早退、脱岗、旷工、玩电子游戏、打瞌睡、代替刷卡、吃零食，</w:t>
      </w:r>
      <w:r>
        <w:rPr>
          <w:rFonts w:hint="eastAsia" w:ascii="仿宋_GB2312" w:eastAsia="仿宋_GB2312"/>
          <w:color w:val="auto"/>
          <w:spacing w:val="-6"/>
          <w:sz w:val="32"/>
          <w:szCs w:val="32"/>
          <w:u w:val="none"/>
        </w:rPr>
        <w:t>将非窗口有关工作人员带进工作岗位聊天的，发现一次扣</w:t>
      </w:r>
      <w:r>
        <w:rPr>
          <w:rFonts w:ascii="仿宋_GB2312" w:eastAsia="仿宋_GB2312"/>
          <w:color w:val="auto"/>
          <w:spacing w:val="-6"/>
          <w:sz w:val="32"/>
          <w:szCs w:val="32"/>
          <w:u w:val="none"/>
        </w:rPr>
        <w:t>0.5</w:t>
      </w:r>
      <w:r>
        <w:rPr>
          <w:rFonts w:hint="eastAsia" w:ascii="仿宋_GB2312" w:eastAsia="仿宋_GB2312"/>
          <w:color w:val="auto"/>
          <w:spacing w:val="-6"/>
          <w:sz w:val="32"/>
          <w:szCs w:val="32"/>
          <w:u w:val="none"/>
        </w:rPr>
        <w:t>分。</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2.工作台面资料、桌面档案摆放不整齐，工作环境秩序杂乱，检查一次扣</w:t>
      </w:r>
      <w:r>
        <w:rPr>
          <w:rFonts w:ascii="仿宋_GB2312" w:eastAsia="仿宋_GB2312"/>
          <w:color w:val="auto"/>
          <w:sz w:val="32"/>
          <w:szCs w:val="32"/>
          <w:u w:val="none"/>
        </w:rPr>
        <w:t>0.5</w:t>
      </w:r>
      <w:r>
        <w:rPr>
          <w:rFonts w:hint="eastAsia" w:ascii="仿宋_GB2312" w:eastAsia="仿宋_GB2312"/>
          <w:color w:val="auto"/>
          <w:sz w:val="32"/>
          <w:szCs w:val="32"/>
          <w:u w:val="none"/>
        </w:rPr>
        <w:t>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3</w:t>
      </w:r>
      <w:r>
        <w:rPr>
          <w:rFonts w:ascii="仿宋_GB2312" w:eastAsia="仿宋_GB2312"/>
          <w:color w:val="auto"/>
          <w:sz w:val="32"/>
          <w:szCs w:val="32"/>
          <w:u w:val="none"/>
        </w:rPr>
        <w:t>.</w:t>
      </w:r>
      <w:r>
        <w:rPr>
          <w:rFonts w:hint="eastAsia" w:ascii="仿宋_GB2312" w:eastAsia="仿宋_GB2312"/>
          <w:color w:val="auto"/>
          <w:sz w:val="32"/>
          <w:szCs w:val="32"/>
          <w:u w:val="none"/>
        </w:rPr>
        <w:t>上班时间窗口无人值守、无人接件、电话无人接听，造成不良影响的，发现一次扣</w:t>
      </w:r>
      <w:r>
        <w:rPr>
          <w:rFonts w:ascii="仿宋_GB2312" w:eastAsia="仿宋_GB2312"/>
          <w:color w:val="auto"/>
          <w:sz w:val="32"/>
          <w:szCs w:val="32"/>
          <w:u w:val="none"/>
        </w:rPr>
        <w:t>0.5</w:t>
      </w:r>
      <w:r>
        <w:rPr>
          <w:rFonts w:hint="eastAsia" w:ascii="仿宋_GB2312" w:eastAsia="仿宋_GB2312"/>
          <w:color w:val="auto"/>
          <w:sz w:val="32"/>
          <w:szCs w:val="32"/>
          <w:u w:val="none"/>
        </w:rPr>
        <w:t>分。</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4</w:t>
      </w:r>
      <w:r>
        <w:rPr>
          <w:rFonts w:ascii="仿宋_GB2312" w:eastAsia="仿宋_GB2312"/>
          <w:color w:val="auto"/>
          <w:sz w:val="32"/>
          <w:szCs w:val="32"/>
          <w:u w:val="none"/>
        </w:rPr>
        <w:t>.</w:t>
      </w:r>
      <w:r>
        <w:rPr>
          <w:rFonts w:hint="eastAsia" w:ascii="仿宋_GB2312" w:eastAsia="仿宋_GB2312"/>
          <w:color w:val="auto"/>
          <w:sz w:val="32"/>
          <w:szCs w:val="32"/>
          <w:u w:val="none"/>
        </w:rPr>
        <w:t>工作人员每月出勤情况，迟到、早退一次扣</w:t>
      </w:r>
      <w:r>
        <w:rPr>
          <w:rFonts w:ascii="仿宋_GB2312" w:eastAsia="仿宋_GB2312"/>
          <w:color w:val="auto"/>
          <w:sz w:val="32"/>
          <w:szCs w:val="32"/>
          <w:u w:val="none"/>
        </w:rPr>
        <w:t>0.5</w:t>
      </w:r>
      <w:r>
        <w:rPr>
          <w:rFonts w:hint="eastAsia" w:ascii="仿宋_GB2312" w:eastAsia="仿宋_GB2312"/>
          <w:color w:val="auto"/>
          <w:sz w:val="32"/>
          <w:szCs w:val="32"/>
          <w:u w:val="none"/>
        </w:rPr>
        <w:t>分，旷工一次扣</w:t>
      </w:r>
      <w:r>
        <w:rPr>
          <w:rFonts w:ascii="仿宋_GB2312" w:eastAsia="仿宋_GB2312"/>
          <w:color w:val="auto"/>
          <w:sz w:val="32"/>
          <w:szCs w:val="32"/>
          <w:u w:val="none"/>
        </w:rPr>
        <w:t>0.5</w:t>
      </w:r>
      <w:r>
        <w:rPr>
          <w:rFonts w:hint="eastAsia" w:ascii="仿宋_GB2312" w:eastAsia="仿宋_GB2312"/>
          <w:color w:val="auto"/>
          <w:sz w:val="32"/>
          <w:szCs w:val="32"/>
          <w:u w:val="none"/>
        </w:rPr>
        <w:t>分。工作时间因公、因私外出未办理去向登记手续被查实的，发现一次扣</w:t>
      </w:r>
      <w:r>
        <w:rPr>
          <w:rFonts w:ascii="仿宋_GB2312" w:eastAsia="仿宋_GB2312"/>
          <w:color w:val="auto"/>
          <w:sz w:val="32"/>
          <w:szCs w:val="32"/>
          <w:u w:val="none"/>
        </w:rPr>
        <w:t>0.5</w:t>
      </w:r>
      <w:r>
        <w:rPr>
          <w:rFonts w:hint="eastAsia" w:ascii="仿宋_GB2312" w:eastAsia="仿宋_GB2312"/>
          <w:color w:val="auto"/>
          <w:sz w:val="32"/>
          <w:szCs w:val="32"/>
          <w:u w:val="none"/>
        </w:rPr>
        <w:t>分。</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5</w:t>
      </w:r>
      <w:r>
        <w:rPr>
          <w:rFonts w:ascii="仿宋_GB2312" w:eastAsia="仿宋_GB2312"/>
          <w:color w:val="auto"/>
          <w:sz w:val="32"/>
          <w:szCs w:val="32"/>
          <w:u w:val="none"/>
        </w:rPr>
        <w:t>.</w:t>
      </w:r>
      <w:r>
        <w:rPr>
          <w:rFonts w:hint="eastAsia" w:ascii="仿宋_GB2312" w:eastAsia="仿宋_GB2312"/>
          <w:color w:val="auto"/>
          <w:sz w:val="32"/>
          <w:szCs w:val="32"/>
          <w:u w:val="none"/>
        </w:rPr>
        <w:t>单位窗口领导参加值周每月</w:t>
      </w:r>
      <w:r>
        <w:rPr>
          <w:rFonts w:ascii="仿宋_GB2312" w:eastAsia="仿宋_GB2312"/>
          <w:color w:val="auto"/>
          <w:sz w:val="32"/>
          <w:szCs w:val="32"/>
          <w:u w:val="none"/>
        </w:rPr>
        <w:t>8</w:t>
      </w:r>
      <w:r>
        <w:rPr>
          <w:rFonts w:hint="eastAsia" w:ascii="仿宋_GB2312" w:eastAsia="仿宋_GB2312"/>
          <w:color w:val="auto"/>
          <w:sz w:val="32"/>
          <w:szCs w:val="32"/>
          <w:u w:val="none"/>
        </w:rPr>
        <w:t>次，缺少一次扣</w:t>
      </w:r>
      <w:r>
        <w:rPr>
          <w:rFonts w:ascii="仿宋_GB2312" w:eastAsia="仿宋_GB2312"/>
          <w:color w:val="auto"/>
          <w:sz w:val="32"/>
          <w:szCs w:val="32"/>
          <w:u w:val="none"/>
        </w:rPr>
        <w:t>0.5</w:t>
      </w:r>
      <w:r>
        <w:rPr>
          <w:rFonts w:hint="eastAsia" w:ascii="仿宋_GB2312" w:eastAsia="仿宋_GB2312"/>
          <w:color w:val="auto"/>
          <w:sz w:val="32"/>
          <w:szCs w:val="32"/>
          <w:u w:val="none"/>
        </w:rPr>
        <w:t>分。</w:t>
      </w:r>
    </w:p>
    <w:p>
      <w:pPr>
        <w:widowControl w:val="0"/>
        <w:wordWrap/>
        <w:adjustRightInd/>
        <w:snapToGrid/>
        <w:spacing w:before="0" w:after="0" w:line="540" w:lineRule="exact"/>
        <w:ind w:left="0" w:leftChars="0" w:firstLine="640" w:firstLineChars="200"/>
        <w:textAlignment w:val="auto"/>
        <w:rPr>
          <w:rFonts w:hint="eastAsia" w:ascii="仿宋_GB2312" w:eastAsia="仿宋_GB2312"/>
          <w:color w:val="auto"/>
          <w:sz w:val="32"/>
          <w:szCs w:val="32"/>
          <w:u w:val="none"/>
        </w:rPr>
      </w:pPr>
      <w:r>
        <w:rPr>
          <w:rFonts w:hint="eastAsia" w:ascii="仿宋_GB2312" w:eastAsia="仿宋_GB2312"/>
          <w:color w:val="auto"/>
          <w:sz w:val="32"/>
          <w:szCs w:val="32"/>
          <w:u w:val="none"/>
        </w:rPr>
        <w:t>6</w:t>
      </w:r>
      <w:r>
        <w:rPr>
          <w:rFonts w:ascii="仿宋_GB2312" w:eastAsia="仿宋_GB2312"/>
          <w:color w:val="auto"/>
          <w:sz w:val="32"/>
          <w:szCs w:val="32"/>
          <w:u w:val="none"/>
        </w:rPr>
        <w:t>.</w:t>
      </w:r>
      <w:r>
        <w:rPr>
          <w:rFonts w:hint="eastAsia" w:ascii="仿宋_GB2312" w:eastAsia="仿宋_GB2312"/>
          <w:color w:val="auto"/>
          <w:sz w:val="32"/>
          <w:szCs w:val="32"/>
          <w:u w:val="none"/>
        </w:rPr>
        <w:t>政府门户网站、</w:t>
      </w:r>
      <w:r>
        <w:rPr>
          <w:rFonts w:ascii="仿宋_GB2312" w:eastAsia="仿宋_GB2312"/>
          <w:color w:val="auto"/>
          <w:sz w:val="32"/>
          <w:szCs w:val="32"/>
          <w:u w:val="none"/>
        </w:rPr>
        <w:t>12345</w:t>
      </w:r>
      <w:r>
        <w:rPr>
          <w:rFonts w:hint="eastAsia" w:ascii="仿宋_GB2312" w:eastAsia="仿宋_GB2312"/>
          <w:color w:val="auto"/>
          <w:sz w:val="32"/>
          <w:szCs w:val="32"/>
          <w:u w:val="none"/>
        </w:rPr>
        <w:t>热线、热门网站、大厅现场群众投诉，经查实的，每件扣1分；办理回复不及时的，每件扣1分。</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7</w:t>
      </w:r>
      <w:r>
        <w:rPr>
          <w:rFonts w:ascii="仿宋_GB2312" w:eastAsia="仿宋_GB2312"/>
          <w:color w:val="auto"/>
          <w:sz w:val="32"/>
          <w:szCs w:val="32"/>
          <w:u w:val="none"/>
        </w:rPr>
        <w:t>.</w:t>
      </w:r>
      <w:r>
        <w:rPr>
          <w:rFonts w:hint="eastAsia" w:ascii="仿宋_GB2312" w:eastAsia="仿宋_GB2312"/>
          <w:color w:val="auto"/>
          <w:sz w:val="32"/>
          <w:szCs w:val="32"/>
          <w:u w:val="none"/>
        </w:rPr>
        <w:t>服务窗口不开评价器，不提供评价服务的，每次扣</w:t>
      </w:r>
      <w:r>
        <w:rPr>
          <w:rFonts w:ascii="仿宋_GB2312" w:eastAsia="仿宋_GB2312"/>
          <w:color w:val="auto"/>
          <w:sz w:val="32"/>
          <w:szCs w:val="32"/>
          <w:u w:val="none"/>
        </w:rPr>
        <w:t>0.5</w:t>
      </w:r>
      <w:r>
        <w:rPr>
          <w:rFonts w:hint="eastAsia" w:ascii="仿宋_GB2312" w:eastAsia="仿宋_GB2312"/>
          <w:color w:val="auto"/>
          <w:sz w:val="32"/>
          <w:szCs w:val="32"/>
          <w:u w:val="none"/>
        </w:rPr>
        <w:t>分；满意评价次数与办件量明显不一致的，扣2分。</w:t>
      </w:r>
    </w:p>
    <w:p>
      <w:pPr>
        <w:widowControl w:val="0"/>
        <w:wordWrap/>
        <w:adjustRightInd/>
        <w:snapToGrid/>
        <w:spacing w:before="0" w:after="0" w:line="540" w:lineRule="exact"/>
        <w:ind w:left="0" w:leftChars="0" w:firstLine="640" w:firstLineChars="200"/>
        <w:textAlignment w:val="auto"/>
        <w:rPr>
          <w:rFonts w:ascii="仿宋_GB2312" w:eastAsia="仿宋_GB2312"/>
          <w:color w:val="auto"/>
          <w:sz w:val="32"/>
          <w:szCs w:val="32"/>
          <w:u w:val="none"/>
        </w:rPr>
      </w:pPr>
      <w:r>
        <w:rPr>
          <w:rFonts w:hint="eastAsia" w:ascii="仿宋_GB2312" w:eastAsia="仿宋_GB2312"/>
          <w:color w:val="auto"/>
          <w:sz w:val="32"/>
          <w:szCs w:val="32"/>
          <w:u w:val="none"/>
        </w:rPr>
        <w:t>8</w:t>
      </w:r>
      <w:r>
        <w:rPr>
          <w:rFonts w:ascii="仿宋_GB2312" w:eastAsia="仿宋_GB2312"/>
          <w:color w:val="auto"/>
          <w:sz w:val="32"/>
          <w:szCs w:val="32"/>
          <w:u w:val="none"/>
        </w:rPr>
        <w:t>.</w:t>
      </w:r>
      <w:r>
        <w:rPr>
          <w:rFonts w:hint="eastAsia" w:ascii="仿宋_GB2312" w:eastAsia="仿宋_GB2312"/>
          <w:color w:val="auto"/>
          <w:sz w:val="32"/>
          <w:szCs w:val="32"/>
          <w:u w:val="none"/>
        </w:rPr>
        <w:t>单位窗口有工作人员被新闻媒体批评曝光或在各级明查暗访中发现单位窗口工作人员有严重违规现象的，顶格扣分，取消单位窗口当年评先资格。</w:t>
      </w:r>
    </w:p>
    <w:p>
      <w:pPr>
        <w:widowControl w:val="0"/>
        <w:wordWrap/>
        <w:adjustRightInd/>
        <w:snapToGrid/>
        <w:spacing w:before="0" w:after="0" w:line="540" w:lineRule="exact"/>
        <w:ind w:left="0" w:leftChars="0" w:firstLine="480" w:firstLineChars="150"/>
        <w:textAlignment w:val="auto"/>
        <w:rPr>
          <w:rFonts w:hint="eastAsia" w:ascii="楷体_GB2312" w:hAnsi="楷体" w:eastAsia="楷体_GB2312"/>
          <w:b w:val="0"/>
          <w:bCs/>
          <w:color w:val="auto"/>
          <w:sz w:val="32"/>
          <w:szCs w:val="32"/>
          <w:u w:val="none"/>
        </w:rPr>
      </w:pPr>
      <w:r>
        <w:rPr>
          <w:rFonts w:hint="eastAsia" w:ascii="楷体_GB2312" w:hAnsi="楷体" w:eastAsia="楷体_GB2312"/>
          <w:b w:val="0"/>
          <w:bCs/>
          <w:color w:val="auto"/>
          <w:sz w:val="32"/>
          <w:szCs w:val="32"/>
          <w:u w:val="none"/>
        </w:rPr>
        <w:t>（五）党建精神文明平安建设、信息宣传（10分）</w:t>
      </w:r>
    </w:p>
    <w:p>
      <w:pPr>
        <w:widowControl w:val="0"/>
        <w:wordWrap/>
        <w:adjustRightInd/>
        <w:snapToGrid/>
        <w:spacing w:before="0" w:after="0" w:line="540" w:lineRule="exact"/>
        <w:ind w:left="0" w:leftChars="0" w:firstLine="640" w:firstLineChars="200"/>
        <w:textAlignment w:val="auto"/>
        <w:rPr>
          <w:rFonts w:hint="eastAsia" w:ascii="仿宋_GB2312" w:hAnsi="仿宋" w:eastAsia="仿宋_GB2312"/>
          <w:color w:val="auto"/>
          <w:sz w:val="32"/>
          <w:szCs w:val="32"/>
          <w:u w:val="none"/>
        </w:rPr>
      </w:pPr>
      <w:r>
        <w:rPr>
          <w:rFonts w:hint="eastAsia" w:ascii="仿宋_GB2312" w:hAnsi="黑体" w:eastAsia="仿宋_GB2312"/>
          <w:color w:val="auto"/>
          <w:sz w:val="32"/>
          <w:szCs w:val="32"/>
          <w:u w:val="none"/>
        </w:rPr>
        <w:t>党建、精神文明和平安建设基础分为2分，每项可加分1分，满分3分，信息宣传满分1分，考</w:t>
      </w:r>
      <w:r>
        <w:rPr>
          <w:rFonts w:hint="eastAsia" w:ascii="仿宋_GB2312" w:hAnsi="仿宋" w:eastAsia="仿宋_GB2312"/>
          <w:color w:val="auto"/>
          <w:sz w:val="32"/>
          <w:szCs w:val="32"/>
          <w:u w:val="none"/>
        </w:rPr>
        <w:t>评由管理区和党办、综合科分工负责。每月末，</w:t>
      </w:r>
      <w:r>
        <w:rPr>
          <w:rFonts w:hint="eastAsia" w:ascii="仿宋_GB2312" w:hAnsi="黑体" w:eastAsia="仿宋_GB2312"/>
          <w:color w:val="auto"/>
          <w:sz w:val="32"/>
          <w:szCs w:val="32"/>
          <w:u w:val="none"/>
        </w:rPr>
        <w:t>市直入驻中心各窗口（审批办）</w:t>
      </w:r>
      <w:r>
        <w:rPr>
          <w:rFonts w:hint="eastAsia" w:ascii="仿宋_GB2312" w:hAnsi="仿宋" w:eastAsia="仿宋_GB2312"/>
          <w:color w:val="auto"/>
          <w:sz w:val="32"/>
          <w:szCs w:val="32"/>
          <w:u w:val="none"/>
        </w:rPr>
        <w:t>将自评表及加分事项的相关佐证材料（图片资料需在图片下方附文字说明）报所在管理区，对需提供佐证材料的加分事项，若无法及时提供佐证的不加分，逾期不予受理。各管理区审核评分后，于次月2日前（节假日顺延1天）将考评汇总表纸质材料（需经管理区负责人审签）及电子版反馈到相关科室（党建、精神文明报党办，平安建设材料报综合科）。</w:t>
      </w:r>
    </w:p>
    <w:p>
      <w:pPr>
        <w:widowControl w:val="0"/>
        <w:wordWrap/>
        <w:adjustRightInd/>
        <w:snapToGrid/>
        <w:spacing w:before="0" w:after="0" w:line="540" w:lineRule="exact"/>
        <w:ind w:left="0" w:leftChars="0" w:firstLine="640" w:firstLineChars="200"/>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1.常态化工作基础分各为2分。</w:t>
      </w:r>
    </w:p>
    <w:p>
      <w:pPr>
        <w:widowControl w:val="0"/>
        <w:wordWrap/>
        <w:adjustRightInd/>
        <w:snapToGrid/>
        <w:spacing w:before="0" w:after="0" w:line="540" w:lineRule="exact"/>
        <w:ind w:left="0" w:leftChars="0" w:firstLine="640" w:firstLineChars="200"/>
        <w:textAlignment w:val="auto"/>
        <w:rPr>
          <w:rFonts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能按市行政服务中心管委会工作总体安排，较好地完成党的</w:t>
      </w:r>
      <w:r>
        <w:rPr>
          <w:rFonts w:hint="eastAsia" w:ascii="仿宋_GB2312" w:hAnsi="仿宋" w:eastAsia="仿宋_GB2312"/>
          <w:b w:val="0"/>
          <w:bCs/>
          <w:color w:val="auto"/>
          <w:spacing w:val="-6"/>
          <w:sz w:val="32"/>
          <w:szCs w:val="32"/>
          <w:u w:val="none"/>
        </w:rPr>
        <w:t>建设、精神文明和平安建设等常态化工作，每项分别得基础分2分。</w:t>
      </w:r>
    </w:p>
    <w:p>
      <w:pPr>
        <w:widowControl w:val="0"/>
        <w:wordWrap/>
        <w:adjustRightInd/>
        <w:snapToGrid/>
        <w:spacing w:before="0" w:after="0" w:line="540" w:lineRule="exact"/>
        <w:ind w:left="0" w:leftChars="0" w:firstLine="640" w:firstLineChars="200"/>
        <w:textAlignment w:val="auto"/>
        <w:rPr>
          <w:rFonts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2.党的建设加分项，加满1分为止。</w:t>
      </w:r>
    </w:p>
    <w:p>
      <w:pPr>
        <w:widowControl w:val="0"/>
        <w:wordWrap/>
        <w:adjustRightInd/>
        <w:snapToGrid/>
        <w:spacing w:before="0" w:after="0" w:line="540" w:lineRule="exact"/>
        <w:ind w:left="0" w:leftChars="0" w:firstLine="640" w:firstLineChars="200"/>
        <w:textAlignment w:val="auto"/>
        <w:rPr>
          <w:rFonts w:ascii="仿宋_GB2312" w:hAnsi="仿宋" w:eastAsia="仿宋_GB2312"/>
          <w:color w:val="auto"/>
          <w:sz w:val="32"/>
          <w:szCs w:val="32"/>
          <w:u w:val="none"/>
        </w:rPr>
      </w:pPr>
      <w:r>
        <w:rPr>
          <w:rFonts w:hint="eastAsia" w:ascii="仿宋_GB2312" w:hAnsi="仿宋" w:eastAsia="仿宋_GB2312"/>
          <w:b w:val="0"/>
          <w:bCs/>
          <w:color w:val="auto"/>
          <w:sz w:val="32"/>
          <w:szCs w:val="32"/>
          <w:u w:val="none"/>
        </w:rPr>
        <w:t>（1）较好地完成机关党委和党支部安排的非全员参与的活</w:t>
      </w:r>
      <w:r>
        <w:rPr>
          <w:rFonts w:hint="eastAsia" w:ascii="仿宋_GB2312" w:hAnsi="仿宋" w:eastAsia="仿宋_GB2312"/>
          <w:color w:val="auto"/>
          <w:sz w:val="32"/>
          <w:szCs w:val="32"/>
          <w:u w:val="none"/>
        </w:rPr>
        <w:t>动，每次加0.5分。</w:t>
      </w:r>
    </w:p>
    <w:p>
      <w:pPr>
        <w:widowControl w:val="0"/>
        <w:wordWrap/>
        <w:adjustRightInd/>
        <w:snapToGrid/>
        <w:spacing w:before="0" w:after="0" w:line="540" w:lineRule="exact"/>
        <w:ind w:left="0" w:leftChars="0" w:firstLine="640" w:firstLineChars="200"/>
        <w:textAlignment w:val="auto"/>
        <w:rPr>
          <w:rFonts w:ascii="仿宋_GB2312" w:hAnsi="仿宋" w:eastAsia="仿宋_GB2312"/>
          <w:color w:val="auto"/>
          <w:sz w:val="32"/>
          <w:szCs w:val="32"/>
          <w:u w:val="none"/>
        </w:rPr>
      </w:pPr>
      <w:r>
        <w:rPr>
          <w:rFonts w:hint="eastAsia" w:ascii="仿宋_GB2312" w:hAnsi="仿宋" w:eastAsia="仿宋_GB2312"/>
          <w:color w:val="auto"/>
          <w:sz w:val="32"/>
          <w:szCs w:val="32"/>
          <w:u w:val="none"/>
        </w:rPr>
        <w:t>（2）扎实开展“服务我用心满意在中心”品牌创建活动，窗口党建创新工作做法对中心品牌创建有贡献、党员在工作日发挥先锋模范作用受好评及被表彰或工作日之外参加志愿服务活动的，每次加0.5分（需提供图文佐证）。</w:t>
      </w:r>
    </w:p>
    <w:p>
      <w:pPr>
        <w:widowControl w:val="0"/>
        <w:wordWrap/>
        <w:adjustRightInd/>
        <w:snapToGrid/>
        <w:spacing w:before="0" w:after="0" w:line="540" w:lineRule="exact"/>
        <w:ind w:left="0" w:leftChars="0" w:firstLine="596" w:firstLineChars="200"/>
        <w:textAlignment w:val="auto"/>
        <w:rPr>
          <w:rFonts w:ascii="仿宋_GB2312" w:hAnsi="仿宋" w:eastAsia="仿宋_GB2312"/>
          <w:b w:val="0"/>
          <w:bCs/>
          <w:color w:val="auto"/>
          <w:spacing w:val="-11"/>
          <w:sz w:val="32"/>
          <w:szCs w:val="32"/>
          <w:u w:val="none"/>
        </w:rPr>
      </w:pPr>
      <w:r>
        <w:rPr>
          <w:rFonts w:hint="eastAsia" w:ascii="仿宋_GB2312" w:hAnsi="仿宋" w:eastAsia="仿宋_GB2312"/>
          <w:b w:val="0"/>
          <w:bCs/>
          <w:color w:val="auto"/>
          <w:spacing w:val="-11"/>
          <w:sz w:val="32"/>
          <w:szCs w:val="32"/>
          <w:u w:val="none"/>
          <w:lang w:val="en-US" w:eastAsia="zh-CN"/>
        </w:rPr>
        <w:t>3.</w:t>
      </w:r>
      <w:r>
        <w:rPr>
          <w:rFonts w:hint="eastAsia" w:ascii="仿宋_GB2312" w:hAnsi="仿宋" w:eastAsia="仿宋_GB2312"/>
          <w:b w:val="0"/>
          <w:bCs/>
          <w:color w:val="auto"/>
          <w:spacing w:val="-11"/>
          <w:sz w:val="32"/>
          <w:szCs w:val="32"/>
          <w:u w:val="none"/>
        </w:rPr>
        <w:t>精神文明建设加分项，加满1分为止。</w:t>
      </w:r>
    </w:p>
    <w:p>
      <w:pPr>
        <w:widowControl w:val="0"/>
        <w:wordWrap/>
        <w:adjustRightInd/>
        <w:snapToGrid/>
        <w:spacing w:before="0" w:after="0" w:line="540" w:lineRule="exact"/>
        <w:ind w:left="0" w:leftChars="0" w:firstLine="640" w:firstLineChars="200"/>
        <w:textAlignment w:val="auto"/>
        <w:rPr>
          <w:rFonts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（1）积极践行社会主义核心价值观，展示良好精神风貌，有好人好事的（需提供图文佐证），每件加0.5分。</w:t>
      </w:r>
    </w:p>
    <w:p>
      <w:pPr>
        <w:widowControl w:val="0"/>
        <w:wordWrap/>
        <w:adjustRightInd/>
        <w:snapToGrid/>
        <w:spacing w:before="0" w:after="0" w:line="540" w:lineRule="exact"/>
        <w:ind w:left="0" w:leftChars="0" w:firstLine="640" w:firstLineChars="200"/>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（2）积极参与“我们的节日”主题活动和与中心有关的志愿服务活动的（需提供图文佐证），每次加0.5分。</w:t>
      </w:r>
    </w:p>
    <w:p>
      <w:pPr>
        <w:widowControl w:val="0"/>
        <w:wordWrap/>
        <w:adjustRightInd/>
        <w:snapToGrid/>
        <w:spacing w:before="0" w:after="0" w:line="540" w:lineRule="exact"/>
        <w:ind w:left="0" w:leftChars="0" w:firstLine="616" w:firstLineChars="200"/>
        <w:textAlignment w:val="auto"/>
        <w:rPr>
          <w:rFonts w:hint="eastAsia" w:ascii="仿宋_GB2312" w:eastAsia="仿宋_GB2312"/>
          <w:b w:val="0"/>
          <w:bCs/>
          <w:color w:val="auto"/>
          <w:spacing w:val="-6"/>
          <w:sz w:val="32"/>
          <w:szCs w:val="32"/>
          <w:u w:val="none"/>
        </w:rPr>
      </w:pPr>
      <w:r>
        <w:rPr>
          <w:rFonts w:hint="eastAsia" w:ascii="仿宋_GB2312" w:eastAsia="仿宋_GB2312"/>
          <w:b w:val="0"/>
          <w:bCs/>
          <w:color w:val="auto"/>
          <w:spacing w:val="-6"/>
          <w:sz w:val="32"/>
          <w:szCs w:val="32"/>
          <w:u w:val="none"/>
        </w:rPr>
        <w:t>（3）窗口文明创建网格化管理，月抽查符合规范的加0.5分。</w:t>
      </w:r>
    </w:p>
    <w:p>
      <w:pPr>
        <w:widowControl w:val="0"/>
        <w:wordWrap/>
        <w:adjustRightInd/>
        <w:snapToGrid/>
        <w:spacing w:before="0" w:after="0" w:line="540" w:lineRule="exact"/>
        <w:ind w:left="0" w:leftChars="0" w:firstLine="596" w:firstLineChars="200"/>
        <w:textAlignment w:val="auto"/>
        <w:rPr>
          <w:rFonts w:ascii="仿宋_GB2312" w:hAnsi="仿宋" w:eastAsia="仿宋_GB2312"/>
          <w:b w:val="0"/>
          <w:bCs/>
          <w:color w:val="auto"/>
          <w:spacing w:val="-11"/>
          <w:sz w:val="32"/>
          <w:szCs w:val="32"/>
          <w:u w:val="none"/>
        </w:rPr>
      </w:pPr>
      <w:r>
        <w:rPr>
          <w:rFonts w:hint="eastAsia" w:ascii="仿宋_GB2312" w:hAnsi="仿宋" w:eastAsia="仿宋_GB2312"/>
          <w:b w:val="0"/>
          <w:bCs/>
          <w:color w:val="auto"/>
          <w:spacing w:val="-11"/>
          <w:sz w:val="32"/>
          <w:szCs w:val="32"/>
          <w:u w:val="none"/>
          <w:lang w:val="en-US" w:eastAsia="zh-CN"/>
        </w:rPr>
        <w:t>4.</w:t>
      </w:r>
      <w:r>
        <w:rPr>
          <w:rFonts w:hint="eastAsia" w:ascii="仿宋_GB2312" w:hAnsi="仿宋" w:eastAsia="仿宋_GB2312"/>
          <w:b w:val="0"/>
          <w:bCs/>
          <w:color w:val="auto"/>
          <w:spacing w:val="-11"/>
          <w:sz w:val="32"/>
          <w:szCs w:val="32"/>
          <w:u w:val="none"/>
        </w:rPr>
        <w:t>平安建设工作加分项，加满1分为止。</w:t>
      </w:r>
    </w:p>
    <w:p>
      <w:pPr>
        <w:widowControl w:val="0"/>
        <w:wordWrap/>
        <w:adjustRightInd/>
        <w:snapToGrid/>
        <w:spacing w:before="0" w:after="0" w:line="540" w:lineRule="exact"/>
        <w:ind w:left="0" w:leftChars="0" w:firstLine="640" w:firstLineChars="200"/>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积极参与中心平安综治建设，有突出事例。如提供窗口（审批办）调处化解非窗口或审批工作引起的矛盾纠纷案例（需提供佐证材料），每次加0.5分。</w:t>
      </w:r>
    </w:p>
    <w:p>
      <w:pPr>
        <w:widowControl w:val="0"/>
        <w:wordWrap/>
        <w:adjustRightInd/>
        <w:snapToGrid/>
        <w:spacing w:before="0" w:after="0" w:line="540" w:lineRule="exact"/>
        <w:ind w:left="0" w:leftChars="0" w:firstLine="640" w:firstLineChars="200"/>
        <w:textAlignment w:val="auto"/>
        <w:rPr>
          <w:rFonts w:hint="eastAsia" w:ascii="仿宋_GB2312" w:hAnsi="楷体" w:eastAsia="仿宋_GB2312"/>
          <w:b w:val="0"/>
          <w:bCs/>
          <w:color w:val="auto"/>
          <w:sz w:val="32"/>
          <w:szCs w:val="32"/>
          <w:u w:val="none"/>
        </w:rPr>
      </w:pPr>
      <w:r>
        <w:rPr>
          <w:rFonts w:hint="eastAsia" w:ascii="仿宋_GB2312" w:hAnsi="楷体" w:eastAsia="仿宋_GB2312"/>
          <w:b w:val="0"/>
          <w:bCs/>
          <w:color w:val="auto"/>
          <w:sz w:val="32"/>
          <w:szCs w:val="32"/>
          <w:u w:val="none"/>
          <w:lang w:val="en-US" w:eastAsia="zh-CN"/>
        </w:rPr>
        <w:t>5.</w:t>
      </w:r>
      <w:r>
        <w:rPr>
          <w:rFonts w:hint="eastAsia" w:ascii="仿宋_GB2312" w:hAnsi="楷体" w:eastAsia="仿宋_GB2312"/>
          <w:b w:val="0"/>
          <w:bCs/>
          <w:color w:val="auto"/>
          <w:sz w:val="32"/>
          <w:szCs w:val="32"/>
          <w:u w:val="none"/>
        </w:rPr>
        <w:t>信息宣传</w:t>
      </w:r>
      <w:r>
        <w:rPr>
          <w:rFonts w:hint="eastAsia" w:ascii="仿宋_GB2312" w:hAnsi="仿宋" w:eastAsia="仿宋_GB2312"/>
          <w:b w:val="0"/>
          <w:bCs/>
          <w:color w:val="auto"/>
          <w:spacing w:val="-11"/>
          <w:sz w:val="32"/>
          <w:szCs w:val="32"/>
          <w:u w:val="none"/>
        </w:rPr>
        <w:t>加分项，加满1分为止。</w:t>
      </w:r>
    </w:p>
    <w:p>
      <w:pPr>
        <w:widowControl w:val="0"/>
        <w:wordWrap/>
        <w:adjustRightInd/>
        <w:snapToGrid/>
        <w:spacing w:before="0" w:after="0" w:line="540" w:lineRule="exact"/>
        <w:ind w:left="0" w:leftChars="0" w:firstLine="640" w:firstLineChars="200"/>
        <w:jc w:val="left"/>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信息报送和采用情况作为对入驻部门单位月考评的加分项。被市级及以上宣传媒体采用的，加1分；被中心管委会采用的，每条加0.5分，2条以上加1分；有报送未采用的得0.3分，未报送不得分。</w:t>
      </w:r>
    </w:p>
    <w:p>
      <w:pPr>
        <w:widowControl w:val="0"/>
        <w:wordWrap/>
        <w:adjustRightInd/>
        <w:snapToGrid/>
        <w:spacing w:before="0" w:after="0" w:line="540" w:lineRule="exact"/>
        <w:ind w:left="0" w:leftChars="0" w:firstLine="640" w:firstLineChars="200"/>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lang w:val="en-US" w:eastAsia="zh-CN"/>
        </w:rPr>
        <w:t>6</w:t>
      </w:r>
      <w:r>
        <w:rPr>
          <w:rFonts w:hint="eastAsia" w:ascii="仿宋_GB2312" w:hAnsi="仿宋" w:eastAsia="仿宋_GB2312"/>
          <w:b w:val="0"/>
          <w:bCs/>
          <w:color w:val="auto"/>
          <w:sz w:val="32"/>
          <w:szCs w:val="32"/>
          <w:u w:val="none"/>
        </w:rPr>
        <w:t>.在中心管委会日常检查中，发现党建方面存在问题，责任不落实，给予扣分，主要包括以下情形：</w:t>
      </w:r>
    </w:p>
    <w:p>
      <w:pPr>
        <w:widowControl w:val="0"/>
        <w:wordWrap/>
        <w:adjustRightInd/>
        <w:snapToGrid/>
        <w:spacing w:before="0" w:after="0" w:line="540" w:lineRule="exact"/>
        <w:ind w:left="0" w:leftChars="0" w:firstLine="640" w:firstLineChars="200"/>
        <w:jc w:val="left"/>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（1）未按照上级安排参加党员及有关知识培训或考试的，每次扣0.5分。</w:t>
      </w:r>
    </w:p>
    <w:p>
      <w:pPr>
        <w:widowControl w:val="0"/>
        <w:wordWrap/>
        <w:adjustRightInd/>
        <w:snapToGrid/>
        <w:spacing w:before="0" w:after="0" w:line="540" w:lineRule="exact"/>
        <w:ind w:left="0" w:leftChars="0" w:firstLine="640" w:firstLineChars="200"/>
        <w:jc w:val="left"/>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（2）其他未按照党组织要求执行的，每次扣0.5分。</w:t>
      </w:r>
    </w:p>
    <w:p>
      <w:pPr>
        <w:widowControl w:val="0"/>
        <w:wordWrap/>
        <w:adjustRightInd/>
        <w:snapToGrid/>
        <w:spacing w:before="0" w:after="0" w:line="540" w:lineRule="exact"/>
        <w:ind w:left="0" w:leftChars="0" w:firstLine="640" w:firstLineChars="200"/>
        <w:jc w:val="left"/>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lang w:val="en-US" w:eastAsia="zh-CN"/>
        </w:rPr>
        <w:t>7</w:t>
      </w:r>
      <w:r>
        <w:rPr>
          <w:rFonts w:hint="eastAsia" w:ascii="仿宋_GB2312" w:hAnsi="仿宋" w:eastAsia="仿宋_GB2312"/>
          <w:b w:val="0"/>
          <w:bCs/>
          <w:color w:val="auto"/>
          <w:sz w:val="32"/>
          <w:szCs w:val="32"/>
          <w:u w:val="none"/>
        </w:rPr>
        <w:t>.在中心管委会日常检查中，发现精神文明创建方面存在问题，责任不落实，给予扣分，主要包括以下情形：</w:t>
      </w:r>
    </w:p>
    <w:p>
      <w:pPr>
        <w:widowControl w:val="0"/>
        <w:wordWrap/>
        <w:adjustRightInd/>
        <w:snapToGrid/>
        <w:spacing w:before="0" w:after="0" w:line="540" w:lineRule="exact"/>
        <w:ind w:left="0" w:leftChars="0" w:firstLine="640" w:firstLineChars="200"/>
        <w:jc w:val="left"/>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（1）未按照要求参加文明创建活动的，每次扣0.5分。</w:t>
      </w:r>
    </w:p>
    <w:p>
      <w:pPr>
        <w:widowControl w:val="0"/>
        <w:wordWrap/>
        <w:adjustRightInd/>
        <w:snapToGrid/>
        <w:spacing w:before="0" w:after="0" w:line="540" w:lineRule="exact"/>
        <w:ind w:left="0" w:leftChars="0" w:firstLine="640" w:firstLineChars="200"/>
        <w:jc w:val="left"/>
        <w:textAlignment w:val="auto"/>
        <w:rPr>
          <w:rFonts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w:t>
      </w:r>
      <w:r>
        <w:rPr>
          <w:rFonts w:ascii="仿宋_GB2312" w:hAnsi="仿宋" w:eastAsia="仿宋_GB2312"/>
          <w:b w:val="0"/>
          <w:bCs/>
          <w:color w:val="auto"/>
          <w:sz w:val="32"/>
          <w:szCs w:val="32"/>
          <w:u w:val="none"/>
        </w:rPr>
        <w:t>2</w:t>
      </w:r>
      <w:r>
        <w:rPr>
          <w:rFonts w:hint="eastAsia" w:ascii="仿宋_GB2312" w:hAnsi="仿宋" w:eastAsia="仿宋_GB2312"/>
          <w:b w:val="0"/>
          <w:bCs/>
          <w:color w:val="auto"/>
          <w:sz w:val="32"/>
          <w:szCs w:val="32"/>
          <w:u w:val="none"/>
        </w:rPr>
        <w:t>）在中心文明创建责任区内，工作人员存在吸烟、随地吐痰、乱扔杂物废纸、摆放烟缸等行为的，对工作人员所在单位（如工作人员到楼道吸烟）每次扣</w:t>
      </w:r>
      <w:r>
        <w:rPr>
          <w:rFonts w:ascii="仿宋_GB2312" w:hAnsi="仿宋" w:eastAsia="仿宋_GB2312"/>
          <w:b w:val="0"/>
          <w:bCs/>
          <w:color w:val="auto"/>
          <w:sz w:val="32"/>
          <w:szCs w:val="32"/>
          <w:u w:val="none"/>
        </w:rPr>
        <w:t>0.5</w:t>
      </w:r>
      <w:r>
        <w:rPr>
          <w:rFonts w:hint="eastAsia" w:ascii="仿宋_GB2312" w:hAnsi="仿宋" w:eastAsia="仿宋_GB2312"/>
          <w:b w:val="0"/>
          <w:bCs/>
          <w:color w:val="auto"/>
          <w:sz w:val="32"/>
          <w:szCs w:val="32"/>
          <w:u w:val="none"/>
        </w:rPr>
        <w:t>分。</w:t>
      </w:r>
    </w:p>
    <w:p>
      <w:pPr>
        <w:widowControl w:val="0"/>
        <w:wordWrap/>
        <w:adjustRightInd/>
        <w:snapToGrid/>
        <w:spacing w:before="0" w:after="0" w:line="540" w:lineRule="exact"/>
        <w:ind w:left="0" w:leftChars="0" w:firstLine="640" w:firstLineChars="200"/>
        <w:jc w:val="left"/>
        <w:textAlignment w:val="auto"/>
        <w:rPr>
          <w:rFonts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w:t>
      </w:r>
      <w:r>
        <w:rPr>
          <w:rFonts w:ascii="仿宋_GB2312" w:hAnsi="仿宋" w:eastAsia="仿宋_GB2312"/>
          <w:b w:val="0"/>
          <w:bCs/>
          <w:color w:val="auto"/>
          <w:sz w:val="32"/>
          <w:szCs w:val="32"/>
          <w:u w:val="none"/>
        </w:rPr>
        <w:t>3</w:t>
      </w:r>
      <w:r>
        <w:rPr>
          <w:rFonts w:hint="eastAsia" w:ascii="仿宋_GB2312" w:hAnsi="仿宋" w:eastAsia="仿宋_GB2312"/>
          <w:b w:val="0"/>
          <w:bCs/>
          <w:color w:val="auto"/>
          <w:sz w:val="32"/>
          <w:szCs w:val="32"/>
          <w:u w:val="none"/>
        </w:rPr>
        <w:t>）在中心文明创建责任区内，办事群众存在吸烟、乱丢烟头和杂物废纸等行为，责任单位未及时发现、劝阻和清理的，每次扣</w:t>
      </w:r>
      <w:r>
        <w:rPr>
          <w:rFonts w:ascii="仿宋_GB2312" w:hAnsi="仿宋" w:eastAsia="仿宋_GB2312"/>
          <w:b w:val="0"/>
          <w:bCs/>
          <w:color w:val="auto"/>
          <w:sz w:val="32"/>
          <w:szCs w:val="32"/>
          <w:u w:val="none"/>
        </w:rPr>
        <w:t>0.5</w:t>
      </w:r>
      <w:r>
        <w:rPr>
          <w:rFonts w:hint="eastAsia" w:ascii="仿宋_GB2312" w:hAnsi="仿宋" w:eastAsia="仿宋_GB2312"/>
          <w:b w:val="0"/>
          <w:bCs/>
          <w:color w:val="auto"/>
          <w:sz w:val="32"/>
          <w:szCs w:val="32"/>
          <w:u w:val="none"/>
        </w:rPr>
        <w:t>分。</w:t>
      </w:r>
    </w:p>
    <w:p>
      <w:pPr>
        <w:widowControl w:val="0"/>
        <w:wordWrap/>
        <w:adjustRightInd/>
        <w:snapToGrid/>
        <w:spacing w:before="0" w:after="0" w:line="540" w:lineRule="exact"/>
        <w:ind w:left="0" w:leftChars="0" w:firstLine="640" w:firstLineChars="200"/>
        <w:jc w:val="left"/>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（4）在成建制入驻单位文明创建责任区内，发现吸烟、烟头、杂物废纸等影响中心卫生管理要求的，每次扣0.5分。</w:t>
      </w:r>
    </w:p>
    <w:p>
      <w:pPr>
        <w:widowControl w:val="0"/>
        <w:wordWrap/>
        <w:adjustRightInd/>
        <w:snapToGrid/>
        <w:spacing w:before="0" w:after="0" w:line="540" w:lineRule="exact"/>
        <w:ind w:left="0" w:leftChars="0" w:firstLine="640" w:firstLineChars="200"/>
        <w:jc w:val="left"/>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rPr>
        <w:t>（5）其他不文明行为，每次扣0.5分。</w:t>
      </w:r>
    </w:p>
    <w:p>
      <w:pPr>
        <w:widowControl w:val="0"/>
        <w:wordWrap/>
        <w:adjustRightInd/>
        <w:snapToGrid/>
        <w:spacing w:before="0" w:after="0" w:line="540" w:lineRule="exact"/>
        <w:ind w:left="0" w:leftChars="0" w:firstLine="800" w:firstLineChars="250"/>
        <w:jc w:val="left"/>
        <w:textAlignment w:val="auto"/>
        <w:rPr>
          <w:rFonts w:hint="eastAsia" w:ascii="仿宋_GB2312" w:hAnsi="仿宋" w:eastAsia="仿宋_GB2312"/>
          <w:b w:val="0"/>
          <w:bCs/>
          <w:color w:val="auto"/>
          <w:sz w:val="32"/>
          <w:szCs w:val="32"/>
          <w:u w:val="none"/>
        </w:rPr>
      </w:pPr>
      <w:r>
        <w:rPr>
          <w:rFonts w:hint="eastAsia" w:ascii="仿宋_GB2312" w:hAnsi="仿宋" w:eastAsia="仿宋_GB2312"/>
          <w:b w:val="0"/>
          <w:bCs/>
          <w:color w:val="auto"/>
          <w:sz w:val="32"/>
          <w:szCs w:val="32"/>
          <w:u w:val="none"/>
          <w:lang w:val="en-US" w:eastAsia="zh-CN"/>
        </w:rPr>
        <w:t>8.</w:t>
      </w:r>
      <w:r>
        <w:rPr>
          <w:rFonts w:hint="eastAsia" w:ascii="仿宋_GB2312" w:hAnsi="仿宋" w:eastAsia="仿宋_GB2312"/>
          <w:b w:val="0"/>
          <w:bCs/>
          <w:color w:val="auto"/>
          <w:sz w:val="32"/>
          <w:szCs w:val="32"/>
          <w:u w:val="none"/>
        </w:rPr>
        <w:t>在上级部门党建精神文明综治专项检查过程中，被发现存在问题的窗口顶格扣分，并取消当月评优和当年评先资格。</w:t>
      </w:r>
    </w:p>
    <w:p>
      <w:pPr>
        <w:widowControl w:val="0"/>
        <w:wordWrap/>
        <w:adjustRightInd/>
        <w:snapToGrid/>
        <w:spacing w:before="0" w:after="0" w:line="540" w:lineRule="exact"/>
        <w:ind w:left="0" w:leftChars="0" w:firstLine="640" w:firstLineChars="200"/>
        <w:jc w:val="left"/>
        <w:textAlignment w:val="auto"/>
        <w:rPr>
          <w:rFonts w:hint="eastAsia" w:ascii="仿宋_GB2312" w:hAnsi="仿宋" w:eastAsia="仿宋_GB2312"/>
          <w:color w:val="auto"/>
          <w:sz w:val="32"/>
          <w:szCs w:val="32"/>
          <w:u w:val="none"/>
        </w:rPr>
      </w:pPr>
      <w:r>
        <w:rPr>
          <w:rFonts w:hint="eastAsia" w:ascii="仿宋_GB2312" w:hAnsi="仿宋" w:eastAsia="仿宋_GB2312"/>
          <w:b w:val="0"/>
          <w:bCs/>
          <w:color w:val="auto"/>
          <w:sz w:val="32"/>
          <w:szCs w:val="32"/>
          <w:u w:val="none"/>
        </w:rPr>
        <w:t xml:space="preserve"> 根据本项考评结果，综合行为规范考评分及满意度评价，</w:t>
      </w:r>
      <w:r>
        <w:rPr>
          <w:rFonts w:hint="eastAsia" w:ascii="仿宋_GB2312" w:hAnsi="仿宋" w:eastAsia="仿宋_GB2312"/>
          <w:color w:val="auto"/>
          <w:sz w:val="32"/>
          <w:szCs w:val="32"/>
          <w:u w:val="none"/>
        </w:rPr>
        <w:t>授予“文明窗口”荣誉称号。</w:t>
      </w:r>
    </w:p>
    <w:p>
      <w:pPr>
        <w:widowControl w:val="0"/>
        <w:numPr>
          <w:ilvl w:val="0"/>
          <w:numId w:val="5"/>
        </w:numPr>
        <w:wordWrap/>
        <w:adjustRightInd/>
        <w:snapToGrid/>
        <w:spacing w:before="0" w:after="0" w:line="540" w:lineRule="exact"/>
        <w:ind w:left="0" w:leftChars="0" w:firstLine="640" w:firstLineChars="200"/>
        <w:textAlignment w:val="auto"/>
        <w:rPr>
          <w:rFonts w:hint="eastAsia" w:ascii="黑体" w:hAnsi="黑体" w:eastAsia="黑体"/>
          <w:color w:val="auto"/>
          <w:sz w:val="32"/>
          <w:szCs w:val="32"/>
          <w:u w:val="none"/>
        </w:rPr>
      </w:pPr>
      <w:r>
        <w:rPr>
          <w:rFonts w:hint="eastAsia" w:ascii="黑体" w:hAnsi="黑体" w:eastAsia="黑体"/>
          <w:color w:val="auto"/>
          <w:sz w:val="32"/>
          <w:szCs w:val="32"/>
          <w:u w:val="none"/>
        </w:rPr>
        <w:t>“五比五晒”服务对象评议</w:t>
      </w:r>
      <w:r>
        <w:rPr>
          <w:rFonts w:hint="eastAsia" w:ascii="黑体" w:hAnsi="黑体" w:eastAsia="黑体"/>
          <w:color w:val="auto"/>
          <w:sz w:val="32"/>
          <w:szCs w:val="32"/>
          <w:u w:val="none"/>
          <w:lang w:eastAsia="zh-CN"/>
        </w:rPr>
        <w:t>的考评</w:t>
      </w:r>
    </w:p>
    <w:p>
      <w:pPr>
        <w:widowControl w:val="0"/>
        <w:wordWrap/>
        <w:adjustRightInd/>
        <w:snapToGrid/>
        <w:spacing w:before="0" w:after="0" w:line="540" w:lineRule="exact"/>
        <w:ind w:left="0" w:leftChars="0"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黑体" w:eastAsia="仿宋_GB2312"/>
          <w:color w:val="auto"/>
          <w:sz w:val="32"/>
          <w:szCs w:val="32"/>
          <w:u w:val="none"/>
        </w:rPr>
        <w:t>开展线上线下政务服务评议，通过</w:t>
      </w:r>
      <w:r>
        <w:rPr>
          <w:rFonts w:hint="eastAsia" w:ascii="仿宋_GB2312" w:hAnsi="仿宋_GB2312" w:eastAsia="仿宋_GB2312" w:cs="仿宋_GB2312"/>
          <w:color w:val="auto"/>
          <w:sz w:val="32"/>
          <w:szCs w:val="32"/>
          <w:u w:val="none"/>
        </w:rPr>
        <w:t>网上办事大厅、“e三明”12345平台和窗口政务服务评价器，由企业群众在办理各类政务服务的任何办理环节进行在线评价。在所有线下实体窗口配置政务服务“好差评”评价器。同时，在网上办事大厅征求办事意见建议；向人大代表、政协委员发放测评表，及时了解部门单位办事服务态度和效率。</w:t>
      </w:r>
    </w:p>
    <w:p>
      <w:pPr>
        <w:widowControl w:val="0"/>
        <w:wordWrap/>
        <w:adjustRightInd/>
        <w:snapToGrid/>
        <w:spacing w:before="0" w:after="0" w:line="540" w:lineRule="exact"/>
        <w:ind w:left="0" w:leftChars="0"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黑体" w:eastAsia="仿宋_GB2312"/>
          <w:b/>
          <w:color w:val="auto"/>
          <w:sz w:val="32"/>
          <w:szCs w:val="32"/>
          <w:u w:val="none"/>
        </w:rPr>
        <w:t>此项为“五比五晒”考核事项，服务对象评议分为代表（委员）测评；电子评价器现场评价；网办在线评价；12345平台测评；分值依次占比3；3；2；2，结果进行加权平均，按功效系数法计算。</w:t>
      </w:r>
    </w:p>
    <w:p>
      <w:pPr>
        <w:widowControl w:val="0"/>
        <w:wordWrap/>
        <w:adjustRightInd/>
        <w:snapToGrid/>
        <w:spacing w:before="0" w:after="0" w:line="540" w:lineRule="exact"/>
        <w:ind w:left="0" w:leftChars="0"/>
        <w:textAlignment w:val="auto"/>
        <w:rPr>
          <w:rFonts w:hint="eastAsia" w:ascii="黑体" w:hAnsi="黑体" w:eastAsia="黑体" w:cs="黑体"/>
          <w:color w:val="auto"/>
          <w:spacing w:val="10"/>
          <w:szCs w:val="32"/>
          <w:u w:val="none"/>
          <w:lang w:val="en-US" w:eastAsia="zh-CN"/>
        </w:rPr>
      </w:pPr>
    </w:p>
    <w:p>
      <w:pPr>
        <w:rPr>
          <w:color w:val="auto"/>
          <w:u w:val="none"/>
        </w:rPr>
      </w:pPr>
    </w:p>
    <w:p>
      <w:pPr>
        <w:widowControl w:val="0"/>
        <w:wordWrap/>
        <w:adjustRightInd/>
        <w:snapToGrid/>
        <w:spacing w:before="0" w:after="0" w:line="560" w:lineRule="exact"/>
        <w:ind w:left="0" w:leftChars="0" w:right="0"/>
        <w:textAlignment w:val="auto"/>
        <w:outlineLvl w:val="9"/>
        <w:rPr>
          <w:rFonts w:hint="eastAsia" w:ascii="黑体" w:hAnsi="黑体" w:eastAsia="黑体" w:cs="黑体"/>
          <w:color w:val="auto"/>
          <w:spacing w:val="10"/>
          <w:szCs w:val="32"/>
          <w:u w:val="none"/>
          <w:lang w:val="en-US" w:eastAsia="zh-CN"/>
        </w:rPr>
      </w:pPr>
      <w:r>
        <w:rPr>
          <w:rFonts w:hint="eastAsia" w:ascii="黑体" w:hAnsi="黑体" w:eastAsia="黑体" w:cs="黑体"/>
          <w:color w:val="auto"/>
          <w:spacing w:val="10"/>
          <w:szCs w:val="32"/>
          <w:u w:val="none"/>
        </w:rPr>
        <w:t>附件</w:t>
      </w:r>
      <w:r>
        <w:rPr>
          <w:rFonts w:hint="eastAsia" w:ascii="黑体" w:hAnsi="黑体" w:eastAsia="黑体" w:cs="黑体"/>
          <w:color w:val="auto"/>
          <w:spacing w:val="10"/>
          <w:szCs w:val="32"/>
          <w:u w:val="none"/>
          <w:lang w:val="en-US" w:eastAsia="zh-CN"/>
        </w:rPr>
        <w:t>2-7</w:t>
      </w:r>
    </w:p>
    <w:p>
      <w:pPr>
        <w:widowControl w:val="0"/>
        <w:wordWrap/>
        <w:adjustRightInd/>
        <w:snapToGrid/>
        <w:spacing w:before="0" w:after="0" w:line="560" w:lineRule="exact"/>
        <w:ind w:left="0" w:leftChars="0" w:right="0"/>
        <w:jc w:val="center"/>
        <w:textAlignment w:val="auto"/>
        <w:outlineLvl w:val="9"/>
        <w:rPr>
          <w:rFonts w:hint="eastAsia" w:ascii="宋体" w:hAnsi="宋体" w:eastAsia="方正小标宋简体" w:cs="方正小标宋简体"/>
          <w:color w:val="auto"/>
          <w:spacing w:val="10"/>
          <w:sz w:val="44"/>
          <w:szCs w:val="44"/>
          <w:u w:val="none"/>
        </w:rPr>
      </w:pPr>
      <w:r>
        <w:rPr>
          <w:rFonts w:hint="eastAsia" w:ascii="宋体" w:hAnsi="宋体" w:eastAsia="方正小标宋简体" w:cs="方正小标宋简体"/>
          <w:color w:val="auto"/>
          <w:spacing w:val="10"/>
          <w:sz w:val="44"/>
          <w:szCs w:val="44"/>
          <w:u w:val="none"/>
        </w:rPr>
        <w:t>市直单位考评分组</w:t>
      </w:r>
    </w:p>
    <w:p>
      <w:pPr>
        <w:widowControl w:val="0"/>
        <w:wordWrap/>
        <w:adjustRightInd/>
        <w:snapToGrid/>
        <w:spacing w:before="0" w:after="0" w:line="560" w:lineRule="exact"/>
        <w:ind w:left="0" w:leftChars="0" w:right="0"/>
        <w:jc w:val="center"/>
        <w:textAlignment w:val="auto"/>
        <w:outlineLvl w:val="9"/>
        <w:rPr>
          <w:rFonts w:hint="eastAsia" w:ascii="宋体" w:hAnsi="宋体" w:eastAsia="方正小标宋简体" w:cs="方正小标宋简体"/>
          <w:color w:val="auto"/>
          <w:spacing w:val="10"/>
          <w:szCs w:val="32"/>
          <w:u w:val="none"/>
        </w:rPr>
      </w:pPr>
    </w:p>
    <w:p>
      <w:pPr>
        <w:widowControl w:val="0"/>
        <w:wordWrap/>
        <w:adjustRightInd/>
        <w:snapToGrid/>
        <w:spacing w:before="0" w:after="0" w:line="560" w:lineRule="exact"/>
        <w:ind w:left="0" w:leftChars="0" w:right="0" w:firstLine="680" w:firstLineChars="200"/>
        <w:textAlignment w:val="auto"/>
        <w:outlineLvl w:val="9"/>
        <w:rPr>
          <w:rFonts w:hint="eastAsia" w:ascii="宋体" w:hAnsi="宋体" w:cs="仿宋_GB2312"/>
          <w:color w:val="auto"/>
          <w:spacing w:val="10"/>
          <w:szCs w:val="32"/>
          <w:u w:val="none"/>
        </w:rPr>
      </w:pPr>
      <w:r>
        <w:rPr>
          <w:rFonts w:hint="eastAsia" w:ascii="宋体" w:hAnsi="宋体" w:cs="仿宋_GB2312"/>
          <w:color w:val="auto"/>
          <w:spacing w:val="10"/>
          <w:szCs w:val="32"/>
          <w:u w:val="none"/>
        </w:rPr>
        <w:t>综合考虑市直各单位服务经济发展和项目建设职能情况，将</w:t>
      </w:r>
      <w:r>
        <w:rPr>
          <w:rFonts w:hint="eastAsia" w:ascii="宋体" w:hAnsi="宋体" w:eastAsia="宋体" w:cs="宋体"/>
          <w:color w:val="auto"/>
          <w:spacing w:val="10"/>
          <w:szCs w:val="32"/>
          <w:u w:val="none"/>
        </w:rPr>
        <w:t>81</w:t>
      </w:r>
      <w:r>
        <w:rPr>
          <w:rFonts w:hint="eastAsia" w:ascii="宋体" w:hAnsi="宋体" w:cs="仿宋_GB2312"/>
          <w:color w:val="auto"/>
          <w:spacing w:val="10"/>
          <w:szCs w:val="32"/>
          <w:u w:val="none"/>
        </w:rPr>
        <w:t>个单位分为三组进行考评。</w:t>
      </w:r>
    </w:p>
    <w:p>
      <w:pPr>
        <w:widowControl w:val="0"/>
        <w:wordWrap/>
        <w:adjustRightInd/>
        <w:snapToGrid/>
        <w:spacing w:before="0" w:after="0" w:line="560" w:lineRule="exact"/>
        <w:ind w:left="0" w:leftChars="0" w:right="0" w:firstLine="680" w:firstLineChars="200"/>
        <w:textAlignment w:val="auto"/>
        <w:outlineLvl w:val="9"/>
        <w:rPr>
          <w:rFonts w:hint="eastAsia" w:ascii="宋体" w:hAnsi="宋体" w:eastAsia="黑体" w:cs="黑体"/>
          <w:color w:val="auto"/>
          <w:spacing w:val="10"/>
          <w:szCs w:val="32"/>
          <w:u w:val="none"/>
        </w:rPr>
      </w:pPr>
      <w:r>
        <w:rPr>
          <w:rFonts w:hint="eastAsia" w:ascii="宋体" w:hAnsi="宋体" w:eastAsia="黑体" w:cs="黑体"/>
          <w:color w:val="auto"/>
          <w:spacing w:val="10"/>
          <w:szCs w:val="32"/>
          <w:u w:val="none"/>
        </w:rPr>
        <w:t>一、第一组</w:t>
      </w:r>
    </w:p>
    <w:p>
      <w:pPr>
        <w:widowControl w:val="0"/>
        <w:wordWrap/>
        <w:adjustRightInd/>
        <w:snapToGrid/>
        <w:spacing w:before="0" w:after="0" w:line="560" w:lineRule="exact"/>
        <w:ind w:left="0" w:leftChars="0" w:right="0" w:firstLine="680" w:firstLineChars="200"/>
        <w:textAlignment w:val="auto"/>
        <w:outlineLvl w:val="9"/>
        <w:rPr>
          <w:rFonts w:hint="eastAsia" w:ascii="宋体" w:hAnsi="宋体" w:cs="仿宋_GB2312"/>
          <w:color w:val="auto"/>
          <w:spacing w:val="10"/>
          <w:szCs w:val="32"/>
          <w:u w:val="none"/>
        </w:rPr>
      </w:pPr>
      <w:r>
        <w:rPr>
          <w:rFonts w:hint="eastAsia" w:ascii="宋体" w:hAnsi="宋体" w:cs="仿宋_GB2312"/>
          <w:color w:val="auto"/>
          <w:spacing w:val="10"/>
          <w:szCs w:val="32"/>
          <w:u w:val="none"/>
        </w:rPr>
        <w:t>综合经济管理、服务和监管部门（</w:t>
      </w:r>
      <w:r>
        <w:rPr>
          <w:rFonts w:hint="eastAsia" w:ascii="宋体" w:hAnsi="宋体" w:eastAsia="宋体" w:cs="宋体"/>
          <w:color w:val="auto"/>
          <w:spacing w:val="10"/>
          <w:szCs w:val="32"/>
          <w:u w:val="none"/>
        </w:rPr>
        <w:t>42</w:t>
      </w:r>
      <w:r>
        <w:rPr>
          <w:rFonts w:hint="eastAsia" w:ascii="宋体" w:hAnsi="宋体" w:cs="仿宋_GB2312"/>
          <w:color w:val="auto"/>
          <w:spacing w:val="10"/>
          <w:szCs w:val="32"/>
          <w:u w:val="none"/>
        </w:rPr>
        <w:t>个）</w:t>
      </w:r>
      <w:r>
        <w:rPr>
          <w:rFonts w:hint="eastAsia" w:ascii="宋体" w:hAnsi="宋体" w:cs="仿宋_GB2312"/>
          <w:bCs/>
          <w:color w:val="auto"/>
          <w:spacing w:val="10"/>
          <w:szCs w:val="32"/>
          <w:u w:val="none"/>
        </w:rPr>
        <w:t>，包</w:t>
      </w:r>
      <w:r>
        <w:rPr>
          <w:rFonts w:hint="eastAsia" w:ascii="宋体" w:hAnsi="宋体" w:cs="仿宋_GB2312"/>
          <w:color w:val="auto"/>
          <w:spacing w:val="10"/>
          <w:szCs w:val="32"/>
          <w:u w:val="none"/>
        </w:rPr>
        <w:t>括市政府办、市发改委、教育局、科技局、工信局、民族宗教局、民政局、财政局、人社局、自然资源局、生态环境局、住建局、交通运输局、农业农村局、林业局、水利局、商务局、文旅局、卫健委、退役军人局、应急局、审计局、国资委、体育局、统计局、市场监管局、人防办、医保局、城管局、金融监管局、行政服务中心管委会；市地震局、城联社、供销社；市税务局、无线电管理局、三明海关、气象局、邮政管理局、国家统计局三明调查队、人民银行、银保监局。</w:t>
      </w:r>
    </w:p>
    <w:p>
      <w:pPr>
        <w:widowControl w:val="0"/>
        <w:wordWrap/>
        <w:adjustRightInd/>
        <w:snapToGrid/>
        <w:spacing w:before="0" w:after="0" w:line="560" w:lineRule="exact"/>
        <w:ind w:left="0" w:leftChars="0" w:right="0" w:firstLine="680" w:firstLineChars="200"/>
        <w:textAlignment w:val="auto"/>
        <w:outlineLvl w:val="9"/>
        <w:rPr>
          <w:rFonts w:hint="eastAsia" w:ascii="宋体" w:hAnsi="宋体" w:eastAsia="黑体" w:cs="黑体"/>
          <w:color w:val="auto"/>
          <w:spacing w:val="10"/>
          <w:szCs w:val="32"/>
          <w:u w:val="none"/>
        </w:rPr>
      </w:pPr>
      <w:r>
        <w:rPr>
          <w:rFonts w:hint="eastAsia" w:ascii="宋体" w:hAnsi="宋体" w:eastAsia="黑体" w:cs="黑体"/>
          <w:color w:val="auto"/>
          <w:spacing w:val="10"/>
          <w:szCs w:val="32"/>
          <w:u w:val="none"/>
        </w:rPr>
        <w:t>二、第二组</w:t>
      </w:r>
    </w:p>
    <w:p>
      <w:pPr>
        <w:widowControl w:val="0"/>
        <w:wordWrap/>
        <w:adjustRightInd/>
        <w:snapToGrid/>
        <w:spacing w:before="0" w:after="0" w:line="560" w:lineRule="exact"/>
        <w:ind w:left="0" w:leftChars="0" w:right="0" w:firstLine="680" w:firstLineChars="200"/>
        <w:textAlignment w:val="auto"/>
        <w:outlineLvl w:val="9"/>
        <w:rPr>
          <w:rFonts w:hint="eastAsia" w:ascii="宋体" w:hAnsi="宋体" w:cs="仿宋_GB2312"/>
          <w:color w:val="auto"/>
          <w:spacing w:val="10"/>
          <w:szCs w:val="32"/>
          <w:u w:val="none"/>
        </w:rPr>
      </w:pPr>
      <w:r>
        <w:rPr>
          <w:rFonts w:hint="eastAsia" w:ascii="宋体" w:hAnsi="宋体" w:cs="仿宋_GB2312"/>
          <w:color w:val="auto"/>
          <w:spacing w:val="10"/>
          <w:szCs w:val="32"/>
          <w:u w:val="none"/>
        </w:rPr>
        <w:t>党群机构、组织协调和司法部门（</w:t>
      </w:r>
      <w:r>
        <w:rPr>
          <w:rFonts w:hint="eastAsia" w:ascii="宋体" w:hAnsi="宋体" w:eastAsia="宋体" w:cs="宋体"/>
          <w:color w:val="auto"/>
          <w:spacing w:val="10"/>
          <w:szCs w:val="32"/>
          <w:u w:val="none"/>
        </w:rPr>
        <w:t>34</w:t>
      </w:r>
      <w:r>
        <w:rPr>
          <w:rFonts w:hint="eastAsia" w:ascii="宋体" w:hAnsi="宋体" w:cs="仿宋_GB2312"/>
          <w:color w:val="auto"/>
          <w:spacing w:val="10"/>
          <w:szCs w:val="32"/>
          <w:u w:val="none"/>
        </w:rPr>
        <w:t>个）</w:t>
      </w:r>
      <w:r>
        <w:rPr>
          <w:rFonts w:hint="eastAsia" w:ascii="宋体" w:hAnsi="宋体" w:cs="仿宋_GB2312"/>
          <w:bCs/>
          <w:color w:val="auto"/>
          <w:spacing w:val="10"/>
          <w:szCs w:val="32"/>
          <w:u w:val="none"/>
        </w:rPr>
        <w:t>，包括</w:t>
      </w:r>
      <w:r>
        <w:rPr>
          <w:rFonts w:hint="eastAsia" w:ascii="宋体" w:hAnsi="宋体" w:cs="仿宋_GB2312"/>
          <w:color w:val="auto"/>
          <w:spacing w:val="10"/>
          <w:szCs w:val="32"/>
          <w:u w:val="none"/>
        </w:rPr>
        <w:t>市委办（含改革办）、组织部、宣传部（含市委通联站、讲师团）、统战部（含侨联、台联、中华职教社）、政法委、网信办、编办、台港澳办、市直党工委、老干部局、文明办，市人大机关，市政协机关，市中级人民法院、检察院，市公安局、司法局、信访局，市总工会、团市委、妇联、科协、工商联、社科联、文联、残联、贸促会、红十字会、计生协会，市委党校、党史和地方志研究室、档案馆，消防支队、森林消防支队。</w:t>
      </w:r>
    </w:p>
    <w:p>
      <w:pPr>
        <w:widowControl w:val="0"/>
        <w:wordWrap/>
        <w:adjustRightInd/>
        <w:snapToGrid/>
        <w:spacing w:before="0" w:after="0" w:line="560" w:lineRule="exact"/>
        <w:ind w:left="0" w:leftChars="0" w:right="0" w:firstLine="680" w:firstLineChars="200"/>
        <w:textAlignment w:val="auto"/>
        <w:outlineLvl w:val="9"/>
        <w:rPr>
          <w:rFonts w:hint="eastAsia" w:ascii="宋体" w:hAnsi="宋体" w:eastAsia="黑体" w:cs="仿宋_GB2312"/>
          <w:color w:val="auto"/>
          <w:spacing w:val="10"/>
          <w:szCs w:val="32"/>
          <w:u w:val="none"/>
        </w:rPr>
      </w:pPr>
      <w:r>
        <w:rPr>
          <w:rFonts w:hint="eastAsia" w:ascii="宋体" w:hAnsi="宋体" w:eastAsia="黑体" w:cs="仿宋_GB2312"/>
          <w:color w:val="auto"/>
          <w:spacing w:val="10"/>
          <w:szCs w:val="32"/>
          <w:u w:val="none"/>
        </w:rPr>
        <w:t>三、第三组</w:t>
      </w:r>
    </w:p>
    <w:p>
      <w:pPr>
        <w:widowControl w:val="0"/>
        <w:wordWrap/>
        <w:adjustRightInd/>
        <w:snapToGrid/>
        <w:spacing w:before="0" w:after="0" w:line="560" w:lineRule="exact"/>
        <w:ind w:left="0" w:leftChars="0" w:right="0"/>
        <w:textAlignment w:val="auto"/>
        <w:outlineLvl w:val="9"/>
        <w:rPr>
          <w:rFonts w:hint="eastAsia" w:ascii="黑体" w:hAnsi="黑体" w:eastAsia="黑体" w:cs="黑体"/>
          <w:color w:val="auto"/>
          <w:u w:val="none"/>
          <w:lang w:val="en-US" w:eastAsia="zh-CN"/>
        </w:rPr>
      </w:pPr>
      <w:r>
        <w:rPr>
          <w:rFonts w:hint="eastAsia" w:ascii="宋体" w:hAnsi="宋体" w:cs="仿宋_GB2312"/>
          <w:color w:val="auto"/>
          <w:spacing w:val="10"/>
          <w:szCs w:val="32"/>
          <w:u w:val="none"/>
        </w:rPr>
        <w:t>经济开发区与国有企业组（共5个单位），包括海西生态工贸区管委会、三明经济开发区管委会，市城发集团、交发集团、投资集团。</w:t>
      </w:r>
      <w:r>
        <w:rPr>
          <w:rFonts w:hint="eastAsia" w:ascii="宋体" w:hAnsi="宋体" w:cs="仿宋_GB2312"/>
          <w:color w:val="auto"/>
          <w:spacing w:val="10"/>
          <w:szCs w:val="32"/>
          <w:u w:val="none"/>
        </w:rPr>
        <w:br w:type="page"/>
      </w:r>
      <w:r>
        <w:rPr>
          <w:rFonts w:hint="eastAsia" w:ascii="黑体" w:hAnsi="黑体" w:eastAsia="黑体" w:cs="黑体"/>
          <w:color w:val="auto"/>
          <w:u w:val="none"/>
          <w:lang w:eastAsia="zh-CN"/>
        </w:rPr>
        <w:t>附件</w:t>
      </w:r>
      <w:r>
        <w:rPr>
          <w:rFonts w:hint="eastAsia" w:ascii="黑体" w:hAnsi="黑体" w:eastAsia="黑体" w:cs="黑体"/>
          <w:color w:val="auto"/>
          <w:u w:val="none"/>
          <w:lang w:val="en-US" w:eastAsia="zh-CN"/>
        </w:rPr>
        <w:t>2-8</w:t>
      </w:r>
    </w:p>
    <w:p>
      <w:pPr>
        <w:spacing w:beforeLines="100" w:afterLines="100" w:line="580" w:lineRule="exact"/>
        <w:jc w:val="center"/>
        <w:rPr>
          <w:rFonts w:hint="eastAsia" w:ascii="宋体" w:hAnsi="宋体" w:eastAsia="方正小标宋简体" w:cs="方正小标宋简体"/>
          <w:color w:val="auto"/>
          <w:spacing w:val="10"/>
          <w:sz w:val="44"/>
          <w:szCs w:val="44"/>
          <w:u w:val="none"/>
        </w:rPr>
      </w:pPr>
      <w:r>
        <w:rPr>
          <w:rFonts w:hint="eastAsia" w:ascii="宋体" w:hAnsi="宋体" w:eastAsia="方正小标宋简体" w:cs="方正小标宋简体"/>
          <w:color w:val="auto"/>
          <w:spacing w:val="10"/>
          <w:sz w:val="44"/>
          <w:szCs w:val="44"/>
          <w:u w:val="none"/>
        </w:rPr>
        <w:t>市直单位经济指标考评表</w:t>
      </w:r>
    </w:p>
    <w:tbl>
      <w:tblPr>
        <w:tblStyle w:val="5"/>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1"/>
        <w:gridCol w:w="2221"/>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581" w:type="dxa"/>
            <w:vAlign w:val="center"/>
          </w:tcPr>
          <w:p>
            <w:pPr>
              <w:spacing w:line="500" w:lineRule="exact"/>
              <w:jc w:val="center"/>
              <w:rPr>
                <w:rFonts w:hint="eastAsia" w:ascii="宋体" w:hAnsi="宋体" w:eastAsia="黑体"/>
                <w:color w:val="auto"/>
                <w:spacing w:val="10"/>
                <w:sz w:val="30"/>
                <w:szCs w:val="30"/>
                <w:u w:val="none"/>
              </w:rPr>
            </w:pPr>
            <w:r>
              <w:rPr>
                <w:rFonts w:hint="eastAsia" w:ascii="宋体" w:hAnsi="宋体" w:eastAsia="黑体"/>
                <w:color w:val="auto"/>
                <w:spacing w:val="10"/>
                <w:sz w:val="30"/>
                <w:szCs w:val="30"/>
                <w:u w:val="none"/>
              </w:rPr>
              <w:t>指标名称</w:t>
            </w:r>
          </w:p>
        </w:tc>
        <w:tc>
          <w:tcPr>
            <w:tcW w:w="2221" w:type="dxa"/>
            <w:vAlign w:val="center"/>
          </w:tcPr>
          <w:p>
            <w:pPr>
              <w:spacing w:line="500" w:lineRule="exact"/>
              <w:jc w:val="center"/>
              <w:rPr>
                <w:rFonts w:hint="eastAsia" w:ascii="宋体" w:hAnsi="宋体" w:eastAsia="黑体"/>
                <w:color w:val="auto"/>
                <w:spacing w:val="10"/>
                <w:sz w:val="30"/>
                <w:szCs w:val="30"/>
                <w:u w:val="none"/>
              </w:rPr>
            </w:pPr>
            <w:r>
              <w:rPr>
                <w:rFonts w:hint="eastAsia" w:ascii="宋体" w:hAnsi="宋体" w:eastAsia="黑体"/>
                <w:color w:val="auto"/>
                <w:spacing w:val="10"/>
                <w:sz w:val="30"/>
                <w:szCs w:val="30"/>
                <w:u w:val="none"/>
              </w:rPr>
              <w:t>被考评单位</w:t>
            </w:r>
          </w:p>
        </w:tc>
        <w:tc>
          <w:tcPr>
            <w:tcW w:w="2221" w:type="dxa"/>
            <w:vAlign w:val="center"/>
          </w:tcPr>
          <w:p>
            <w:pPr>
              <w:spacing w:line="500" w:lineRule="exact"/>
              <w:jc w:val="center"/>
              <w:rPr>
                <w:rFonts w:hint="eastAsia" w:ascii="宋体" w:hAnsi="宋体" w:eastAsia="黑体"/>
                <w:color w:val="auto"/>
                <w:spacing w:val="10"/>
                <w:sz w:val="30"/>
                <w:szCs w:val="30"/>
                <w:u w:val="none"/>
              </w:rPr>
            </w:pPr>
            <w:r>
              <w:rPr>
                <w:rFonts w:hint="eastAsia" w:ascii="宋体" w:hAnsi="宋体" w:eastAsia="黑体"/>
                <w:color w:val="auto"/>
                <w:spacing w:val="10"/>
                <w:sz w:val="30"/>
                <w:szCs w:val="30"/>
                <w:u w:val="none"/>
              </w:rPr>
              <w:t>考评单位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农林牧渔业总产值</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市农业农村局</w:t>
            </w:r>
          </w:p>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市林业局</w:t>
            </w:r>
          </w:p>
        </w:tc>
        <w:tc>
          <w:tcPr>
            <w:tcW w:w="2221" w:type="dxa"/>
            <w:vMerge w:val="restart"/>
            <w:vAlign w:val="center"/>
          </w:tcPr>
          <w:p>
            <w:pPr>
              <w:spacing w:line="500" w:lineRule="exact"/>
              <w:jc w:val="center"/>
              <w:rPr>
                <w:rFonts w:hint="eastAsia" w:ascii="宋体" w:hAnsi="宋体"/>
                <w:color w:val="auto"/>
                <w:spacing w:val="10"/>
                <w:sz w:val="30"/>
                <w:szCs w:val="30"/>
                <w:u w:val="none"/>
              </w:rPr>
            </w:pPr>
            <w:r>
              <w:rPr>
                <w:rFonts w:hint="eastAsia" w:ascii="宋体" w:hAnsi="宋体" w:cs="宋体"/>
                <w:color w:val="auto"/>
                <w:spacing w:val="10"/>
                <w:sz w:val="30"/>
                <w:szCs w:val="30"/>
                <w:u w:val="none"/>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规模以上工业增加值</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市工信局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建筑业总产值</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市住建局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公路客货运输周转量（1-11月）</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市交通运输局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批发业销售额</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市商务局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零售业销售额</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市商务局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住宿业营业额</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市商务局</w:t>
            </w:r>
          </w:p>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市文旅局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餐饮业营业额</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市商务局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人民币存贷款余额（11月末）</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市人行</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保费收入（1-11月）</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市银保监局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商品房销售面积</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市住建局</w:t>
            </w:r>
          </w:p>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市自然资源局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房地产业从业人员（1-9月）</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市住建局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房地产业工资总额（1-9月）</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市住建局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其他营利性服务业营业收入（1-11月）</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市发改委</w:t>
            </w:r>
          </w:p>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市商务局</w:t>
            </w:r>
          </w:p>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市文旅局</w:t>
            </w:r>
          </w:p>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市国资委</w:t>
            </w:r>
          </w:p>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市体育局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邮政业务总量（1-11月）</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市邮政管理局</w:t>
            </w:r>
          </w:p>
        </w:tc>
        <w:tc>
          <w:tcPr>
            <w:tcW w:w="2221" w:type="dxa"/>
            <w:vMerge w:val="restart"/>
            <w:vAlign w:val="center"/>
          </w:tcPr>
          <w:p>
            <w:pPr>
              <w:spacing w:line="500" w:lineRule="exact"/>
              <w:jc w:val="center"/>
              <w:rPr>
                <w:rFonts w:hint="eastAsia" w:ascii="宋体" w:hAnsi="宋体"/>
                <w:color w:val="auto"/>
                <w:spacing w:val="10"/>
                <w:sz w:val="30"/>
                <w:szCs w:val="30"/>
                <w:u w:val="none"/>
              </w:rPr>
            </w:pPr>
            <w:r>
              <w:rPr>
                <w:rFonts w:hint="eastAsia" w:ascii="宋体" w:hAnsi="宋体" w:cs="宋体"/>
                <w:color w:val="auto"/>
                <w:spacing w:val="10"/>
                <w:sz w:val="30"/>
                <w:szCs w:val="30"/>
                <w:u w:val="none"/>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固定资产投资</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市发改委</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出口总值</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市商务局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实际利用外资（验资口径）</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市商务局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地方一般公共预算收入</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市财政局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城镇居民人均可支配收入</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市发改委</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农村居民人均可支配收入</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市农业农村局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居民消费价格指数（逆指标）</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市发改委</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城镇登记失业率（逆指标）</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市人社局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不良贷款率（逆指标）</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市金融监管局</w:t>
            </w:r>
          </w:p>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市银保监局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主要河流好于Ⅲ类水体比例</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市生态环境局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城市空气质量优良天数比例</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市生态环境局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581" w:type="dxa"/>
            <w:vAlign w:val="center"/>
          </w:tcPr>
          <w:p>
            <w:pPr>
              <w:spacing w:line="500" w:lineRule="exact"/>
              <w:jc w:val="left"/>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地方税收增长率</w:t>
            </w:r>
          </w:p>
        </w:tc>
        <w:tc>
          <w:tcPr>
            <w:tcW w:w="2221" w:type="dxa"/>
            <w:vAlign w:val="center"/>
          </w:tcPr>
          <w:p>
            <w:pPr>
              <w:spacing w:line="500" w:lineRule="exact"/>
              <w:jc w:val="center"/>
              <w:rPr>
                <w:rFonts w:hint="eastAsia" w:ascii="宋体" w:hAnsi="宋体" w:cs="宋体"/>
                <w:color w:val="auto"/>
                <w:spacing w:val="10"/>
                <w:sz w:val="30"/>
                <w:szCs w:val="30"/>
                <w:u w:val="none"/>
              </w:rPr>
            </w:pPr>
            <w:r>
              <w:rPr>
                <w:rFonts w:hint="eastAsia" w:ascii="宋体" w:hAnsi="宋体" w:cs="宋体"/>
                <w:color w:val="auto"/>
                <w:spacing w:val="10"/>
                <w:sz w:val="30"/>
                <w:szCs w:val="30"/>
                <w:u w:val="none"/>
              </w:rPr>
              <w:t>市税务局</w:t>
            </w:r>
          </w:p>
        </w:tc>
        <w:tc>
          <w:tcPr>
            <w:tcW w:w="2221" w:type="dxa"/>
            <w:vMerge w:val="continue"/>
            <w:vAlign w:val="center"/>
          </w:tcPr>
          <w:p>
            <w:pPr>
              <w:spacing w:line="500" w:lineRule="exact"/>
              <w:jc w:val="center"/>
              <w:rPr>
                <w:rFonts w:hint="eastAsia" w:ascii="宋体" w:hAnsi="宋体"/>
                <w:color w:val="auto"/>
                <w:spacing w:val="10"/>
                <w:sz w:val="30"/>
                <w:szCs w:val="30"/>
                <w:u w:val="none"/>
              </w:rPr>
            </w:pPr>
          </w:p>
        </w:tc>
      </w:tr>
    </w:tbl>
    <w:p>
      <w:pPr>
        <w:rPr>
          <w:rFonts w:hint="eastAsia" w:ascii="黑体" w:hAnsi="黑体" w:eastAsia="黑体" w:cs="黑体"/>
          <w:color w:val="auto"/>
          <w:u w:val="none"/>
          <w:lang w:val="en-US" w:eastAsia="zh-CN"/>
        </w:rPr>
      </w:pPr>
    </w:p>
    <w:sectPr>
      <w:pgSz w:w="11906" w:h="16838"/>
      <w:pgMar w:top="2098" w:right="1531" w:bottom="1984" w:left="1531" w:header="851" w:footer="1587" w:gutter="0"/>
      <w:pgNumType w:fmt="decimal"/>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auto"/>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140"/>
        <w:tab w:val="clear" w:pos="8300"/>
      </w:tabs>
    </w:pPr>
    <w:r>
      <w:rPr>
        <w:rFonts w:ascii="Arial Narrow" w:hAnsi="Arial Narrow" w:eastAsia="仿宋_GB2312" w:cs="Times New Roman"/>
        <w:kern w:val="2"/>
        <w:sz w:val="18"/>
        <w:szCs w:val="18"/>
        <w:lang w:val="en-US" w:eastAsia="zh-CN" w:bidi="ar-SA"/>
      </w:rPr>
      <w:pict>
        <v:shape id="文本框7" o:spid="_x0000_s2052" o:spt="202" type="#_x0000_t202" style="position:absolute;left:0pt;margin-top:0pt;height:144pt;width:144pt;mso-position-horizontal:outside;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wordWrap/>
                  <w:adjustRightInd/>
                  <w:snapToGrid w:val="0"/>
                  <w:spacing w:before="0" w:after="0" w:line="560" w:lineRule="atLeast"/>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w:r>
    <w:r>
      <w:rPr>
        <w:rFonts w:ascii="Arial Narrow" w:hAnsi="Arial Narrow" w:eastAsia="仿宋_GB2312" w:cs="Times New Roman"/>
        <w:kern w:val="2"/>
        <w:sz w:val="18"/>
        <w:szCs w:val="18"/>
        <w:lang w:val="en-US" w:eastAsia="zh-CN" w:bidi="ar-SA"/>
      </w:rPr>
      <w:pict>
        <v:rect id="文本框 4" o:spid="_x0000_s2053" o:spt="1" style="position:absolute;left:0pt;height:144pt;width:144pt;mso-position-horizontal:outside;mso-position-horizontal-relative:margin;mso-position-vertical:top;mso-position-vertical-relative:page;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wordWrap/>
                  <w:adjustRightInd/>
                  <w:snapToGrid w:val="0"/>
                  <w:spacing w:before="0" w:after="0" w:line="240" w:lineRule="auto"/>
                  <w:ind w:right="320" w:rightChars="100"/>
                  <w:jc w:val="both"/>
                  <w:textAlignment w:val="auto"/>
                  <w:outlineLvl w:val="9"/>
                  <w:rPr>
                    <w:rFonts w:hint="eastAsia" w:ascii="宋体" w:hAnsi="宋体" w:eastAsia="宋体" w:cs="宋体"/>
                    <w:sz w:val="28"/>
                    <w:szCs w:val="28"/>
                    <w:lang w:eastAsia="zh-CN"/>
                  </w:rPr>
                </w:pPr>
              </w:p>
            </w:txbxContent>
          </v:textbox>
        </v:rect>
      </w:pict>
    </w:r>
    <w:r>
      <w:rPr>
        <w:rFonts w:ascii="Arial Narrow" w:hAnsi="Arial Narrow" w:eastAsia="仿宋_GB2312" w:cs="Times New Roman"/>
        <w:kern w:val="2"/>
        <w:sz w:val="18"/>
        <w:szCs w:val="18"/>
        <w:lang w:val="en-US" w:eastAsia="zh-CN" w:bidi="ar-SA"/>
      </w:rPr>
      <w:pict>
        <v:rect id="文本框 5" o:spid="_x0000_s2054" o:spt="1" style="position:absolute;left:0pt;margin-top:0pt;height:18.15pt;width:42.05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140"/>
        <w:tab w:val="clear" w:pos="8300"/>
      </w:tabs>
    </w:pPr>
    <w:r>
      <w:rPr>
        <w:rFonts w:ascii="Arial Narrow" w:hAnsi="Arial Narrow" w:eastAsia="仿宋_GB2312" w:cs="Times New Roman"/>
        <w:kern w:val="2"/>
        <w:sz w:val="18"/>
        <w:szCs w:val="18"/>
        <w:lang w:val="en-US" w:eastAsia="zh-CN" w:bidi="ar-SA"/>
      </w:rPr>
      <w:pict>
        <v:rect id="文本框 6" o:spid="_x0000_s2055" o:spt="1" style="position:absolute;left:0pt;height:144pt;width:144pt;mso-position-horizontal:outside;mso-position-horizontal-relative:margin;mso-position-vertical:top;mso-position-vertical-relative:page;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widowControl w:val="0"/>
                  <w:tabs>
                    <w:tab w:val="center" w:pos="4153"/>
                    <w:tab w:val="right" w:pos="8306"/>
                    <w:tab w:val="clear" w:pos="4140"/>
                    <w:tab w:val="clear" w:pos="8300"/>
                  </w:tabs>
                  <w:wordWrap/>
                  <w:adjustRightInd/>
                  <w:snapToGrid w:val="0"/>
                  <w:spacing w:before="0" w:after="0" w:line="240" w:lineRule="auto"/>
                  <w:ind w:left="320" w:leftChars="100" w:right="320" w:rightChars="100" w:firstLine="0" w:firstLineChars="0"/>
                  <w:jc w:val="left"/>
                  <w:textAlignment w:val="auto"/>
                  <w:outlineLvl w:val="9"/>
                  <w:rPr>
                    <w:rStyle w:val="8"/>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140"/>
        <w:tab w:val="clear" w:pos="8300"/>
      </w:tabs>
    </w:pPr>
    <w:r>
      <w:rPr>
        <w:rFonts w:ascii="Arial Narrow" w:hAnsi="Arial Narrow" w:eastAsia="仿宋_GB2312" w:cs="Times New Roman"/>
        <w:kern w:val="2"/>
        <w:sz w:val="18"/>
        <w:szCs w:val="18"/>
        <w:lang w:val="en-US" w:eastAsia="zh-CN" w:bidi="ar-SA"/>
      </w:rPr>
      <w:pict>
        <v:shape id="文本框6" o:spid="_x0000_s2049" o:spt="202" type="#_x0000_t202" style="position:absolute;left:0pt;margin-top:0pt;height:144pt;width:144pt;mso-position-horizontal:outside;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r>
      <w:rPr>
        <w:rFonts w:ascii="Arial Narrow" w:hAnsi="Arial Narrow" w:eastAsia="仿宋_GB2312" w:cs="Times New Roman"/>
        <w:kern w:val="2"/>
        <w:sz w:val="18"/>
        <w:szCs w:val="18"/>
        <w:lang w:val="en-US" w:eastAsia="zh-CN" w:bidi="ar-SA"/>
      </w:rPr>
      <w:pict>
        <v:rect id="文本框 1" o:spid="_x0000_s2050" o:spt="1" style="position:absolute;left:0pt;height:144pt;width:144pt;mso-position-horizontal:outside;mso-position-horizontal-relative:margin;mso-position-vertical:top;mso-position-vertical-relative:page;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widowControl w:val="0"/>
                  <w:wordWrap/>
                  <w:adjustRightInd/>
                  <w:snapToGrid w:val="0"/>
                  <w:spacing w:before="0" w:after="0" w:line="240" w:lineRule="auto"/>
                  <w:ind w:right="320" w:rightChars="100"/>
                  <w:jc w:val="both"/>
                  <w:textAlignment w:val="auto"/>
                  <w:outlineLvl w:val="9"/>
                  <w:rPr>
                    <w:rFonts w:hint="eastAsia" w:ascii="宋体" w:hAnsi="宋体" w:eastAsia="宋体" w:cs="宋体"/>
                    <w:sz w:val="28"/>
                    <w:szCs w:val="28"/>
                    <w:lang w:eastAsia="zh-CN"/>
                  </w:rPr>
                </w:pPr>
              </w:p>
            </w:txbxContent>
          </v:textbox>
        </v:rect>
      </w:pict>
    </w:r>
    <w:r>
      <w:rPr>
        <w:rFonts w:ascii="Arial Narrow" w:hAnsi="Arial Narrow" w:eastAsia="仿宋_GB2312" w:cs="Times New Roman"/>
        <w:kern w:val="2"/>
        <w:sz w:val="18"/>
        <w:szCs w:val="18"/>
        <w:lang w:val="en-US" w:eastAsia="zh-CN" w:bidi="ar-SA"/>
      </w:rPr>
      <w:pict>
        <v:rect id="文本框 3" o:spid="_x0000_s2051"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72DBFF"/>
    <w:multiLevelType w:val="singleLevel"/>
    <w:tmpl w:val="CF72DBFF"/>
    <w:lvl w:ilvl="0" w:tentative="0">
      <w:start w:val="2"/>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5E968282"/>
    <w:multiLevelType w:val="singleLevel"/>
    <w:tmpl w:val="5E968282"/>
    <w:lvl w:ilvl="0" w:tentative="0">
      <w:start w:val="2"/>
      <w:numFmt w:val="chineseCounting"/>
      <w:suff w:val="nothing"/>
      <w:lvlText w:val="%1、"/>
      <w:lvlJc w:val="left"/>
    </w:lvl>
  </w:abstractNum>
  <w:abstractNum w:abstractNumId="4">
    <w:nsid w:val="5E96830F"/>
    <w:multiLevelType w:val="singleLevel"/>
    <w:tmpl w:val="5E96830F"/>
    <w:lvl w:ilvl="0" w:tentative="0">
      <w:start w:val="4"/>
      <w:numFmt w:val="chineseCounting"/>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2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F561B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atLeast"/>
      <w:jc w:val="both"/>
    </w:pPr>
    <w:rPr>
      <w:rFonts w:ascii="Arial Narrow" w:hAnsi="Arial Narrow" w:eastAsia="仿宋_GB2312" w:cs="Times New Roman"/>
      <w:kern w:val="2"/>
      <w:sz w:val="32"/>
      <w:szCs w:val="24"/>
      <w:lang w:val="en-US" w:eastAsia="zh-CN" w:bidi="ar-SA"/>
    </w:rPr>
  </w:style>
  <w:style w:type="character" w:default="1" w:styleId="6">
    <w:name w:val="Default Paragraph Font"/>
    <w:link w:val="7"/>
    <w:semiHidden/>
    <w:uiPriority w:val="0"/>
    <w:rPr>
      <w:rFonts w:ascii="Tahoma" w:hAnsi="Tahoma" w:eastAsia="宋体" w:cs="宋体"/>
      <w:sz w:val="24"/>
      <w:szCs w:val="31"/>
    </w:rPr>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line="240" w:lineRule="atLeast"/>
      <w:jc w:val="left"/>
    </w:pPr>
    <w:rPr>
      <w:rFonts w:ascii="Arial Narrow" w:hAnsi="Arial Narrow" w:eastAsia="仿宋_GB2312" w:cs="Times New Roman"/>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rFonts w:ascii="Calibri" w:hAnsi="Calibri" w:eastAsia="宋体" w:cs="Times New Roman"/>
      <w:sz w:val="18"/>
      <w:szCs w:val="18"/>
    </w:rPr>
  </w:style>
  <w:style w:type="paragraph" w:styleId="4">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paragraph" w:customStyle="1" w:styleId="7">
    <w:name w:val="Char Char Char Char Char Char Char Char Char Char"/>
    <w:basedOn w:val="1"/>
    <w:link w:val="6"/>
    <w:qFormat/>
    <w:uiPriority w:val="0"/>
    <w:pPr>
      <w:spacing w:line="240" w:lineRule="auto"/>
    </w:pPr>
    <w:rPr>
      <w:rFonts w:ascii="Tahoma" w:hAnsi="Tahoma" w:eastAsia="宋体" w:cs="宋体"/>
      <w:sz w:val="24"/>
      <w:szCs w:val="31"/>
    </w:rPr>
  </w:style>
  <w:style w:type="character" w:styleId="8">
    <w:name w:val="page number"/>
    <w:basedOn w:val="6"/>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2" textRotate="1"/>
    <customShpInfo spid="_x0000_s2053"/>
    <customShpInfo spid="_x0000_s2054"/>
    <customShpInfo spid="_x0000_s2055"/>
    <customShpInfo spid="_x0000_s2049"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2020-09-04T07:14:00Z</dcterms:created>
  <dc:creator>owwen@163.com</dc:creator>
  <cp:lastModifiedBy>owwen@163.com</cp:lastModifiedBy>
  <cp:lastPrinted>2020-09-07T02:13:00Z</cp:lastPrinted>
  <dcterms:modified xsi:type="dcterms:W3CDTF">2020-09-10T09:08:41Z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