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631部门整体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13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一般性支出情况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1、一般性支出情况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1)“三公”经费控制率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2)“三公”经费违规使用次数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3)会议费、差旅费超标准使用次数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1)资金实际支出率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1)在职人员控制率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89.05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2)“三公经费”控制率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3)公用经费控制率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1)财政支出项目完成率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1)全市林业产业总产值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亿元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1377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1454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1)林业有害生物成灾率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3.56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2.84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1)全市造林绿化面积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15.12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(五)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1)目标群体满意度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