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exact"/>
        <w:ind w:right="-14"/>
        <w:jc w:val="center"/>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中国人民银行</w:t>
      </w:r>
      <w:r>
        <w:rPr>
          <w:rFonts w:hint="eastAsia" w:ascii="方正小标宋简体" w:eastAsia="方正小标宋简体"/>
          <w:sz w:val="44"/>
          <w:szCs w:val="44"/>
          <w:highlight w:val="none"/>
          <w:lang w:eastAsia="zh-CN"/>
        </w:rPr>
        <w:t>三明市分行</w:t>
      </w:r>
      <w:r>
        <w:rPr>
          <w:rFonts w:hint="eastAsia" w:ascii="方正小标宋简体" w:eastAsia="方正小标宋简体"/>
          <w:sz w:val="44"/>
          <w:szCs w:val="44"/>
          <w:highlight w:val="none"/>
        </w:rPr>
        <w:t>国库</w:t>
      </w:r>
    </w:p>
    <w:p>
      <w:pPr>
        <w:spacing w:line="720" w:lineRule="exact"/>
        <w:ind w:right="-14"/>
        <w:jc w:val="center"/>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集中收付代理银行资格认定</w:t>
      </w:r>
    </w:p>
    <w:p>
      <w:pPr>
        <w:spacing w:line="720" w:lineRule="exact"/>
        <w:ind w:right="-14"/>
        <w:jc w:val="center"/>
        <w:rPr>
          <w:rFonts w:ascii="方正小标宋简体" w:eastAsia="方正小标宋简体"/>
          <w:sz w:val="44"/>
          <w:szCs w:val="44"/>
          <w:highlight w:val="none"/>
        </w:rPr>
      </w:pPr>
      <w:r>
        <w:rPr>
          <w:rFonts w:hint="eastAsia" w:ascii="方正小标宋简体" w:eastAsia="方正小标宋简体"/>
          <w:sz w:val="44"/>
          <w:szCs w:val="44"/>
          <w:highlight w:val="none"/>
        </w:rPr>
        <w:t>事项</w:t>
      </w:r>
      <w:r>
        <w:rPr>
          <w:rFonts w:hint="eastAsia" w:ascii="方正小标宋简体" w:eastAsia="方正小标宋简体"/>
          <w:sz w:val="44"/>
          <w:szCs w:val="44"/>
          <w:highlight w:val="none"/>
          <w:lang w:eastAsia="zh-CN"/>
        </w:rPr>
        <w:t>办事</w:t>
      </w:r>
      <w:r>
        <w:rPr>
          <w:rFonts w:hint="eastAsia" w:ascii="方正小标宋简体" w:eastAsia="方正小标宋简体"/>
          <w:sz w:val="44"/>
          <w:szCs w:val="44"/>
          <w:highlight w:val="none"/>
        </w:rPr>
        <w:t>指南</w:t>
      </w:r>
    </w:p>
    <w:p>
      <w:pPr>
        <w:rPr>
          <w:rFonts w:hint="eastAsia" w:ascii="仿宋_GB2312"/>
          <w:color w:val="000000"/>
          <w:sz w:val="30"/>
          <w:szCs w:val="30"/>
          <w:highlight w:val="none"/>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olor w:val="000000"/>
          <w:szCs w:val="30"/>
          <w:highlight w:val="none"/>
          <w:lang w:eastAsia="zh-CN"/>
        </w:rPr>
      </w:pPr>
      <w:r>
        <w:rPr>
          <w:rFonts w:hint="eastAsia" w:ascii="黑体" w:eastAsia="黑体" w:cs="仿宋_GB2312"/>
          <w:color w:val="000000"/>
          <w:szCs w:val="30"/>
          <w:highlight w:val="none"/>
        </w:rPr>
        <w:t>一、</w:t>
      </w:r>
      <w:r>
        <w:rPr>
          <w:rFonts w:hint="eastAsia" w:ascii="黑体" w:eastAsia="黑体" w:cs="仿宋_GB2312"/>
          <w:color w:val="000000"/>
          <w:szCs w:val="30"/>
          <w:highlight w:val="none"/>
          <w:lang w:eastAsia="zh-CN"/>
        </w:rPr>
        <w:t>基本要素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1.行政许可事项名称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国库集中收付代理银行资格认定</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2.对应政务服务实施清单事项名称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eastAsia="zh-CN"/>
        </w:rPr>
      </w:pPr>
      <w:r>
        <w:rPr>
          <w:rFonts w:hint="eastAsia" w:ascii="仿宋_GB2312" w:cs="仿宋_GB2312"/>
          <w:color w:val="000000"/>
          <w:szCs w:val="30"/>
          <w:highlight w:val="none"/>
          <w:lang w:eastAsia="zh-CN"/>
        </w:rPr>
        <w:t>国库集中收付代理银行资格认定</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3.设定依据</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1）《国务院对确需保留的行政审批项目设定行政许可的决定》（国务院令第412号发布）</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（2）《国务院关于第六批取消和调整行政审批项目的决定》（国发〔2012〕52号）</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（3）《国务院办公厅关于全面实行行政许可事项清单管理的通知》（国办发〔2022〕2号）</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4.实施依据</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1）《中国人民银行行政许可实施办法》（中国人民银行令〔2020〕第1号发布）</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2）</w:t>
      </w:r>
      <w:r>
        <w:rPr>
          <w:rFonts w:hint="eastAsia" w:ascii="仿宋_GB2312" w:cs="仿宋_GB2312"/>
          <w:color w:val="000000"/>
          <w:szCs w:val="30"/>
          <w:highlight w:val="none"/>
          <w:lang w:eastAsia="zh-CN"/>
        </w:rPr>
        <w:t>《国库集中收付代理银行资格认定管理办法》（中国人民银行令</w:t>
      </w:r>
      <w:r>
        <w:rPr>
          <w:rFonts w:hint="eastAsia" w:ascii="仿宋_GB2312" w:cs="仿宋_GB2312"/>
          <w:color w:val="000000"/>
          <w:szCs w:val="30"/>
          <w:highlight w:val="none"/>
          <w:lang w:val="en-US" w:eastAsia="zh-CN"/>
        </w:rPr>
        <w:t>〔2025〕第9号发布）</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（3）《财政国库管理制度改革试点方案》（财库〔2001〕24号文印发）</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4）《中国人民银行关于实行证明事项告知承诺制有关事项的通知》（银发〔2021〕178号）</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5.监管依据</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1）《中华人民共和国中国人民银行法》</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2）</w:t>
      </w:r>
      <w:r>
        <w:rPr>
          <w:rFonts w:hint="eastAsia" w:ascii="仿宋_GB2312" w:cs="仿宋_GB2312"/>
          <w:color w:val="000000"/>
          <w:szCs w:val="30"/>
          <w:highlight w:val="none"/>
          <w:lang w:eastAsia="zh-CN"/>
        </w:rPr>
        <w:t>《国库集中收付代理银行资格认定管理办法》</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3）《财政国库管理制度改革试点方案》</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4）《金融违法行为处罚办法》</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5）《国库监督管理基本规定》（银发〔2012〕17号文印发）</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6.权力来源：法定本级行使</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7.实施机关：中国人民银行三明市分行</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8.实施主体：中国人民银行三明市分行</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9.实施主体性质：法定机关</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10.实施主体编码：1135040000380977XA</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11.审批层级：市级</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12.行使层级：市级</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13.是否由审批机关受理：是</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14.受理层级：市级</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15.是否存在初审环节：否</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olor w:val="000000"/>
          <w:szCs w:val="30"/>
          <w:highlight w:val="none"/>
          <w:lang w:eastAsia="zh"/>
        </w:rPr>
      </w:pPr>
      <w:r>
        <w:rPr>
          <w:rFonts w:hint="eastAsia" w:ascii="仿宋_GB2312" w:cs="仿宋_GB2312"/>
          <w:color w:val="000000"/>
          <w:szCs w:val="30"/>
          <w:highlight w:val="none"/>
          <w:lang w:val="en-US" w:eastAsia="zh-CN"/>
        </w:rPr>
        <w:t>16.初审层级：无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rPr>
      </w:pPr>
      <w:r>
        <w:rPr>
          <w:rFonts w:hint="eastAsia" w:ascii="黑体" w:eastAsia="黑体" w:cs="仿宋_GB2312"/>
          <w:color w:val="000000"/>
          <w:szCs w:val="30"/>
          <w:highlight w:val="none"/>
        </w:rPr>
        <w:t>二、</w:t>
      </w:r>
      <w:r>
        <w:rPr>
          <w:rFonts w:hint="eastAsia" w:ascii="黑体" w:eastAsia="黑体" w:cs="仿宋_GB2312"/>
          <w:color w:val="000000"/>
          <w:szCs w:val="30"/>
          <w:highlight w:val="none"/>
          <w:lang w:eastAsia="zh-CN"/>
        </w:rPr>
        <w:t>行政许可</w:t>
      </w:r>
      <w:r>
        <w:rPr>
          <w:rFonts w:hint="eastAsia" w:ascii="黑体" w:eastAsia="黑体" w:cs="仿宋_GB2312"/>
          <w:color w:val="000000"/>
          <w:szCs w:val="30"/>
          <w:highlight w:val="none"/>
        </w:rPr>
        <w:t>事项类型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eastAsia="仿宋_GB2312"/>
          <w:color w:val="000000"/>
          <w:szCs w:val="30"/>
          <w:highlight w:val="none"/>
          <w:lang w:eastAsia="zh-CN"/>
        </w:rPr>
      </w:pPr>
      <w:r>
        <w:rPr>
          <w:rFonts w:hint="eastAsia" w:ascii="仿宋_GB2312" w:cs="仿宋_GB2312"/>
          <w:color w:val="000000"/>
          <w:szCs w:val="30"/>
          <w:highlight w:val="none"/>
          <w:lang w:eastAsia="zh-CN"/>
        </w:rPr>
        <w:t>条件型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三、</w:t>
      </w:r>
      <w:r>
        <w:rPr>
          <w:rFonts w:hint="eastAsia" w:ascii="黑体" w:eastAsia="黑体" w:cs="仿宋_GB2312"/>
          <w:color w:val="000000"/>
          <w:szCs w:val="30"/>
          <w:highlight w:val="none"/>
          <w:lang w:eastAsia="zh-CN"/>
        </w:rPr>
        <w:t>行政许可条件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1.准予行政许可的条件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中国人民银行三明市分行应对申请人提交的申请材料进行严格审查，按照评审指标对申请材料进行评分。评分实行百分制，合格分数线为60分。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评审指标主要包括申请机构资金安全性、流动性、效益性等方面的金融管理部门综合评价结果，机构网点数量与分布，内控管理建设，信息化能力，业务安全综合情况，申请材料质量等。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2.规定行政许可条件的依据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第八条：中国人民银行及其分支机构负责成立本单位国库集中收付代理银行资格认定评审组，组织评审组结合国库集中收付业务需要，按照评审指标对申请材料进行评分。评分实行百分制，合格分数线为60分。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第九条：中国人民银行国库局负责具体评审指标、评审方法与评审标准的制定，分支机构国库部门可结合当地实际情况进行补充细化。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评审指标主要包括申请机构资金安全性、流动性、效益性等方面的金融管理部门综合评价结果，机构网点数量与分布，内控管理建设，信息化能力，业务安全综合情况，申请材料质量等。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3.受理条件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六条：申请机构应当具备以下条件：（一）依法持有金融许可证和营业执照，存续2年以上；（二）资产负债状况良好，具有较好的经营业绩和较强的风险控制能力；（三）机构网点数量和分布能够满足代理业务需要；（四）内部管理规范，内控制度健全，具有严格的操作规程和保密措施；（五）人员配备能够满足代理业务需要，业务人员应当熟悉国库相关制度规定，具备办理国库集中收付业务所需的专业能力；（六）具备办理国库集中收付业务所需的技术条件，资金汇划系统和内部网络安全、高效、稳定、可靠，信息系统能够及时、全面、准确地记录并反映所代理的业务信息；（七）经营合规稳健，申请时前2年内无重大违法违规行为、被采取限制业务活动、被责令停业整顿、被接管等影响资格认定的事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四、</w:t>
      </w:r>
      <w:r>
        <w:rPr>
          <w:rFonts w:hint="eastAsia" w:ascii="黑体" w:eastAsia="黑体" w:cs="仿宋_GB2312"/>
          <w:color w:val="000000"/>
          <w:szCs w:val="30"/>
          <w:highlight w:val="none"/>
          <w:lang w:eastAsia="zh-CN"/>
        </w:rPr>
        <w:t>行政许可服务对象类型与改革举措</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1.服务对象类型：企业法人/企业法人分支机构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2.面向法人事项主题分类：资质认证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3.是否为涉企许可事项：是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4.涉企经营许可事项名称：国库集中收付代理银行资格认定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5.许可证件名称：准予行政许可决定书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6.改革方式：优化审批服务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7.具体改革举措</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（1）将许可证件有效期明确为5年；（2）将审批时限由20 个工作日压减至15个工作日。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8.加强事中事后监管措施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rPr>
        <w:t>1</w:t>
      </w: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rPr>
        <w:t>严格执行法律法规和标准，通过对</w:t>
      </w:r>
      <w:r>
        <w:rPr>
          <w:rFonts w:hint="eastAsia" w:ascii="仿宋_GB2312" w:hAnsi="仿宋_GB2312" w:eastAsia="仿宋_GB2312" w:cs="仿宋_GB2312"/>
          <w:color w:val="000000"/>
          <w:szCs w:val="30"/>
          <w:highlight w:val="none"/>
          <w:lang w:eastAsia="zh-CN"/>
        </w:rPr>
        <w:t>地方</w:t>
      </w:r>
      <w:r>
        <w:rPr>
          <w:rFonts w:hint="eastAsia" w:ascii="仿宋_GB2312" w:hAnsi="仿宋_GB2312" w:eastAsia="仿宋_GB2312" w:cs="仿宋_GB2312"/>
          <w:color w:val="000000"/>
          <w:szCs w:val="30"/>
          <w:highlight w:val="none"/>
        </w:rPr>
        <w:t>财政国库集中收付业务的现场检查</w:t>
      </w:r>
      <w:r>
        <w:rPr>
          <w:rFonts w:hint="eastAsia" w:ascii="仿宋_GB2312" w:hAnsi="仿宋_GB2312" w:eastAsia="仿宋_GB2312" w:cs="仿宋_GB2312"/>
          <w:color w:val="000000"/>
          <w:szCs w:val="30"/>
          <w:highlight w:val="none"/>
          <w:lang w:eastAsia="zh-CN"/>
        </w:rPr>
        <w:t>、非现场监管</w:t>
      </w:r>
      <w:r>
        <w:rPr>
          <w:rFonts w:hint="eastAsia" w:ascii="仿宋_GB2312" w:hAnsi="仿宋_GB2312" w:eastAsia="仿宋_GB2312" w:cs="仿宋_GB2312"/>
          <w:color w:val="000000"/>
          <w:szCs w:val="30"/>
          <w:highlight w:val="none"/>
        </w:rPr>
        <w:t>，加强对代理银行的监管</w:t>
      </w: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rPr>
        <w:t>2</w:t>
      </w: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rPr>
        <w:t>开展“双随机、一公开”监管、专项检查等，依法处罚违法行为。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bCs/>
          <w:sz w:val="32"/>
          <w:szCs w:val="32"/>
          <w:lang w:eastAsia="zh-CN"/>
        </w:rPr>
      </w:pPr>
      <w:r>
        <w:rPr>
          <w:rFonts w:ascii="黑体" w:eastAsia="黑体"/>
          <w:bCs/>
          <w:sz w:val="32"/>
          <w:szCs w:val="32"/>
        </w:rPr>
        <w:t>五、</w:t>
      </w:r>
      <w:r>
        <w:rPr>
          <w:rFonts w:hint="eastAsia" w:ascii="黑体" w:eastAsia="黑体"/>
          <w:bCs/>
          <w:sz w:val="32"/>
          <w:szCs w:val="32"/>
          <w:lang w:eastAsia="zh-CN"/>
        </w:rPr>
        <w:t>申请材料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1.申请材料名称</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（1）《国库集中收付代理银行资格认定申请表》（1事1表）；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（2）国库集中收付代理银行资格认定申请书（1份）；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lang w:val="en-US" w:eastAsia="zh-CN"/>
        </w:rPr>
        <w:t>3）《金融许可证》、《营业执照》（副本）</w:t>
      </w:r>
      <w:r>
        <w:rPr>
          <w:rFonts w:hint="eastAsia" w:ascii="仿宋_GB2312" w:cs="仿宋_GB2312"/>
          <w:color w:val="000000"/>
          <w:szCs w:val="30"/>
          <w:highlight w:val="none"/>
          <w:lang w:val="en-US" w:eastAsia="zh-CN"/>
        </w:rPr>
        <w:t>（1份）</w:t>
      </w:r>
      <w:r>
        <w:rPr>
          <w:rFonts w:hint="eastAsia" w:ascii="仿宋_GB2312" w:hAnsi="仿宋_GB2312" w:eastAsia="仿宋_GB2312" w:cs="仿宋_GB2312"/>
          <w:color w:val="000000"/>
          <w:szCs w:val="30"/>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lang w:val="en-US" w:eastAsia="zh-CN"/>
        </w:rPr>
        <w:t>4）</w:t>
      </w:r>
      <w:r>
        <w:rPr>
          <w:rFonts w:hint="eastAsia" w:ascii="仿宋_GB2312" w:hAnsi="仿宋_GB2312" w:cs="仿宋_GB2312"/>
          <w:color w:val="000000"/>
          <w:szCs w:val="30"/>
          <w:highlight w:val="none"/>
          <w:lang w:val="en-US" w:eastAsia="zh-CN"/>
        </w:rPr>
        <w:t>申请机构法定代表人或主要负责人有效身份证复印件，如委托代理人提出申请的，还需提供《授权委托书》和被委托人有效身份证件</w:t>
      </w:r>
      <w:r>
        <w:rPr>
          <w:rFonts w:hint="eastAsia" w:ascii="仿宋_GB2312" w:cs="仿宋_GB2312"/>
          <w:color w:val="000000"/>
          <w:szCs w:val="30"/>
          <w:highlight w:val="none"/>
          <w:lang w:val="en-US" w:eastAsia="zh-CN"/>
        </w:rPr>
        <w:t>（1份）</w:t>
      </w:r>
      <w:r>
        <w:rPr>
          <w:rFonts w:hint="eastAsia" w:ascii="仿宋_GB2312" w:hAnsi="仿宋_GB2312" w:cs="仿宋_GB2312"/>
          <w:color w:val="000000"/>
          <w:szCs w:val="30"/>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黑体" w:eastAsia="黑体" w:cs="仿宋_GB2312"/>
          <w:color w:val="000000"/>
          <w:szCs w:val="30"/>
          <w:highlight w:val="none"/>
          <w:lang w:val="en-US" w:eastAsia="zh-CN"/>
        </w:rPr>
      </w:pPr>
      <w:r>
        <w:rPr>
          <w:rFonts w:hint="eastAsia" w:ascii="仿宋_GB2312" w:hAnsi="仿宋_GB2312" w:cs="仿宋_GB2312"/>
          <w:color w:val="000000"/>
          <w:szCs w:val="30"/>
          <w:highlight w:val="none"/>
          <w:lang w:val="en-US" w:eastAsia="zh-CN"/>
        </w:rPr>
        <w:t>（5）最近2个年度金融监管部门、会计师事务所出具的监管通报、审计报告等</w:t>
      </w:r>
      <w:r>
        <w:rPr>
          <w:rFonts w:hint="eastAsia" w:ascii="仿宋_GB2312" w:cs="仿宋_GB2312"/>
          <w:color w:val="000000"/>
          <w:szCs w:val="30"/>
          <w:highlight w:val="none"/>
          <w:lang w:val="en-US" w:eastAsia="zh-CN"/>
        </w:rPr>
        <w:t>（1份）</w:t>
      </w:r>
      <w:r>
        <w:rPr>
          <w:rFonts w:hint="eastAsia" w:ascii="仿宋_GB2312" w:hAnsi="仿宋_GB2312" w:cs="仿宋_GB2312"/>
          <w:color w:val="000000"/>
          <w:szCs w:val="30"/>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lang w:val="en-US" w:eastAsia="zh-CN"/>
        </w:rPr>
        <w:t>6）申请时前2年内代理国库相关业务的违法违规行为发生情况及整改情况</w:t>
      </w:r>
      <w:r>
        <w:rPr>
          <w:rFonts w:hint="eastAsia" w:ascii="仿宋_GB2312" w:hAnsi="仿宋_GB2312" w:cs="仿宋_GB2312"/>
          <w:color w:val="000000"/>
          <w:szCs w:val="30"/>
          <w:highlight w:val="none"/>
          <w:lang w:val="en-US" w:eastAsia="zh-CN"/>
        </w:rPr>
        <w:t>（申请机构及其分支机构需汇总提供）</w:t>
      </w:r>
      <w:r>
        <w:rPr>
          <w:rFonts w:hint="eastAsia" w:ascii="仿宋_GB2312" w:cs="仿宋_GB2312"/>
          <w:color w:val="000000"/>
          <w:szCs w:val="30"/>
          <w:highlight w:val="none"/>
          <w:lang w:val="en-US" w:eastAsia="zh-CN"/>
        </w:rPr>
        <w:t>（1份）</w:t>
      </w:r>
      <w:r>
        <w:rPr>
          <w:rFonts w:hint="eastAsia" w:ascii="仿宋_GB2312" w:hAnsi="仿宋_GB2312" w:cs="仿宋_GB2312"/>
          <w:color w:val="000000"/>
          <w:szCs w:val="30"/>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cs="仿宋_GB2312"/>
          <w:color w:val="000000"/>
          <w:szCs w:val="30"/>
          <w:highlight w:val="none"/>
          <w:lang w:val="en-US" w:eastAsia="zh-CN"/>
        </w:rPr>
      </w:pPr>
      <w:r>
        <w:rPr>
          <w:rFonts w:hint="eastAsia" w:ascii="仿宋_GB2312" w:hAnsi="仿宋_GB2312" w:cs="仿宋_GB2312"/>
          <w:color w:val="000000"/>
          <w:szCs w:val="30"/>
          <w:highlight w:val="none"/>
          <w:lang w:val="en-US" w:eastAsia="zh-CN"/>
        </w:rPr>
        <w:t>（7）要求提供的其他材料。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cs="仿宋_GB2312"/>
          <w:color w:val="000000"/>
          <w:szCs w:val="30"/>
          <w:highlight w:val="none"/>
          <w:lang w:val="en-US" w:eastAsia="zh-CN"/>
        </w:rPr>
      </w:pPr>
      <w:bookmarkStart w:id="0" w:name="_GoBack"/>
      <w:bookmarkEnd w:id="0"/>
      <w:r>
        <w:rPr>
          <w:rFonts w:hint="eastAsia" w:ascii="仿宋_GB2312" w:hAnsi="仿宋_GB2312" w:cs="仿宋_GB2312"/>
          <w:color w:val="000000"/>
          <w:szCs w:val="30"/>
          <w:highlight w:val="none"/>
          <w:lang w:val="en-US" w:eastAsia="zh-CN"/>
        </w:rPr>
        <w:t>2.申请材料目录</w:t>
      </w:r>
    </w:p>
    <w:p>
      <w:pPr>
        <w:rPr>
          <w:rFonts w:hint="eastAsia"/>
        </w:rPr>
      </w:pPr>
      <w:r>
        <w:rPr>
          <w:rFonts w:hint="eastAsia"/>
          <w:lang w:val="en-US" w:eastAsia="zh-CN"/>
        </w:rPr>
        <w:t xml:space="preserve">    （1）</w:t>
      </w:r>
      <w:r>
        <w:rPr>
          <w:rFonts w:hint="eastAsia"/>
        </w:rPr>
        <w:t>国库集中收付代理银行资格认定申请表</w:t>
      </w:r>
    </w:p>
    <w:p>
      <w:pPr>
        <w:rPr>
          <w:rFonts w:hint="eastAsia"/>
        </w:rPr>
      </w:pPr>
      <w:r>
        <w:rPr>
          <w:rFonts w:hint="eastAsia"/>
          <w:lang w:val="en-US" w:eastAsia="zh-CN"/>
        </w:rPr>
        <w:t xml:space="preserve">    （2）</w:t>
      </w:r>
      <w:r>
        <w:rPr>
          <w:rFonts w:hint="eastAsia"/>
        </w:rPr>
        <w:t>国库集中收付代理银行资格申请书</w:t>
      </w:r>
    </w:p>
    <w:p>
      <w:pPr>
        <w:rPr>
          <w:rFonts w:hint="eastAsia"/>
        </w:rPr>
      </w:pPr>
      <w:r>
        <w:rPr>
          <w:rFonts w:hint="eastAsia"/>
          <w:lang w:val="en-US" w:eastAsia="zh-CN"/>
        </w:rPr>
        <w:t xml:space="preserve">    </w:t>
      </w:r>
      <w:r>
        <w:rPr>
          <w:rFonts w:hint="eastAsia"/>
          <w:lang w:eastAsia="zh-CN"/>
        </w:rPr>
        <w:t>（</w:t>
      </w:r>
      <w:r>
        <w:rPr>
          <w:rFonts w:hint="eastAsia"/>
          <w:lang w:val="en-US" w:eastAsia="zh-CN"/>
        </w:rPr>
        <w:t>3）</w:t>
      </w:r>
      <w:r>
        <w:rPr>
          <w:rFonts w:hint="eastAsia"/>
        </w:rPr>
        <w:t>金融许可证</w:t>
      </w:r>
    </w:p>
    <w:p>
      <w:pPr>
        <w:rPr>
          <w:rFonts w:hint="eastAsia"/>
        </w:rPr>
      </w:pPr>
      <w:r>
        <w:rPr>
          <w:rFonts w:hint="eastAsia"/>
          <w:lang w:val="en-US" w:eastAsia="zh-CN"/>
        </w:rPr>
        <w:t xml:space="preserve">    </w:t>
      </w:r>
      <w:r>
        <w:rPr>
          <w:rFonts w:hint="eastAsia"/>
          <w:lang w:eastAsia="zh-CN"/>
        </w:rPr>
        <w:t>（</w:t>
      </w:r>
      <w:r>
        <w:rPr>
          <w:rFonts w:hint="eastAsia"/>
          <w:lang w:val="en-US" w:eastAsia="zh-CN"/>
        </w:rPr>
        <w:t>4）</w:t>
      </w:r>
      <w:r>
        <w:rPr>
          <w:rFonts w:hint="eastAsia"/>
        </w:rPr>
        <w:t>企业法人营业执照</w:t>
      </w:r>
    </w:p>
    <w:p>
      <w:pPr>
        <w:rPr>
          <w:rFonts w:hint="eastAsia"/>
        </w:rPr>
      </w:pPr>
      <w:r>
        <w:rPr>
          <w:rFonts w:hint="eastAsia"/>
          <w:lang w:val="en-US" w:eastAsia="zh-CN"/>
        </w:rPr>
        <w:t xml:space="preserve">    （5）</w:t>
      </w:r>
      <w:r>
        <w:rPr>
          <w:rFonts w:hint="eastAsia"/>
        </w:rPr>
        <w:t>法人身份证件</w:t>
      </w:r>
    </w:p>
    <w:p>
      <w:pPr>
        <w:rPr>
          <w:rFonts w:hint="eastAsia"/>
        </w:rPr>
      </w:pPr>
      <w:r>
        <w:rPr>
          <w:rFonts w:hint="eastAsia"/>
          <w:lang w:val="en-US" w:eastAsia="zh-CN"/>
        </w:rPr>
        <w:t xml:space="preserve">    </w:t>
      </w:r>
      <w:r>
        <w:rPr>
          <w:rFonts w:hint="eastAsia"/>
          <w:lang w:eastAsia="zh-CN"/>
        </w:rPr>
        <w:t>（</w:t>
      </w:r>
      <w:r>
        <w:rPr>
          <w:rFonts w:hint="eastAsia"/>
          <w:lang w:val="en-US" w:eastAsia="zh-CN"/>
        </w:rPr>
        <w:t>6）</w:t>
      </w:r>
      <w:r>
        <w:rPr>
          <w:rFonts w:hint="eastAsia"/>
        </w:rPr>
        <w:t>代理人身份证件</w:t>
      </w:r>
    </w:p>
    <w:p>
      <w:pPr>
        <w:rPr>
          <w:rFonts w:hint="eastAsia"/>
        </w:rPr>
      </w:pPr>
      <w:r>
        <w:rPr>
          <w:rFonts w:hint="eastAsia"/>
          <w:lang w:val="en-US" w:eastAsia="zh-CN"/>
        </w:rPr>
        <w:t xml:space="preserve">    （7）</w:t>
      </w:r>
      <w:r>
        <w:rPr>
          <w:rFonts w:hint="eastAsia"/>
        </w:rPr>
        <w:t>授权委托书</w:t>
      </w:r>
    </w:p>
    <w:p>
      <w:pPr>
        <w:rPr>
          <w:rFonts w:hint="eastAsia"/>
        </w:rPr>
      </w:pPr>
      <w:r>
        <w:rPr>
          <w:rFonts w:hint="eastAsia"/>
          <w:lang w:val="en-US" w:eastAsia="zh-CN"/>
        </w:rPr>
        <w:t xml:space="preserve">    </w:t>
      </w:r>
      <w:r>
        <w:rPr>
          <w:rFonts w:hint="eastAsia"/>
          <w:lang w:eastAsia="zh-CN"/>
        </w:rPr>
        <w:t>（</w:t>
      </w:r>
      <w:r>
        <w:rPr>
          <w:rFonts w:hint="eastAsia"/>
          <w:lang w:val="en-US" w:eastAsia="zh-CN"/>
        </w:rPr>
        <w:t>8）</w:t>
      </w:r>
      <w:r>
        <w:rPr>
          <w:rFonts w:hint="eastAsia"/>
        </w:rPr>
        <w:t>审计报告</w:t>
      </w:r>
    </w:p>
    <w:p>
      <w:pPr>
        <w:rPr>
          <w:rFonts w:hint="eastAsia"/>
        </w:rPr>
      </w:pPr>
      <w:r>
        <w:rPr>
          <w:rFonts w:hint="eastAsia"/>
          <w:lang w:val="en-US" w:eastAsia="zh-CN"/>
        </w:rPr>
        <w:t xml:space="preserve">    </w:t>
      </w:r>
      <w:r>
        <w:rPr>
          <w:rFonts w:hint="eastAsia"/>
          <w:lang w:eastAsia="zh-CN"/>
        </w:rPr>
        <w:t>（</w:t>
      </w:r>
      <w:r>
        <w:rPr>
          <w:rFonts w:hint="eastAsia"/>
          <w:lang w:val="en-US" w:eastAsia="zh-CN"/>
        </w:rPr>
        <w:t>9）</w:t>
      </w:r>
      <w:r>
        <w:rPr>
          <w:rFonts w:hint="eastAsia"/>
        </w:rPr>
        <w:t>金融监管部门监管通报</w:t>
      </w:r>
    </w:p>
    <w:p>
      <w:pPr>
        <w:rPr>
          <w:rFonts w:hint="eastAsia"/>
        </w:rPr>
      </w:pPr>
      <w:r>
        <w:rPr>
          <w:rFonts w:hint="eastAsia"/>
          <w:lang w:val="en-US" w:eastAsia="zh-CN"/>
        </w:rPr>
        <w:t xml:space="preserve">    </w:t>
      </w:r>
      <w:r>
        <w:rPr>
          <w:rFonts w:hint="eastAsia"/>
          <w:lang w:eastAsia="zh-CN"/>
        </w:rPr>
        <w:t>（</w:t>
      </w:r>
      <w:r>
        <w:rPr>
          <w:rFonts w:hint="eastAsia"/>
          <w:lang w:val="en-US" w:eastAsia="zh-CN"/>
        </w:rPr>
        <w:t>10）</w:t>
      </w:r>
      <w:r>
        <w:rPr>
          <w:rFonts w:hint="eastAsia"/>
        </w:rPr>
        <w:t>代理国库相关业务的违法违规行为发生情况及整改情况</w:t>
      </w:r>
    </w:p>
    <w:p>
      <w:pPr>
        <w:rPr>
          <w:rFonts w:hint="eastAsia"/>
        </w:rPr>
      </w:pPr>
      <w:r>
        <w:rPr>
          <w:rFonts w:hint="eastAsia"/>
          <w:lang w:val="en-US" w:eastAsia="zh-CN"/>
        </w:rPr>
        <w:t xml:space="preserve">    （11）</w:t>
      </w:r>
      <w:r>
        <w:rPr>
          <w:rFonts w:hint="eastAsia"/>
        </w:rPr>
        <w:t>承诺书</w:t>
      </w:r>
    </w:p>
    <w:p>
      <w:pPr>
        <w:rPr>
          <w:rFonts w:hint="eastAsia" w:ascii="仿宋_GB2312" w:hAnsi="仿宋_GB2312" w:cs="仿宋_GB2312"/>
          <w:color w:val="000000"/>
          <w:szCs w:val="30"/>
          <w:highlight w:val="none"/>
          <w:lang w:val="en-US" w:eastAsia="zh-CN"/>
        </w:rPr>
      </w:pPr>
      <w:r>
        <w:rPr>
          <w:rFonts w:hint="eastAsia"/>
          <w:lang w:val="en-US" w:eastAsia="zh-CN"/>
        </w:rPr>
        <w:t xml:space="preserve">    </w:t>
      </w:r>
      <w:r>
        <w:rPr>
          <w:rFonts w:hint="eastAsia"/>
          <w:lang w:eastAsia="zh-CN"/>
        </w:rPr>
        <w:t>（</w:t>
      </w:r>
      <w:r>
        <w:rPr>
          <w:rFonts w:hint="eastAsia"/>
          <w:lang w:val="en-US" w:eastAsia="zh-CN"/>
        </w:rPr>
        <w:t>12）</w:t>
      </w:r>
      <w:r>
        <w:rPr>
          <w:rFonts w:hint="eastAsia"/>
        </w:rPr>
        <w:t>其他材料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hAnsi="仿宋_GB2312" w:cs="仿宋_GB2312"/>
          <w:color w:val="000000"/>
          <w:szCs w:val="30"/>
          <w:highlight w:val="none"/>
          <w:lang w:val="en-US" w:eastAsia="zh-CN"/>
        </w:rPr>
        <w:t>上述申请资料如为复印件，应当加盖申请机构单位公章。</w:t>
      </w:r>
      <w:r>
        <w:rPr>
          <w:rFonts w:hint="eastAsia" w:ascii="仿宋_GB2312" w:hAnsi="仿宋_GB2312" w:eastAsia="仿宋_GB2312" w:cs="仿宋_GB2312"/>
          <w:color w:val="000000"/>
          <w:szCs w:val="30"/>
          <w:highlight w:val="none"/>
          <w:lang w:eastAsia="zh-CN"/>
        </w:rPr>
        <w:t>其中，涉及前款第（</w:t>
      </w:r>
      <w:r>
        <w:rPr>
          <w:rFonts w:hint="eastAsia" w:ascii="仿宋_GB2312" w:hAnsi="仿宋_GB2312" w:eastAsia="仿宋_GB2312" w:cs="仿宋_GB2312"/>
          <w:color w:val="000000"/>
          <w:szCs w:val="30"/>
          <w:highlight w:val="none"/>
          <w:lang w:val="en-US" w:eastAsia="zh-CN"/>
        </w:rPr>
        <w:t>3）项、第（5）项内容，按照证明事项告知承诺制相关要求办理；涉及前款第（6）项内容，不存在相关情况的，应当在申请书中作出说明。</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3.规定申请材料的依据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1）</w:t>
      </w: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七条：申请机构应当按照要求提交申请材料，并对申请材料内容的真实性负责。申请材料包括：（一）《国库集中收付代理银行资格认定申请表》；（二）国库集中收付代理银行资格认定申请书，内容应当包括申请机构总行前10大股东控股情况，申请机构的部门设置与分工、机构网点数量与分布、内控管理建设、资金汇划渠道、信息系统建设、代理国库相关业务开展情况、服务承诺等；（三）金融许可证和营业执照副本；（四）申请机构法定代表人或主要负责人有效身份证件，如委托代理人提出申请的，还需提供授权委托书和被委托人有效身份证件；（五）最近2个年度金融监管部门、会计师事务所出具的监管通报、审计报告等；（六）申请时前2年内代理国库相关业务的违法违规行为发生情况及整改情况（申请机构及其分支机构需汇总提供）；（七）中国人民银行三明市分行要求提供的其他材料。上述申请资料如为复印件，应当加盖申请机构单位公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 xml:space="preserve">（2）《中国人民银行行政许可实施办法》第十一条：申请人提交行政许可申请时，应当出示有效身份证件；单位申请的，应当出示单位统一社会信用代码证或者营业执照，以及法定代表人有效身份证件或者主要负责人有效身份证件、授权委托书、被委托人身份证件等有效身份证件。 </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申请人可以委托代理人提出行政许可申请。申请人委托代理人提出行政许可申请的，还应当提供申请人、代理人的有效身份证件和授权委托书；……</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中国人民银行关于实行证明事项告知承诺制有关事项的通知》第一点：证明事项告知承诺制实施范围……现阶段，人民银行系统对……以及国库集中收付代理银行资格等行政事项所提交的部分证明事项实行告知承诺制。对实行告知承诺制的证明事项，申请人可自主选择是否采用告知承诺方式办理，申请人不愿承诺或者无法承诺的，应当依法提交相关证明，按照原程序办理；申请人具有较严重不良信用记录或者存在曾作出虚假承诺等情形的，在信用修复前不适用告知承诺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lang w:eastAsia="zh-CN"/>
        </w:rPr>
        <w:t>六</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中介服务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1.有无法定中介服务事项：无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2.中介服务事项名称：无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3.设定中介服务事项的依据：无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4.提供中介服务的机构：无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olor w:val="000000"/>
          <w:szCs w:val="30"/>
          <w:highlight w:val="none"/>
        </w:rPr>
      </w:pPr>
      <w:r>
        <w:rPr>
          <w:rFonts w:hint="eastAsia" w:ascii="仿宋_GB2312" w:cs="仿宋_GB2312"/>
          <w:color w:val="000000"/>
          <w:szCs w:val="30"/>
          <w:highlight w:val="none"/>
          <w:lang w:val="en-US" w:eastAsia="zh-CN"/>
        </w:rPr>
        <w:t>5.中介服务事项的收费性质：无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rPr>
      </w:pPr>
      <w:r>
        <w:rPr>
          <w:rFonts w:hint="eastAsia" w:ascii="黑体" w:eastAsia="黑体" w:cs="仿宋_GB2312"/>
          <w:color w:val="000000"/>
          <w:szCs w:val="30"/>
          <w:highlight w:val="none"/>
          <w:lang w:eastAsia="zh-CN"/>
        </w:rPr>
        <w:t>七</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审批程序</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1.办理行政许可的程序环节</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（1）申请机构申请；</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（2）审批机构受理/不予受理；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（3）审批机构成立资格认定评审组进行评分；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（4）根据评分结果形成审查意见；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（5）准予行政许可/不予行政许可。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2.规定行政许可程序的依据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w:t>
      </w: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第八条：中国人民银行及其分支机构负责成立本单位国库集中收付代理银行资格认定评审组，组织评审组结合国库集中收付业务需要，按照评审指标对申请材料进行评分。评分实行百分制，合格分数线为60分。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第十条：中国人民银行及其分支机构国库部门依据评审组评分结果形成审查意见，拟定准予行政许可决定书或不予行政许可决定书。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中国人民银行行政许可实施办法》第十六条：申请材料不齐全、不符合法定形式或者存在错误不能当场更正的，中国人民银行及其分支机构应当当场或者在收到申请材料之日起五日内一次告知申请人需要补正的全部内容，出具加盖本行行政许可专用章并载明日期的补正告知书。逾期不告知的，自收到申请材料之日起即为受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申请人拒不补正，或者自补正告知书送达之日起十日内无正当理由未补正的，视为放弃行政许可申请，中国人民银行及其分支机构应当退回已经收到的全部申请材料。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第十八条：依前款规定受理行政许可的，中国人民银行及其分支机构应当于收到申请材料或者全部补正申请材料之日起五日内，出具加盖本行行政许可专用章并注明受理日期的行政许可受理通知书。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第三十五条：中国人民银行及其分支机构作出准予行政许可决定的，应当自作出决定之日起十日内向申请人送达准予行政许可的书面决定或者行政许可证。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中国人民银行及其分支机构作出不予行政许可决定的，应当自作出决定之日起十日内向申请人送达不予行政许可的书面决定。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第五十六条：中国人民银行及其分支机构作出准予行政许可、变更、延续决定，依法撤销、注销行政许可的，应当于决定作出之日起七日内依据行政许可事项服务指南和中国人民银行的相关规定予以公开。</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3.是否需要现场勘验：否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4.是否需要组织听证：否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5.是否需要招标、拍卖、挂牌交易：否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6.是否需要检验、检测、检疫：否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7.是否需要鉴定：否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8.是否需要专家评审：否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9.是否需要向社会公示：否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10.是否实行告知承诺办理：是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olor w:val="000000"/>
          <w:szCs w:val="30"/>
          <w:highlight w:val="none"/>
        </w:rPr>
      </w:pPr>
      <w:r>
        <w:rPr>
          <w:rFonts w:hint="eastAsia" w:ascii="仿宋_GB2312" w:cs="仿宋_GB2312"/>
          <w:color w:val="000000"/>
          <w:szCs w:val="30"/>
          <w:highlight w:val="none"/>
          <w:lang w:val="en-US" w:eastAsia="zh-CN"/>
        </w:rPr>
        <w:t>11.审批机关是否委托服务机构开展技术性服务：否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lang w:eastAsia="zh-CN"/>
        </w:rPr>
        <w:t>八</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受理和审批时限</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yellow"/>
          <w:lang w:val="en-US" w:eastAsia="zh-CN"/>
        </w:rPr>
      </w:pPr>
      <w:r>
        <w:rPr>
          <w:rFonts w:hint="eastAsia" w:ascii="仿宋_GB2312" w:cs="仿宋_GB2312"/>
          <w:color w:val="000000"/>
          <w:szCs w:val="30"/>
          <w:highlight w:val="none"/>
        </w:rPr>
        <w:t>1.</w:t>
      </w:r>
      <w:r>
        <w:rPr>
          <w:rFonts w:hint="eastAsia" w:ascii="仿宋_GB2312" w:cs="仿宋_GB2312"/>
          <w:color w:val="000000"/>
          <w:szCs w:val="30"/>
          <w:highlight w:val="none"/>
          <w:lang w:eastAsia="zh-CN"/>
        </w:rPr>
        <w:t>承诺受理时限：</w:t>
      </w:r>
      <w:r>
        <w:rPr>
          <w:rFonts w:hint="eastAsia" w:ascii="仿宋_GB2312" w:cs="仿宋_GB2312"/>
          <w:color w:val="000000"/>
          <w:szCs w:val="30"/>
          <w:highlight w:val="none"/>
          <w:lang w:val="en-US" w:eastAsia="zh-CN"/>
        </w:rPr>
        <w:t>5个工作日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2.法定审批时限：15个工作日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3.规定法定审批时限依据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十一条：中国人民银行及其分支机构应当自受理资格认定申请之日起15个工作日内作出资格认定决定。15个工作日内不能作出决定的，经本单位主要负责人批准，可延长10个工作日，并将延长期限的理由告知申请机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4.承诺审批时限：15个工作日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5.办件类型：承诺件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lang w:eastAsia="zh-CN"/>
        </w:rPr>
        <w:t>九</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收费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shd w:val="clear" w:color="auto" w:fill="auto"/>
          <w:lang w:val="en-US" w:eastAsia="zh-CN"/>
        </w:rPr>
      </w:pPr>
      <w:r>
        <w:rPr>
          <w:rFonts w:hint="eastAsia" w:ascii="仿宋_GB2312" w:hAnsi="仿宋_GB2312" w:eastAsia="仿宋_GB2312" w:cs="仿宋_GB2312"/>
          <w:color w:val="000000"/>
          <w:szCs w:val="30"/>
          <w:highlight w:val="none"/>
          <w:shd w:val="clear" w:color="auto" w:fill="auto"/>
          <w:lang w:val="en-US" w:eastAsia="zh-CN"/>
        </w:rPr>
        <w:t>1.办理行政许可是否收费：否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shd w:val="clear" w:color="auto" w:fill="auto"/>
          <w:lang w:val="en-US" w:eastAsia="zh-CN"/>
        </w:rPr>
      </w:pPr>
      <w:r>
        <w:rPr>
          <w:rFonts w:hint="eastAsia" w:ascii="仿宋_GB2312" w:hAnsi="仿宋_GB2312" w:eastAsia="仿宋_GB2312" w:cs="仿宋_GB2312"/>
          <w:color w:val="000000"/>
          <w:szCs w:val="30"/>
          <w:highlight w:val="none"/>
          <w:shd w:val="clear" w:color="auto" w:fill="auto"/>
          <w:lang w:val="en-US" w:eastAsia="zh-CN"/>
        </w:rPr>
        <w:t>2.收费项目的名称、收费项目的标准、设定收费项目的依据、规定收费标准的依据：无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lang w:eastAsia="zh-CN"/>
        </w:rPr>
        <w:t>十</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行政许可证件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1.审批结果类型：批文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2.行政许可证件名称：准予行政许可决定书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3.行政许可证件的有效期限：5年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4.规定行政许可证件有效期限的依据：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rPr>
      </w:pPr>
      <w:r>
        <w:rPr>
          <w:rFonts w:hint="eastAsia" w:ascii="仿宋_GB2312" w:hAnsi="仿宋_GB2312" w:eastAsia="仿宋_GB2312" w:cs="仿宋_GB2312"/>
          <w:color w:val="000000"/>
          <w:szCs w:val="30"/>
          <w:highlight w:val="none"/>
          <w:lang w:val="en-US" w:eastAsia="zh-CN"/>
        </w:rPr>
        <w:t xml:space="preserve">《国务院关于深化“证照分离”改革进一步激发市场主体 </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发展活力的通知》（国发〔2021〕７号）附件 1《中央层面设定的涉企经营许可事项改革清单（2021 年全国版）》第 338 项“国库集中收付代理银行资格认定”的具体改革措施：1.将许可证件有效期由2年延长至5年。</w:t>
      </w:r>
      <w:r>
        <w:rPr>
          <w:rFonts w:hint="eastAsia" w:ascii="仿宋_GB2312" w:hAnsi="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第十二条：国库集中收付代理银行资格认定有效期为5年。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5.是否需要办理审批结果变更手续：否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6.办理审批结果变更手续的要求：无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7.是否需要办理审批结果延续手续：是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8.办理审批结果延续手续的要求：</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default" w:ascii="仿宋_GB2312" w:eastAsia="仿宋_GB2312" w:cs="仿宋_GB2312"/>
          <w:color w:val="000000"/>
          <w:szCs w:val="30"/>
          <w:highlight w:val="none"/>
          <w:lang w:val="en-US" w:eastAsia="zh-CN"/>
        </w:rPr>
        <w:t>《国库集中收付代理银行资格认定管理办法》</w:t>
      </w:r>
      <w:r>
        <w:rPr>
          <w:rFonts w:hint="eastAsia" w:ascii="仿宋_GB2312" w:cs="仿宋_GB2312"/>
          <w:color w:val="000000"/>
          <w:szCs w:val="30"/>
          <w:highlight w:val="none"/>
          <w:lang w:val="en-US" w:eastAsia="zh-CN"/>
        </w:rPr>
        <w:t>第十二条：……代理银行在期满后拟延续资格认定有效期的，应当在期满6个月前向作出资格认定决定的中国人民银行或其分支机构申请延续，并提供本办法第七条所列申请材料。如原申请材料无变化的，可不再重复提供，但应当在延续申请书中作出说明。</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9.审批结果的有效地域范围：三明市、三明各县（市、区），具体根据申请和审批的业务级次。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10.规定审批结果有效地域范围的依据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default" w:ascii="仿宋_GB2312" w:eastAsia="仿宋_GB2312" w:cs="仿宋_GB2312"/>
          <w:color w:val="000000"/>
          <w:szCs w:val="30"/>
          <w:highlight w:val="none"/>
          <w:lang w:val="en-US" w:eastAsia="zh-CN"/>
        </w:rPr>
        <w:t>《国库集中收付代理银行资格认定管理办法》</w:t>
      </w:r>
      <w:r>
        <w:rPr>
          <w:rFonts w:hint="eastAsia" w:ascii="仿宋_GB2312" w:cs="仿宋_GB2312"/>
          <w:color w:val="000000"/>
          <w:szCs w:val="30"/>
          <w:highlight w:val="none"/>
          <w:lang w:val="en-US" w:eastAsia="zh-CN"/>
        </w:rPr>
        <w:t>第三条：国库集中收付代理银行资格认定按照分级管理的原则实施。中国人民银行负责中央级国库集中支付代理银行资格认定，中国人民银行分支机构负责本单位组织实施的地方级国库集中收付代理银行资格认定。当地未设中国人民银行分支机构的，由上一级中国人民银行分支机构履行相应职责；当地设有中国人民银行县域派出机构的，可由县域派出机构履行相应职责。</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一</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行政许可数量限制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1.有无行政许可数量限制：无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2.公布数量限制的方式：无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3.公布数量限制的周期：无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4.在数量限制条件下实施行政许可的方式：无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5.规定在数量限制条件下实施行政许可方式的依据：无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黑体" w:eastAsia="黑体"/>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二</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行政许可后年检</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1.有无年检要求：无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2.设定年检要求的依据：无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3.年检周期：无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4.年检是否要求报送材料：无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5.年检报送材料名称：无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6.年检是否收费：无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7.年检收费项目的名称、年检收费项目的标准、设定年检收费项目的依据、规定年检项目收费标准的依据：无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8.通过年检的证明或者标志：无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三</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行政许可后年报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1.有无年报要求：无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2.年报报送材料名称：无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3.设定年报要求的依据：无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4.年报周期：无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四</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监管主体</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olor w:val="000000"/>
          <w:szCs w:val="30"/>
          <w:highlight w:val="none"/>
        </w:rPr>
      </w:pPr>
      <w:r>
        <w:rPr>
          <w:rFonts w:hint="eastAsia" w:ascii="仿宋_GB2312" w:cs="仿宋_GB2312"/>
          <w:color w:val="000000"/>
          <w:szCs w:val="30"/>
          <w:highlight w:val="none"/>
          <w:lang w:eastAsia="zh-CN"/>
        </w:rPr>
        <w:t>中国人民银行三明市分行</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五</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业务办理信息</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1.是否通办：否</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2.办理形式：窗口办理，快递申请</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3.是否进驻政务大厅：否</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360" w:leftChars="0"/>
        <w:textAlignment w:val="auto"/>
        <w:rPr>
          <w:rFonts w:hint="eastAsia"/>
          <w:lang w:eastAsia="zh-CN"/>
        </w:rPr>
      </w:pPr>
      <w:r>
        <w:rPr>
          <w:rFonts w:hint="eastAsia" w:ascii="仿宋_GB2312" w:cs="仿宋_GB2312"/>
          <w:color w:val="000000"/>
          <w:szCs w:val="30"/>
          <w:highlight w:val="none"/>
          <w:lang w:val="en-US" w:eastAsia="zh-CN"/>
        </w:rPr>
        <w:t xml:space="preserve">  4.办理地点：</w:t>
      </w:r>
      <w:r>
        <w:t>三明市三元区东新四路崇桂新村98幢</w:t>
      </w:r>
      <w:r>
        <w:rPr>
          <w:rFonts w:hint="eastAsia"/>
          <w:lang w:eastAsia="zh-CN"/>
        </w:rPr>
        <w:t>二楼国库科</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360" w:leftChars="0"/>
        <w:textAlignment w:val="auto"/>
        <w:rPr>
          <w:rFonts w:hint="eastAsia" w:ascii="仿宋_GB2312" w:cs="仿宋_GB2312"/>
          <w:color w:val="000000"/>
          <w:szCs w:val="30"/>
          <w:highlight w:val="none"/>
          <w:lang w:val="en-US" w:eastAsia="zh-CN"/>
        </w:rPr>
      </w:pPr>
      <w:r>
        <w:rPr>
          <w:rFonts w:hint="eastAsia"/>
          <w:lang w:val="en-US" w:eastAsia="zh-CN"/>
        </w:rPr>
        <w:t xml:space="preserve">  5</w:t>
      </w:r>
      <w:r>
        <w:rPr>
          <w:rFonts w:hint="eastAsia" w:ascii="仿宋_GB2312" w:cs="仿宋_GB2312"/>
          <w:color w:val="000000"/>
          <w:szCs w:val="30"/>
          <w:highlight w:val="none"/>
          <w:lang w:val="en-US" w:eastAsia="zh-CN"/>
        </w:rPr>
        <w:t>.办理时间：法定工作日上午8：30-11：30，下午14：30-18：00</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6.咨询方式：</w:t>
      </w:r>
    </w:p>
    <w:p>
      <w:pPr>
        <w:ind w:firstLine="632" w:firstLineChars="200"/>
        <w:rPr>
          <w:rFonts w:hint="eastAsia" w:ascii="仿宋_GB2312" w:hAnsi="仿宋_GB2312" w:eastAsia="仿宋_GB2312" w:cs="仿宋_GB2312"/>
          <w:color w:val="000000"/>
          <w:szCs w:val="30"/>
          <w:highlight w:val="none"/>
          <w:lang w:eastAsia="zh-CN"/>
        </w:rPr>
      </w:pPr>
      <w:r>
        <w:rPr>
          <w:rFonts w:hint="eastAsia" w:ascii="仿宋_GB2312" w:hAnsi="仿宋_GB2312" w:eastAsia="仿宋_GB2312" w:cs="仿宋_GB2312"/>
          <w:b/>
          <w:bCs/>
          <w:color w:val="000000"/>
          <w:szCs w:val="30"/>
          <w:highlight w:val="none"/>
        </w:rPr>
        <w:t>窗口咨询</w:t>
      </w:r>
      <w:r>
        <w:rPr>
          <w:rFonts w:hint="eastAsia" w:ascii="仿宋_GB2312" w:hAnsi="仿宋_GB2312" w:eastAsia="仿宋_GB2312" w:cs="仿宋_GB2312"/>
          <w:color w:val="000000"/>
          <w:szCs w:val="30"/>
          <w:highlight w:val="none"/>
        </w:rPr>
        <w:t>：中国人民银行</w:t>
      </w:r>
      <w:r>
        <w:rPr>
          <w:rFonts w:hint="eastAsia" w:ascii="仿宋_GB2312" w:hAnsi="仿宋_GB2312" w:eastAsia="仿宋_GB2312" w:cs="仿宋_GB2312"/>
          <w:color w:val="000000"/>
          <w:szCs w:val="30"/>
          <w:highlight w:val="none"/>
          <w:lang w:eastAsia="zh-CN"/>
        </w:rPr>
        <w:t>三明市分行</w:t>
      </w:r>
      <w:r>
        <w:rPr>
          <w:rFonts w:hint="eastAsia" w:ascii="仿宋_GB2312" w:hAnsi="仿宋_GB2312" w:eastAsia="仿宋_GB2312" w:cs="仿宋_GB2312"/>
          <w:color w:val="000000"/>
          <w:szCs w:val="30"/>
          <w:highlight w:val="none"/>
        </w:rPr>
        <w:t>国库</w:t>
      </w:r>
      <w:r>
        <w:rPr>
          <w:rFonts w:hint="eastAsia" w:ascii="仿宋_GB2312" w:hAnsi="仿宋_GB2312" w:eastAsia="仿宋_GB2312" w:cs="仿宋_GB2312"/>
          <w:color w:val="000000"/>
          <w:szCs w:val="30"/>
          <w:highlight w:val="none"/>
          <w:lang w:eastAsia="zh-CN"/>
        </w:rPr>
        <w:t>科。</w:t>
      </w:r>
    </w:p>
    <w:p>
      <w:pPr>
        <w:ind w:firstLine="632" w:firstLineChars="200"/>
        <w:rPr>
          <w:rFonts w:hint="eastAsia" w:ascii="仿宋_GB2312" w:eastAsia="仿宋_GB2312" w:cs="仿宋_GB2312"/>
          <w:color w:val="000000"/>
          <w:szCs w:val="30"/>
          <w:highlight w:val="none"/>
          <w:lang w:eastAsia="zh-CN"/>
        </w:rPr>
      </w:pPr>
      <w:r>
        <w:rPr>
          <w:rFonts w:hint="eastAsia" w:ascii="仿宋_GB2312" w:cs="仿宋_GB2312"/>
          <w:color w:val="000000"/>
          <w:szCs w:val="30"/>
          <w:highlight w:val="none"/>
        </w:rPr>
        <w:t>地址：</w:t>
      </w:r>
      <w:r>
        <w:t>三明市三元区东新四路崇桂新村98幢</w:t>
      </w:r>
      <w:r>
        <w:rPr>
          <w:rFonts w:hint="eastAsia" w:ascii="仿宋_GB2312" w:hAnsi="Times New Roman" w:eastAsia="仿宋_GB2312" w:cs="仿宋_GB2312"/>
          <w:color w:val="000000"/>
          <w:sz w:val="32"/>
          <w:szCs w:val="30"/>
          <w:highlight w:val="none"/>
          <w:lang w:eastAsia="zh-CN"/>
        </w:rPr>
        <w:t>中国人民银行</w:t>
      </w:r>
      <w:r>
        <w:rPr>
          <w:rFonts w:hint="eastAsia" w:ascii="仿宋_GB2312" w:cs="仿宋_GB2312"/>
          <w:color w:val="000000"/>
          <w:sz w:val="32"/>
          <w:szCs w:val="30"/>
          <w:highlight w:val="none"/>
          <w:lang w:eastAsia="zh-CN"/>
        </w:rPr>
        <w:t>三明市</w:t>
      </w:r>
      <w:r>
        <w:rPr>
          <w:rFonts w:hint="eastAsia" w:ascii="仿宋_GB2312" w:hAnsi="Times New Roman" w:eastAsia="仿宋_GB2312" w:cs="仿宋_GB2312"/>
          <w:color w:val="000000"/>
          <w:sz w:val="32"/>
          <w:szCs w:val="30"/>
          <w:highlight w:val="none"/>
          <w:lang w:eastAsia="zh-CN"/>
        </w:rPr>
        <w:t>分行</w:t>
      </w:r>
      <w:r>
        <w:rPr>
          <w:rFonts w:hint="eastAsia" w:ascii="仿宋_GB2312" w:cs="仿宋_GB2312"/>
          <w:color w:val="000000"/>
          <w:szCs w:val="30"/>
          <w:highlight w:val="none"/>
          <w:lang w:eastAsia="zh-CN"/>
        </w:rPr>
        <w:t>二</w:t>
      </w:r>
      <w:r>
        <w:rPr>
          <w:rFonts w:hint="eastAsia" w:ascii="仿宋_GB2312" w:cs="仿宋_GB2312"/>
          <w:color w:val="000000"/>
          <w:szCs w:val="30"/>
          <w:highlight w:val="none"/>
        </w:rPr>
        <w:t>楼国库</w:t>
      </w:r>
      <w:r>
        <w:rPr>
          <w:rFonts w:hint="eastAsia" w:ascii="仿宋_GB2312" w:cs="仿宋_GB2312"/>
          <w:color w:val="000000"/>
          <w:szCs w:val="30"/>
          <w:highlight w:val="none"/>
          <w:lang w:eastAsia="zh-CN"/>
        </w:rPr>
        <w:t>科。</w:t>
      </w:r>
    </w:p>
    <w:p>
      <w:pPr>
        <w:ind w:firstLine="632" w:firstLineChars="200"/>
        <w:rPr>
          <w:rFonts w:hint="eastAsia" w:ascii="仿宋_GB2312" w:hAnsi="仿宋_GB2312" w:eastAsia="仿宋_GB2312" w:cs="仿宋_GB2312"/>
          <w:color w:val="000000"/>
          <w:szCs w:val="30"/>
          <w:highlight w:val="none"/>
          <w:lang w:eastAsia="zh-CN"/>
        </w:rPr>
      </w:pPr>
      <w:r>
        <w:rPr>
          <w:rFonts w:hint="eastAsia" w:ascii="仿宋_GB2312" w:hAnsi="仿宋_GB2312" w:eastAsia="仿宋_GB2312" w:cs="仿宋_GB2312"/>
          <w:b/>
          <w:bCs/>
          <w:color w:val="000000"/>
          <w:szCs w:val="30"/>
          <w:highlight w:val="none"/>
        </w:rPr>
        <w:t>电话咨询：</w:t>
      </w:r>
      <w:r>
        <w:rPr>
          <w:rFonts w:hint="eastAsia" w:ascii="仿宋_GB2312" w:hAnsi="仿宋_GB2312" w:eastAsia="仿宋_GB2312" w:cs="仿宋_GB2312"/>
          <w:color w:val="000000"/>
          <w:szCs w:val="30"/>
          <w:highlight w:val="none"/>
          <w:lang w:val="en-US" w:eastAsia="zh-CN"/>
        </w:rPr>
        <w:t>0598-89690</w:t>
      </w:r>
      <w:r>
        <w:rPr>
          <w:rFonts w:hint="eastAsia" w:ascii="仿宋_GB2312" w:hAnsi="仿宋_GB2312" w:cs="仿宋_GB2312"/>
          <w:color w:val="000000"/>
          <w:szCs w:val="30"/>
          <w:highlight w:val="none"/>
          <w:lang w:val="en-US" w:eastAsia="zh-CN"/>
        </w:rPr>
        <w:t>63,0598-8969018</w:t>
      </w:r>
      <w:r>
        <w:rPr>
          <w:rFonts w:hint="eastAsia" w:ascii="仿宋_GB2312" w:hAnsi="仿宋_GB2312" w:eastAsia="仿宋_GB2312" w:cs="仿宋_GB2312"/>
          <w:color w:val="000000"/>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7.监督投诉方式：</w:t>
      </w:r>
    </w:p>
    <w:p>
      <w:pPr>
        <w:ind w:firstLine="632" w:firstLineChars="200"/>
        <w:rPr>
          <w:rFonts w:hint="eastAsia" w:ascii="仿宋_GB2312" w:cs="仿宋_GB2312"/>
          <w:color w:val="000000"/>
          <w:szCs w:val="30"/>
          <w:highlight w:val="none"/>
          <w:lang w:eastAsia="zh-CN"/>
        </w:rPr>
      </w:pPr>
      <w:r>
        <w:rPr>
          <w:rFonts w:hint="eastAsia" w:ascii="仿宋_GB2312" w:cs="仿宋_GB2312"/>
          <w:color w:val="000000"/>
          <w:szCs w:val="30"/>
          <w:highlight w:val="none"/>
          <w:lang w:val="en-US" w:eastAsia="zh-CN"/>
        </w:rPr>
        <w:t>信件：</w:t>
      </w:r>
      <w:r>
        <w:rPr>
          <w:color w:val="auto"/>
          <w:highlight w:val="none"/>
        </w:rPr>
        <w:t>三明市三元区东新四路崇桂新村98幢</w:t>
      </w:r>
      <w:r>
        <w:rPr>
          <w:rFonts w:hint="eastAsia" w:ascii="仿宋_GB2312" w:hAnsi="Times New Roman" w:eastAsia="仿宋_GB2312" w:cs="仿宋_GB2312"/>
          <w:color w:val="auto"/>
          <w:sz w:val="32"/>
          <w:szCs w:val="30"/>
          <w:highlight w:val="none"/>
          <w:lang w:eastAsia="zh-CN"/>
        </w:rPr>
        <w:t>中国人民银行</w:t>
      </w:r>
      <w:r>
        <w:rPr>
          <w:rFonts w:hint="eastAsia" w:ascii="仿宋_GB2312" w:cs="仿宋_GB2312"/>
          <w:color w:val="auto"/>
          <w:sz w:val="32"/>
          <w:szCs w:val="30"/>
          <w:highlight w:val="none"/>
          <w:lang w:eastAsia="zh-CN"/>
        </w:rPr>
        <w:t>三明市分行</w:t>
      </w:r>
      <w:r>
        <w:rPr>
          <w:rFonts w:hint="eastAsia" w:ascii="仿宋_GB2312" w:cs="仿宋_GB2312"/>
          <w:color w:val="auto"/>
          <w:szCs w:val="30"/>
          <w:highlight w:val="none"/>
          <w:lang w:val="en-US" w:eastAsia="zh-CN"/>
        </w:rPr>
        <w:t>,</w:t>
      </w:r>
      <w:r>
        <w:rPr>
          <w:rFonts w:hint="eastAsia" w:ascii="仿宋_GB2312" w:cs="仿宋_GB2312"/>
          <w:color w:val="auto"/>
          <w:szCs w:val="30"/>
          <w:highlight w:val="none"/>
        </w:rPr>
        <w:t>邮编：</w:t>
      </w:r>
      <w:r>
        <w:rPr>
          <w:rFonts w:hint="eastAsia" w:ascii="仿宋_GB2312" w:cs="仿宋_GB2312"/>
          <w:color w:val="auto"/>
          <w:szCs w:val="30"/>
          <w:highlight w:val="none"/>
          <w:lang w:val="en-US" w:eastAsia="zh-CN"/>
        </w:rPr>
        <w:t>365000</w:t>
      </w:r>
      <w:r>
        <w:rPr>
          <w:rFonts w:hint="eastAsia" w:ascii="仿宋_GB2312" w:cs="仿宋_GB2312"/>
          <w:color w:val="auto"/>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8.是否支持预约办理：否</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9.是否支持物流快递：是</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10.是否支持自助终端办理：否</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p>
    <w:p>
      <w:pPr>
        <w:rPr>
          <w:rFonts w:hint="eastAsia" w:ascii="仿宋_GB2312" w:cs="仿宋_GB2312"/>
          <w:color w:val="000000"/>
          <w:szCs w:val="30"/>
          <w:highlight w:val="none"/>
        </w:rPr>
      </w:pPr>
      <w:r>
        <w:rPr>
          <w:rFonts w:hint="eastAsia" w:ascii="仿宋_GB2312" w:cs="仿宋_GB2312"/>
          <w:color w:val="000000"/>
          <w:szCs w:val="30"/>
          <w:highlight w:val="none"/>
          <w:lang w:val="en-US" w:eastAsia="zh-CN"/>
        </w:rPr>
        <w:t xml:space="preserve">    </w:t>
      </w:r>
      <w:r>
        <w:rPr>
          <w:rFonts w:hint="eastAsia" w:ascii="仿宋_GB2312" w:cs="仿宋_GB2312"/>
          <w:color w:val="000000"/>
          <w:szCs w:val="30"/>
          <w:highlight w:val="none"/>
        </w:rPr>
        <w:t>附</w:t>
      </w:r>
      <w:r>
        <w:rPr>
          <w:rFonts w:hint="eastAsia" w:ascii="仿宋_GB2312" w:cs="仿宋_GB2312"/>
          <w:color w:val="000000"/>
          <w:szCs w:val="30"/>
          <w:highlight w:val="none"/>
          <w:lang w:eastAsia="zh-CN"/>
        </w:rPr>
        <w:t>件</w:t>
      </w:r>
      <w:r>
        <w:rPr>
          <w:rFonts w:hint="eastAsia" w:ascii="仿宋_GB2312" w:cs="仿宋_GB2312"/>
          <w:color w:val="000000"/>
          <w:szCs w:val="30"/>
          <w:highlight w:val="none"/>
        </w:rPr>
        <w:t>：1.流程图</w:t>
      </w:r>
    </w:p>
    <w:p>
      <w:pPr>
        <w:ind w:firstLine="629" w:firstLineChars="199"/>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 xml:space="preserve">      2.告知承诺书</w:t>
      </w:r>
    </w:p>
    <w:p>
      <w:pPr>
        <w:ind w:firstLine="1258" w:firstLineChars="398"/>
        <w:rPr>
          <w:rFonts w:hint="eastAsia" w:ascii="仿宋_GB2312" w:eastAsia="仿宋_GB2312" w:cs="仿宋_GB2312"/>
          <w:color w:val="000000"/>
          <w:szCs w:val="30"/>
          <w:highlight w:val="none"/>
          <w:lang w:eastAsia="zh-CN"/>
        </w:rPr>
      </w:pPr>
      <w:r>
        <w:rPr>
          <w:rFonts w:hint="eastAsia" w:ascii="仿宋_GB2312" w:cs="仿宋_GB2312"/>
          <w:color w:val="000000"/>
          <w:szCs w:val="30"/>
          <w:highlight w:val="none"/>
          <w:lang w:val="en-US" w:eastAsia="zh-CN"/>
        </w:rPr>
        <w:t xml:space="preserve">  3</w:t>
      </w:r>
      <w:r>
        <w:rPr>
          <w:rFonts w:hint="eastAsia" w:ascii="仿宋_GB2312" w:cs="仿宋_GB2312"/>
          <w:color w:val="000000"/>
          <w:szCs w:val="30"/>
          <w:highlight w:val="none"/>
        </w:rPr>
        <w:t>.</w:t>
      </w:r>
      <w:r>
        <w:rPr>
          <w:rFonts w:hint="eastAsia" w:ascii="仿宋_GB2312" w:cs="仿宋_GB2312"/>
          <w:color w:val="000000"/>
          <w:szCs w:val="30"/>
          <w:highlight w:val="none"/>
          <w:lang w:eastAsia="zh-CN"/>
        </w:rPr>
        <w:t>授权委托书</w:t>
      </w:r>
    </w:p>
    <w:p>
      <w:pPr>
        <w:ind w:firstLine="1258" w:firstLineChars="398"/>
        <w:rPr>
          <w:rFonts w:hint="eastAsia" w:ascii="仿宋_GB2312"/>
          <w:color w:val="000000"/>
          <w:szCs w:val="30"/>
          <w:highlight w:val="none"/>
        </w:rPr>
      </w:pPr>
      <w:r>
        <w:rPr>
          <w:rFonts w:hint="eastAsia" w:ascii="仿宋_GB2312" w:cs="仿宋_GB2312"/>
          <w:color w:val="000000"/>
          <w:szCs w:val="30"/>
          <w:highlight w:val="none"/>
          <w:lang w:val="en-US" w:eastAsia="zh-CN"/>
        </w:rPr>
        <w:t xml:space="preserve">  4.</w:t>
      </w:r>
      <w:r>
        <w:rPr>
          <w:rFonts w:hint="eastAsia" w:ascii="仿宋_GB2312" w:cs="仿宋_GB2312"/>
          <w:color w:val="000000"/>
          <w:szCs w:val="30"/>
          <w:highlight w:val="none"/>
        </w:rPr>
        <w:t>相关申请材料示范文本</w:t>
      </w:r>
    </w:p>
    <w:p>
      <w:pPr>
        <w:ind w:firstLine="1258" w:firstLineChars="398"/>
        <w:rPr>
          <w:rFonts w:hint="eastAsia" w:ascii="仿宋_GB2312"/>
          <w:color w:val="000000"/>
          <w:szCs w:val="30"/>
          <w:highlight w:val="none"/>
        </w:rPr>
      </w:pPr>
      <w:r>
        <w:rPr>
          <w:rFonts w:hint="eastAsia" w:ascii="仿宋_GB2312" w:cs="仿宋_GB2312"/>
          <w:color w:val="000000"/>
          <w:szCs w:val="30"/>
          <w:highlight w:val="none"/>
          <w:lang w:val="en-US" w:eastAsia="zh-CN"/>
        </w:rPr>
        <w:t xml:space="preserve">  5</w:t>
      </w:r>
      <w:r>
        <w:rPr>
          <w:rFonts w:hint="eastAsia" w:ascii="仿宋_GB2312" w:cs="仿宋_GB2312"/>
          <w:color w:val="000000"/>
          <w:szCs w:val="30"/>
          <w:highlight w:val="none"/>
        </w:rPr>
        <w:t>.常见错误示例</w:t>
      </w:r>
    </w:p>
    <w:p>
      <w:pPr>
        <w:ind w:firstLine="1258" w:firstLineChars="398"/>
        <w:rPr>
          <w:rFonts w:hint="eastAsia" w:ascii="仿宋_GB2312" w:cs="仿宋_GB2312"/>
          <w:color w:val="000000"/>
          <w:szCs w:val="30"/>
          <w:highlight w:val="none"/>
        </w:rPr>
        <w:sectPr>
          <w:footerReference r:id="rId3" w:type="default"/>
          <w:footerReference r:id="rId4" w:type="even"/>
          <w:footnotePr>
            <w:numFmt w:val="decimal"/>
          </w:footnotePr>
          <w:endnotePr>
            <w:numFmt w:val="decimal"/>
          </w:endnotePr>
          <w:pgSz w:w="11906" w:h="16838"/>
          <w:pgMar w:top="2098" w:right="1531" w:bottom="1985" w:left="1531" w:header="851" w:footer="1418" w:gutter="0"/>
          <w:pgNumType w:fmt="decimal" w:start="1"/>
          <w:cols w:space="720" w:num="1"/>
          <w:docGrid w:type="linesAndChars" w:linePitch="579" w:charSpace="-849"/>
        </w:sectPr>
      </w:pPr>
      <w:r>
        <w:rPr>
          <w:rFonts w:hint="eastAsia" w:ascii="仿宋_GB2312" w:cs="仿宋_GB2312"/>
          <w:color w:val="000000"/>
          <w:szCs w:val="30"/>
          <w:highlight w:val="none"/>
          <w:lang w:val="en-US" w:eastAsia="zh-CN"/>
        </w:rPr>
        <w:t xml:space="preserve">  6</w:t>
      </w:r>
      <w:r>
        <w:rPr>
          <w:rFonts w:hint="eastAsia" w:ascii="仿宋_GB2312" w:cs="仿宋_GB2312"/>
          <w:color w:val="000000"/>
          <w:szCs w:val="30"/>
          <w:highlight w:val="none"/>
        </w:rPr>
        <w:t>.常见问题回答</w:t>
      </w:r>
    </w:p>
    <w:p>
      <w:pPr>
        <w:keepNext w:val="0"/>
        <w:keepLines w:val="0"/>
        <w:pageBreakBefore w:val="0"/>
        <w:widowControl w:val="0"/>
        <w:kinsoku/>
        <w:wordWrap/>
        <w:overflowPunct/>
        <w:topLinePunct w:val="0"/>
        <w:autoSpaceDE/>
        <w:autoSpaceDN/>
        <w:bidi w:val="0"/>
        <w:adjustRightInd/>
        <w:snapToGrid/>
        <w:spacing w:line="240" w:lineRule="auto"/>
        <w:ind w:firstLine="636" w:firstLineChars="199"/>
        <w:textAlignment w:val="auto"/>
        <w:rPr>
          <w:rFonts w:hint="default" w:ascii="仿宋_GB2312" w:cs="仿宋_GB2312"/>
          <w:color w:val="000000"/>
          <w:szCs w:val="30"/>
          <w:highlight w:val="none"/>
          <w:lang w:val="en-US" w:eastAsia="zh-CN"/>
        </w:rPr>
      </w:pPr>
    </w:p>
    <w:p>
      <w:pPr>
        <w:ind w:right="-11"/>
        <w:rPr>
          <w:rFonts w:hint="eastAsia" w:ascii="黑体" w:eastAsia="黑体"/>
          <w:szCs w:val="44"/>
          <w:highlight w:val="none"/>
        </w:rPr>
      </w:pPr>
      <w:r>
        <w:rPr>
          <w:rFonts w:hint="eastAsia" w:ascii="黑体" w:eastAsia="黑体"/>
          <w:szCs w:val="44"/>
          <w:highlight w:val="none"/>
        </w:rPr>
        <w:t>附1</w:t>
      </w:r>
    </w:p>
    <w:p>
      <w:pPr>
        <w:ind w:right="-11"/>
        <w:rPr>
          <w:rFonts w:hint="eastAsia" w:ascii="黑体" w:eastAsia="黑体"/>
          <w:szCs w:val="44"/>
          <w:highlight w:val="none"/>
        </w:rPr>
      </w:pPr>
    </w:p>
    <w:p>
      <w:pPr>
        <w:spacing w:line="720" w:lineRule="exact"/>
        <w:ind w:right="-14"/>
        <w:jc w:val="center"/>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流  程  图</w:t>
      </w:r>
    </w:p>
    <w:p>
      <w:pPr>
        <w:jc w:val="center"/>
        <w:rPr>
          <w:rFonts w:ascii="宋体"/>
          <w:color w:val="000000"/>
          <w:kern w:val="0"/>
          <w:sz w:val="27"/>
          <w:szCs w:val="27"/>
          <w:highlight w:val="none"/>
          <w:lang w:val="zh-CN"/>
        </w:rPr>
      </w:pPr>
      <w:r>
        <w:rPr>
          <w:rFonts w:ascii="宋体"/>
          <w:color w:val="000000"/>
          <w:kern w:val="0"/>
          <w:sz w:val="27"/>
          <w:szCs w:val="27"/>
          <w:highlight w:val="none"/>
          <w:lang w:val="zh-CN"/>
        </w:rPr>
        <w:drawing>
          <wp:inline distT="0" distB="0" distL="114300" distR="114300">
            <wp:extent cx="5000625" cy="6320155"/>
            <wp:effectExtent l="0" t="0" r="9525" b="444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9"/>
                    <a:stretch>
                      <a:fillRect/>
                    </a:stretch>
                  </pic:blipFill>
                  <pic:spPr>
                    <a:xfrm>
                      <a:off x="0" y="0"/>
                      <a:ext cx="5000625" cy="6320155"/>
                    </a:xfrm>
                    <a:prstGeom prst="rect">
                      <a:avLst/>
                    </a:prstGeom>
                  </pic:spPr>
                </pic:pic>
              </a:graphicData>
            </a:graphic>
          </wp:inline>
        </w:drawing>
      </w:r>
    </w:p>
    <w:p>
      <w:pPr>
        <w:ind w:right="-11"/>
        <w:rPr>
          <w:rFonts w:hint="eastAsia" w:ascii="黑体" w:eastAsia="黑体"/>
          <w:szCs w:val="44"/>
          <w:highlight w:val="none"/>
        </w:rPr>
      </w:pPr>
    </w:p>
    <w:p>
      <w:pPr>
        <w:ind w:right="-11"/>
        <w:rPr>
          <w:rFonts w:hint="eastAsia" w:ascii="黑体" w:eastAsia="黑体"/>
          <w:szCs w:val="44"/>
          <w:highlight w:val="none"/>
        </w:rPr>
      </w:pPr>
    </w:p>
    <w:p>
      <w:pPr>
        <w:ind w:right="-11"/>
        <w:rPr>
          <w:rFonts w:hint="eastAsia" w:ascii="黑体" w:eastAsia="黑体"/>
          <w:szCs w:val="44"/>
          <w:highlight w:val="none"/>
        </w:rPr>
      </w:pPr>
    </w:p>
    <w:p>
      <w:pPr>
        <w:ind w:right="-11"/>
        <w:rPr>
          <w:rFonts w:hint="eastAsia" w:ascii="黑体" w:eastAsia="黑体"/>
          <w:szCs w:val="44"/>
          <w:highlight w:val="none"/>
        </w:rPr>
      </w:pPr>
    </w:p>
    <w:p>
      <w:pPr>
        <w:ind w:right="-11"/>
        <w:rPr>
          <w:rFonts w:hint="eastAsia" w:ascii="黑体" w:eastAsia="黑体"/>
          <w:szCs w:val="44"/>
          <w:highlight w:val="none"/>
        </w:rPr>
      </w:pPr>
    </w:p>
    <w:p>
      <w:pPr>
        <w:ind w:right="-11"/>
        <w:rPr>
          <w:rFonts w:hint="eastAsia" w:ascii="黑体" w:eastAsia="黑体"/>
          <w:szCs w:val="44"/>
          <w:highlight w:val="none"/>
          <w:lang w:val="en-US" w:eastAsia="zh-CN"/>
        </w:rPr>
      </w:pPr>
      <w:r>
        <w:rPr>
          <w:rFonts w:hint="eastAsia" w:ascii="黑体" w:eastAsia="黑体"/>
          <w:szCs w:val="44"/>
          <w:highlight w:val="none"/>
        </w:rPr>
        <w:t>附</w:t>
      </w:r>
      <w:r>
        <w:rPr>
          <w:rFonts w:hint="eastAsia" w:ascii="黑体" w:eastAsia="黑体"/>
          <w:szCs w:val="44"/>
          <w:highlight w:val="none"/>
          <w:lang w:val="en-US" w:eastAsia="zh-CN"/>
        </w:rPr>
        <w:t>2</w:t>
      </w:r>
    </w:p>
    <w:p>
      <w:pPr>
        <w:spacing w:line="720" w:lineRule="exact"/>
        <w:jc w:val="center"/>
        <w:rPr>
          <w:rFonts w:ascii="方正小标宋_GBK" w:hAnsi="方正小标宋_GBK" w:eastAsia="方正小标宋_GBK"/>
          <w:sz w:val="44"/>
        </w:rPr>
      </w:pPr>
      <w:r>
        <w:rPr>
          <w:rFonts w:hint="eastAsia" w:ascii="方正小标宋_GBK" w:hAnsi="方正小标宋_GBK" w:eastAsia="方正小标宋_GBK"/>
          <w:sz w:val="44"/>
          <w:lang w:eastAsia="zh-CN"/>
        </w:rPr>
        <w:t>告</w:t>
      </w:r>
      <w:r>
        <w:rPr>
          <w:rFonts w:hint="eastAsia" w:ascii="方正小标宋_GBK" w:hAnsi="方正小标宋_GBK" w:eastAsia="方正小标宋_GBK"/>
          <w:sz w:val="44"/>
        </w:rPr>
        <w:t>知书</w:t>
      </w:r>
    </w:p>
    <w:p>
      <w:pPr>
        <w:spacing w:line="490" w:lineRule="exact"/>
        <w:rPr>
          <w:rFonts w:ascii="楷体_GB2312" w:eastAsia="楷体_GB2312"/>
          <w:sz w:val="30"/>
          <w:u w:val="single"/>
        </w:rPr>
      </w:pPr>
      <w:r>
        <w:rPr>
          <w:rFonts w:hint="eastAsia" w:ascii="方正小标宋_GBK" w:hAnsi="方正小标宋_GBK" w:eastAsia="方正小标宋_GBK"/>
          <w:sz w:val="36"/>
        </w:rPr>
        <w:t xml:space="preserve">            </w:t>
      </w:r>
      <w:r>
        <w:rPr>
          <w:rFonts w:hint="eastAsia" w:ascii="方正小标宋_GBK" w:hAnsi="方正小标宋_GBK" w:eastAsia="方正小标宋_GBK"/>
          <w:sz w:val="30"/>
        </w:rPr>
        <w:t xml:space="preserve"> </w:t>
      </w:r>
      <w:r>
        <w:rPr>
          <w:rFonts w:hint="eastAsia" w:ascii="方正小标宋_GBK" w:hAnsi="方正小标宋_GBK" w:eastAsia="方正小标宋_GBK"/>
          <w:sz w:val="32"/>
        </w:rPr>
        <w:t xml:space="preserve">  </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一、行政主体基本信息</w:t>
      </w:r>
    </w:p>
    <w:p>
      <w:pPr>
        <w:spacing w:line="52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名称：</w:t>
      </w:r>
      <w:r>
        <w:rPr>
          <w:rFonts w:hint="eastAsia" w:ascii="仿宋_GB2312" w:hAnsi="仿宋_GB2312" w:eastAsia="仿宋_GB2312"/>
          <w:color w:val="000000"/>
          <w:sz w:val="32"/>
          <w:szCs w:val="32"/>
          <w:u w:val="single"/>
        </w:rPr>
        <w:t>中国人民银行XXX分行</w:t>
      </w:r>
      <w:r>
        <w:rPr>
          <w:rFonts w:hint="eastAsia" w:ascii="仿宋_GB2312" w:hAnsi="仿宋_GB2312" w:eastAsia="仿宋_GB2312"/>
          <w:b/>
          <w:bCs/>
          <w:sz w:val="32"/>
          <w:szCs w:val="32"/>
          <w:u w:val="single"/>
        </w:rPr>
        <w:t xml:space="preserve">   </w:t>
      </w:r>
      <w:r>
        <w:rPr>
          <w:rFonts w:hint="eastAsia" w:ascii="仿宋_GB2312" w:hAnsi="仿宋_GB2312" w:eastAsia="仿宋_GB2312"/>
          <w:color w:val="000000"/>
          <w:sz w:val="32"/>
          <w:szCs w:val="32"/>
        </w:rPr>
        <w:t>联系方式：</w:t>
      </w:r>
      <w:r>
        <w:rPr>
          <w:rFonts w:hint="eastAsia" w:ascii="仿宋_GB2312" w:hAnsi="仿宋_GB2312" w:eastAsia="仿宋_GB2312"/>
          <w:b/>
          <w:bCs/>
          <w:sz w:val="32"/>
          <w:szCs w:val="32"/>
          <w:u w:val="single"/>
        </w:rPr>
        <w:t xml:space="preserve">           </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二、行政主体告知</w:t>
      </w:r>
    </w:p>
    <w:p>
      <w:pPr>
        <w:spacing w:line="520" w:lineRule="exact"/>
        <w:ind w:firstLine="640" w:firstLineChars="200"/>
        <w:rPr>
          <w:rFonts w:ascii="楷体_GB2312" w:hAnsi="楷体_GB2312" w:eastAsia="楷体_GB2312"/>
          <w:color w:val="000000"/>
          <w:sz w:val="32"/>
          <w:szCs w:val="32"/>
        </w:rPr>
      </w:pPr>
      <w:r>
        <w:rPr>
          <w:rFonts w:hint="eastAsia" w:ascii="楷体_GB2312" w:hAnsi="楷体_GB2312" w:eastAsia="楷体_GB2312"/>
          <w:color w:val="000000"/>
          <w:sz w:val="32"/>
          <w:szCs w:val="32"/>
        </w:rPr>
        <w:t>（一）证明事项名称。</w:t>
      </w:r>
    </w:p>
    <w:p>
      <w:pPr>
        <w:spacing w:line="520" w:lineRule="exact"/>
        <w:ind w:firstLine="640" w:firstLineChars="200"/>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企业法人营业执照，金融监管部门、政府审计部门、会计师事务所作出的最新监管报告、审计报告，金融许可证。</w:t>
      </w:r>
    </w:p>
    <w:p>
      <w:pPr>
        <w:spacing w:line="520" w:lineRule="exact"/>
        <w:ind w:firstLine="640" w:firstLineChars="200"/>
        <w:rPr>
          <w:rFonts w:ascii="楷体_GB2312" w:hAnsi="楷体_GB2312" w:eastAsia="楷体_GB2312"/>
          <w:color w:val="000000"/>
          <w:sz w:val="32"/>
          <w:szCs w:val="32"/>
        </w:rPr>
      </w:pPr>
      <w:r>
        <w:rPr>
          <w:rFonts w:hint="eastAsia" w:ascii="楷体_GB2312" w:hAnsi="楷体_GB2312" w:eastAsia="楷体_GB2312"/>
          <w:color w:val="000000"/>
          <w:sz w:val="32"/>
          <w:szCs w:val="32"/>
        </w:rPr>
        <w:t>（二）证明事项的证明内容。</w:t>
      </w:r>
    </w:p>
    <w:p>
      <w:pPr>
        <w:spacing w:line="52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营业执照，证明申请人具备从事生产经营活动的资质；金融监管部门、政府审计部门、会计师事务所作出的最新监管报告、审计报告，证明申请人的财务状况和经营成果获得了监管部门、政府审计部门和会计师事务所发表的实际意见；金融许可证，证明申请人是经银保监部门批准经营金融业务的金融机构。</w:t>
      </w:r>
    </w:p>
    <w:p>
      <w:pPr>
        <w:spacing w:line="520" w:lineRule="exact"/>
        <w:ind w:firstLine="640" w:firstLineChars="200"/>
        <w:rPr>
          <w:rFonts w:ascii="楷体_GB2312" w:hAnsi="楷体_GB2312" w:eastAsia="楷体_GB2312"/>
          <w:color w:val="000000"/>
          <w:sz w:val="32"/>
          <w:szCs w:val="32"/>
        </w:rPr>
      </w:pPr>
      <w:r>
        <w:rPr>
          <w:rFonts w:hint="eastAsia" w:ascii="楷体_GB2312" w:hAnsi="楷体_GB2312" w:eastAsia="楷体_GB2312"/>
          <w:color w:val="000000"/>
          <w:sz w:val="32"/>
          <w:szCs w:val="32"/>
        </w:rPr>
        <w:t>（三）证明事项的设定依据。</w:t>
      </w:r>
    </w:p>
    <w:p>
      <w:pPr>
        <w:spacing w:line="520" w:lineRule="exact"/>
        <w:ind w:firstLine="590"/>
        <w:rPr>
          <w:rFonts w:ascii="仿宋_GB2312" w:hAnsi="仿宋_GB2312" w:eastAsia="仿宋_GB2312"/>
          <w:color w:val="000000"/>
          <w:sz w:val="32"/>
          <w:szCs w:val="32"/>
        </w:rPr>
      </w:pPr>
      <w:r>
        <w:rPr>
          <w:rFonts w:hint="eastAsia" w:ascii="仿宋_GB2312" w:hAnsi="仿宋_GB2312" w:eastAsia="仿宋_GB2312"/>
          <w:color w:val="000000"/>
          <w:sz w:val="32"/>
          <w:szCs w:val="32"/>
        </w:rPr>
        <w:t>1.《国务院办公厅关于全面实行行政许可事项清单管理的通知》（国办发〔2022〕2号）附件《法律、行政法规、国务院决定设定的行政许可事项清单》（2022年版）第526项“国库集中收付代理银行资格认定”。</w:t>
      </w:r>
    </w:p>
    <w:p>
      <w:pPr>
        <w:spacing w:line="520" w:lineRule="exact"/>
        <w:ind w:firstLine="590"/>
        <w:rPr>
          <w:rFonts w:ascii="仿宋_GB2312" w:hAnsi="仿宋_GB2312" w:eastAsia="仿宋_GB2312"/>
          <w:color w:val="000000"/>
          <w:sz w:val="32"/>
          <w:szCs w:val="32"/>
        </w:rPr>
      </w:pPr>
      <w:r>
        <w:rPr>
          <w:rFonts w:hint="eastAsia" w:ascii="仿宋_GB2312" w:hAnsi="仿宋_GB2312" w:eastAsia="仿宋_GB2312"/>
          <w:color w:val="000000"/>
          <w:sz w:val="32"/>
          <w:szCs w:val="32"/>
        </w:rPr>
        <w:t>2.《国务院对确需保留的行政审批项目设定行政许可的决定》（中华人民共和国国务院令第412号）附件《国务院决定对确需保留的行政审批项目设定行政许可的目录》第221项“国库集中支付代理银行资格认定”。</w:t>
      </w:r>
    </w:p>
    <w:p>
      <w:pPr>
        <w:spacing w:line="520" w:lineRule="exact"/>
        <w:ind w:firstLine="590"/>
        <w:rPr>
          <w:rFonts w:ascii="仿宋_GB2312" w:hAnsi="仿宋_GB2312" w:eastAsia="仿宋_GB2312"/>
          <w:color w:val="000000"/>
          <w:sz w:val="32"/>
          <w:szCs w:val="32"/>
        </w:rPr>
      </w:pPr>
      <w:r>
        <w:rPr>
          <w:rFonts w:hint="eastAsia" w:ascii="仿宋_GB2312" w:hAnsi="仿宋_GB2312" w:eastAsia="仿宋_GB2312"/>
          <w:color w:val="000000"/>
          <w:sz w:val="32"/>
          <w:szCs w:val="32"/>
        </w:rPr>
        <w:t>3.《国务院关于第六批取消和调整行政审批项目的决定》（国发〔2012〕52号）附件2《国务院决定调整的行政审批项目目录（143项）》“（二）减少审批部门的行政审批项目（9项）”中第4项“国库集中支付代理银行资格认定”。</w:t>
      </w:r>
    </w:p>
    <w:p>
      <w:pPr>
        <w:spacing w:line="520" w:lineRule="exact"/>
        <w:ind w:firstLine="590"/>
        <w:rPr>
          <w:rFonts w:ascii="楷体_GB2312" w:hAnsi="楷体_GB2312" w:eastAsia="楷体_GB2312"/>
          <w:color w:val="000000"/>
          <w:sz w:val="32"/>
          <w:szCs w:val="32"/>
        </w:rPr>
      </w:pPr>
      <w:r>
        <w:rPr>
          <w:rFonts w:hint="eastAsia" w:ascii="仿宋_GB2312" w:hAnsi="仿宋_GB2312" w:eastAsia="仿宋_GB2312"/>
          <w:color w:val="000000"/>
          <w:sz w:val="32"/>
          <w:szCs w:val="32"/>
        </w:rPr>
        <w:t>4.《中央财政国库集中收付代理银行资格认定管理暂行办法》（银发〔2012〕172号文印发）第八条 “申请人应向中国人民银行提供以下书面材料（一式一份）：……（三）《金融许可证》和《企业法人营业执照》（副本）；……”。</w:t>
      </w:r>
    </w:p>
    <w:p>
      <w:pPr>
        <w:spacing w:line="520" w:lineRule="exact"/>
        <w:ind w:firstLine="640" w:firstLineChars="200"/>
        <w:rPr>
          <w:rFonts w:ascii="楷体_GB2312" w:hAnsi="楷体_GB2312" w:eastAsia="楷体_GB2312"/>
          <w:color w:val="000000"/>
          <w:sz w:val="32"/>
          <w:szCs w:val="32"/>
        </w:rPr>
      </w:pPr>
      <w:r>
        <w:rPr>
          <w:rFonts w:hint="eastAsia" w:ascii="楷体_GB2312" w:hAnsi="楷体_GB2312" w:eastAsia="楷体_GB2312"/>
          <w:color w:val="000000"/>
          <w:sz w:val="32"/>
          <w:szCs w:val="32"/>
        </w:rPr>
        <w:t>（四）告知承诺制的适用对象。</w:t>
      </w:r>
    </w:p>
    <w:p>
      <w:pPr>
        <w:spacing w:line="520" w:lineRule="exact"/>
        <w:ind w:firstLine="640" w:firstLineChars="200"/>
        <w:rPr>
          <w:rFonts w:ascii="仿宋_GB2312" w:hAnsi="方正小标宋_GBK" w:eastAsia="仿宋_GB2312"/>
          <w:color w:val="000000"/>
          <w:sz w:val="32"/>
          <w:szCs w:val="32"/>
        </w:rPr>
      </w:pPr>
      <w:r>
        <w:rPr>
          <w:rFonts w:hint="eastAsia" w:ascii="仿宋_GB2312" w:hAnsi="仿宋_GB2312" w:eastAsia="仿宋_GB2312"/>
          <w:color w:val="000000"/>
          <w:sz w:val="32"/>
          <w:szCs w:val="32"/>
        </w:rPr>
        <w:t>申请人可自主选择是否采用告知承诺替代证明。申请人如不愿承诺或者无法承诺的，应提交本证明事项所需证明材料。</w:t>
      </w:r>
      <w:r>
        <w:rPr>
          <w:rFonts w:hint="eastAsia" w:ascii="仿宋_GB2312" w:hAnsi="方正小标宋_GBK" w:eastAsia="仿宋_GB2312"/>
          <w:color w:val="000000"/>
          <w:sz w:val="32"/>
          <w:szCs w:val="32"/>
        </w:rPr>
        <w:t>存在较严重的不良信用记录或者存在曾作出虚假承诺等情形的申请人，在信用修复前不得申请适用告知承诺制。</w:t>
      </w:r>
    </w:p>
    <w:p>
      <w:pPr>
        <w:spacing w:line="520" w:lineRule="exact"/>
        <w:ind w:firstLine="640" w:firstLineChars="200"/>
        <w:rPr>
          <w:rFonts w:ascii="楷体_GB2312" w:hAnsi="楷体_GB2312" w:eastAsia="楷体_GB2312"/>
          <w:color w:val="000000"/>
          <w:sz w:val="32"/>
          <w:szCs w:val="32"/>
        </w:rPr>
      </w:pPr>
      <w:r>
        <w:rPr>
          <w:rFonts w:hint="eastAsia" w:ascii="楷体_GB2312" w:hAnsi="楷体_GB2312" w:eastAsia="楷体_GB2312"/>
          <w:color w:val="000000"/>
          <w:sz w:val="32"/>
          <w:szCs w:val="32"/>
        </w:rPr>
        <w:t>（五）承诺方式及法律效力。</w:t>
      </w:r>
    </w:p>
    <w:p>
      <w:pPr>
        <w:spacing w:line="52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本证明事项采用书面承诺方式，申请人愿意作出承诺的，应向</w:t>
      </w:r>
      <w:r>
        <w:rPr>
          <w:rFonts w:hint="eastAsia" w:ascii="仿宋_GB2312" w:hAnsi="仿宋_GB2312" w:eastAsia="仿宋_GB2312"/>
          <w:color w:val="000000"/>
          <w:sz w:val="32"/>
          <w:szCs w:val="32"/>
          <w:u w:val="single"/>
        </w:rPr>
        <w:t>中国人民银行XXX分行</w:t>
      </w:r>
      <w:r>
        <w:rPr>
          <w:rFonts w:hint="eastAsia" w:ascii="仿宋_GB2312" w:hAnsi="仿宋_GB2312" w:eastAsia="仿宋_GB2312"/>
          <w:color w:val="000000"/>
          <w:sz w:val="32"/>
          <w:szCs w:val="32"/>
        </w:rPr>
        <w:t>提交申请人签字或者加盖公章的承诺书原件。本证明事项必须由申请人作出承诺，不可代为承诺。</w:t>
      </w:r>
    </w:p>
    <w:p>
      <w:pPr>
        <w:spacing w:line="52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申请人书面承诺已经符合告知的条件、要求，并愿意承担不实承诺的法律责任的，</w:t>
      </w:r>
      <w:r>
        <w:rPr>
          <w:rFonts w:hint="eastAsia" w:ascii="仿宋_GB2312" w:hAnsi="仿宋_GB2312" w:eastAsia="仿宋_GB2312"/>
          <w:color w:val="000000"/>
          <w:sz w:val="32"/>
          <w:szCs w:val="32"/>
          <w:u w:val="single"/>
        </w:rPr>
        <w:t>中国人民银行XXX分行</w:t>
      </w:r>
      <w:r>
        <w:rPr>
          <w:rFonts w:hint="eastAsia" w:ascii="仿宋_GB2312" w:hAnsi="仿宋_GB2312" w:eastAsia="仿宋_GB2312"/>
          <w:color w:val="000000"/>
          <w:sz w:val="32"/>
          <w:szCs w:val="32"/>
        </w:rPr>
        <w:t>不再要求申请人提交本证明事项所需证明材料，依据书面承诺办理相关事项。</w:t>
      </w:r>
      <w:r>
        <w:rPr>
          <w:rFonts w:hint="eastAsia" w:ascii="仿宋_GB2312" w:hAnsi="方正小标宋_GBK" w:eastAsia="仿宋_GB2312"/>
          <w:color w:val="000000"/>
          <w:sz w:val="32"/>
          <w:szCs w:val="32"/>
        </w:rPr>
        <w:t>申请人在行政事项办结前，有合理理由的，可以撤回承诺申请，撤回承诺申请后申请人应提交本证明</w:t>
      </w:r>
      <w:r>
        <w:rPr>
          <w:rFonts w:hint="eastAsia" w:ascii="仿宋_GB2312" w:hAnsi="仿宋_GB2312" w:eastAsia="仿宋_GB2312"/>
          <w:color w:val="000000"/>
          <w:sz w:val="32"/>
          <w:szCs w:val="32"/>
        </w:rPr>
        <w:t>事项所需证明材料</w:t>
      </w:r>
      <w:r>
        <w:rPr>
          <w:rFonts w:hint="eastAsia" w:ascii="仿宋_GB2312" w:hAnsi="方正小标宋_GBK" w:eastAsia="仿宋_GB2312"/>
          <w:color w:val="000000"/>
          <w:sz w:val="32"/>
          <w:szCs w:val="32"/>
        </w:rPr>
        <w:t>。</w:t>
      </w:r>
    </w:p>
    <w:p>
      <w:pPr>
        <w:spacing w:line="520" w:lineRule="exact"/>
        <w:ind w:firstLine="640" w:firstLineChars="200"/>
        <w:rPr>
          <w:rFonts w:ascii="楷体_GB2312" w:hAnsi="楷体_GB2312" w:eastAsia="楷体_GB2312"/>
          <w:color w:val="000000"/>
          <w:sz w:val="32"/>
          <w:szCs w:val="32"/>
        </w:rPr>
      </w:pPr>
      <w:r>
        <w:rPr>
          <w:rFonts w:hint="eastAsia" w:ascii="楷体_GB2312" w:hAnsi="楷体_GB2312" w:eastAsia="楷体_GB2312"/>
          <w:color w:val="000000"/>
          <w:sz w:val="32"/>
          <w:szCs w:val="32"/>
        </w:rPr>
        <w:t>（六）行政主体的核查权力。</w:t>
      </w:r>
    </w:p>
    <w:p>
      <w:pPr>
        <w:spacing w:line="52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申请人选择采用告知承诺方式办理行政事项的，</w:t>
      </w:r>
      <w:r>
        <w:rPr>
          <w:rFonts w:hint="eastAsia" w:ascii="仿宋_GB2312" w:hAnsi="仿宋_GB2312" w:eastAsia="仿宋_GB2312"/>
          <w:color w:val="000000"/>
          <w:sz w:val="32"/>
          <w:szCs w:val="32"/>
          <w:u w:val="single"/>
        </w:rPr>
        <w:t>中国人民银行XXX分行</w:t>
      </w:r>
      <w:r>
        <w:rPr>
          <w:rFonts w:hint="eastAsia" w:ascii="仿宋_GB2312" w:hAnsi="仿宋_GB2312" w:eastAsia="仿宋_GB2312"/>
          <w:color w:val="000000"/>
          <w:sz w:val="32"/>
          <w:szCs w:val="32"/>
        </w:rPr>
        <w:t>有权根据实际情况，采用书面核查、网络核验、实地调查等方式，对申请人承诺的真实性进行核查。</w:t>
      </w:r>
    </w:p>
    <w:p>
      <w:pPr>
        <w:spacing w:line="520" w:lineRule="exact"/>
        <w:ind w:firstLine="640" w:firstLineChars="200"/>
        <w:rPr>
          <w:rFonts w:ascii="楷体_GB2312" w:hAnsi="楷体_GB2312" w:eastAsia="楷体_GB2312"/>
          <w:color w:val="000000"/>
          <w:sz w:val="32"/>
          <w:szCs w:val="32"/>
        </w:rPr>
      </w:pPr>
      <w:r>
        <w:rPr>
          <w:rFonts w:hint="eastAsia" w:ascii="楷体_GB2312" w:hAnsi="楷体_GB2312" w:eastAsia="楷体_GB2312"/>
          <w:color w:val="000000"/>
          <w:sz w:val="32"/>
          <w:szCs w:val="32"/>
        </w:rPr>
        <w:t>（七）承诺书公开情况。</w:t>
      </w:r>
    </w:p>
    <w:p>
      <w:pPr>
        <w:spacing w:line="52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 xml:space="preserve"> 是否公开申请人提交的承诺书：</w:t>
      </w:r>
    </w:p>
    <w:p>
      <w:pPr>
        <w:spacing w:line="520" w:lineRule="exact"/>
        <w:ind w:firstLine="640" w:firstLineChars="200"/>
        <w:rPr>
          <w:rFonts w:ascii="仿宋_GB2312" w:hAnsi="仿宋_GB2312" w:eastAsia="仿宋_GB2312"/>
          <w:color w:val="000000"/>
          <w:sz w:val="32"/>
          <w:szCs w:val="32"/>
          <w:u w:val="single"/>
        </w:rPr>
      </w:pPr>
      <w:r>
        <w:rPr>
          <w:rFonts w:hint="eastAsia" w:ascii="仿宋_GB2312" w:hAnsi="仿宋_GB2312" w:eastAsia="仿宋_GB2312"/>
          <w:color w:val="000000"/>
          <w:sz w:val="32"/>
          <w:szCs w:val="32"/>
        </w:rPr>
        <w:t xml:space="preserve"> 是□，公开范围：</w:t>
      </w:r>
      <w:r>
        <w:rPr>
          <w:rFonts w:hint="eastAsia" w:ascii="仿宋_GB2312" w:hAnsi="仿宋_GB2312" w:eastAsia="仿宋_GB2312"/>
          <w:color w:val="000000"/>
          <w:sz w:val="32"/>
          <w:szCs w:val="32"/>
          <w:u w:val="single"/>
        </w:rPr>
        <w:t>中国人民银行XXX分行官方网站、相关服务场所等。</w:t>
      </w:r>
      <w:r>
        <w:rPr>
          <w:rFonts w:hint="eastAsia" w:ascii="仿宋_GB2312" w:hAnsi="仿宋_GB2312" w:eastAsia="仿宋_GB2312"/>
          <w:color w:val="000000"/>
          <w:sz w:val="32"/>
          <w:szCs w:val="32"/>
        </w:rPr>
        <w:t>公开时间：</w:t>
      </w:r>
      <w:r>
        <w:rPr>
          <w:rFonts w:hint="eastAsia" w:ascii="仿宋_GB2312" w:hAnsi="仿宋_GB2312" w:eastAsia="仿宋_GB2312"/>
          <w:color w:val="000000"/>
          <w:sz w:val="32"/>
          <w:szCs w:val="32"/>
          <w:u w:val="single"/>
        </w:rPr>
        <w:t>××××年××月××日至××××年××月××日。</w:t>
      </w:r>
    </w:p>
    <w:p>
      <w:pPr>
        <w:spacing w:line="52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 xml:space="preserve"> 否□</w:t>
      </w:r>
    </w:p>
    <w:p>
      <w:pPr>
        <w:spacing w:line="520" w:lineRule="exact"/>
        <w:ind w:firstLine="640" w:firstLineChars="200"/>
        <w:rPr>
          <w:rFonts w:ascii="楷体_GB2312" w:hAnsi="楷体_GB2312" w:eastAsia="楷体_GB2312"/>
          <w:color w:val="000000"/>
          <w:sz w:val="32"/>
          <w:szCs w:val="32"/>
        </w:rPr>
      </w:pPr>
      <w:r>
        <w:rPr>
          <w:rFonts w:hint="eastAsia" w:ascii="楷体_GB2312" w:hAnsi="楷体_GB2312" w:eastAsia="楷体_GB2312"/>
          <w:color w:val="000000"/>
          <w:sz w:val="32"/>
          <w:szCs w:val="32"/>
        </w:rPr>
        <w:t>（八）不实承诺的法律责任。</w:t>
      </w:r>
    </w:p>
    <w:p>
      <w:pPr>
        <w:spacing w:line="52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对承诺不实等违法违规行为，</w:t>
      </w:r>
      <w:r>
        <w:rPr>
          <w:rFonts w:hint="eastAsia" w:ascii="仿宋_GB2312" w:hAnsi="仿宋_GB2312" w:eastAsia="仿宋_GB2312"/>
          <w:color w:val="000000"/>
          <w:sz w:val="32"/>
          <w:szCs w:val="32"/>
          <w:u w:val="single"/>
        </w:rPr>
        <w:t>中国人民银行XXX分行</w:t>
      </w:r>
      <w:r>
        <w:rPr>
          <w:rFonts w:hint="eastAsia" w:ascii="仿宋_GB2312" w:hAnsi="仿宋_GB2312" w:eastAsia="仿宋_GB2312"/>
          <w:color w:val="000000"/>
          <w:sz w:val="32"/>
          <w:szCs w:val="32"/>
        </w:rPr>
        <w:t>有权依法作出如下处理：</w:t>
      </w:r>
      <w:r>
        <w:rPr>
          <w:rFonts w:hint="eastAsia" w:ascii="仿宋_GB2312" w:hAnsi="仿宋_GB2312" w:eastAsia="仿宋_GB2312"/>
          <w:color w:val="000000"/>
          <w:sz w:val="32"/>
          <w:szCs w:val="32"/>
          <w:u w:val="single"/>
        </w:rPr>
        <w:t>终止行政事项办理，撤销行政决定，作出行政处罚等。</w:t>
      </w:r>
    </w:p>
    <w:p>
      <w:pPr>
        <w:spacing w:line="52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申请人因承诺不实受到行政处罚的相关信息将被依法加载至金融信用信息基础数据库。</w:t>
      </w:r>
    </w:p>
    <w:p>
      <w:pPr>
        <w:spacing w:line="520" w:lineRule="exact"/>
        <w:ind w:firstLine="640" w:firstLineChars="200"/>
        <w:rPr>
          <w:rFonts w:ascii="仿宋_GB2312" w:hAnsi="仿宋_GB2312" w:eastAsia="仿宋_GB2312"/>
          <w:color w:val="000000"/>
          <w:sz w:val="32"/>
          <w:szCs w:val="32"/>
        </w:rPr>
      </w:pPr>
    </w:p>
    <w:p>
      <w:pPr>
        <w:tabs>
          <w:tab w:val="left" w:pos="8000"/>
        </w:tabs>
        <w:spacing w:line="520" w:lineRule="exact"/>
        <w:ind w:right="134" w:rightChars="42"/>
        <w:jc w:val="right"/>
        <w:rPr>
          <w:rFonts w:ascii="仿宋_GB2312" w:hAnsi="仿宋_GB2312" w:eastAsia="仿宋_GB2312"/>
          <w:color w:val="000000"/>
          <w:sz w:val="32"/>
          <w:szCs w:val="32"/>
        </w:rPr>
      </w:pPr>
      <w:r>
        <w:rPr>
          <w:rFonts w:hint="eastAsia" w:ascii="仿宋_GB2312" w:hAnsi="仿宋_GB2312" w:eastAsia="仿宋_GB2312"/>
          <w:color w:val="000000"/>
          <w:sz w:val="32"/>
          <w:szCs w:val="32"/>
        </w:rPr>
        <w:t>中国人民银行XXX分行</w:t>
      </w:r>
    </w:p>
    <w:p>
      <w:pPr>
        <w:tabs>
          <w:tab w:val="left" w:pos="8000"/>
        </w:tabs>
        <w:spacing w:line="520" w:lineRule="exact"/>
        <w:ind w:right="134" w:rightChars="42"/>
        <w:jc w:val="center"/>
        <w:rPr>
          <w:rFonts w:ascii="仿宋_GB2312" w:hAnsi="仿宋_GB2312" w:eastAsia="仿宋_GB2312"/>
          <w:color w:val="000000"/>
          <w:sz w:val="32"/>
          <w:szCs w:val="32"/>
        </w:rPr>
      </w:pPr>
      <w:r>
        <w:rPr>
          <w:rFonts w:hint="eastAsia" w:ascii="仿宋_GB2312" w:hAnsi="仿宋_GB2312" w:eastAsia="仿宋_GB2312"/>
          <w:color w:val="000000"/>
          <w:sz w:val="32"/>
          <w:szCs w:val="32"/>
        </w:rPr>
        <w:t xml:space="preserve">                               20</w:t>
      </w:r>
      <w:r>
        <w:rPr>
          <w:rFonts w:hint="eastAsia" w:ascii="仿宋_GB2312" w:hAnsi="仿宋_GB2312" w:eastAsia="仿宋_GB2312" w:cs="仿宋_GB2312"/>
          <w:color w:val="000000"/>
          <w:sz w:val="32"/>
          <w:szCs w:val="32"/>
        </w:rPr>
        <w:t>××</w:t>
      </w:r>
      <w:r>
        <w:rPr>
          <w:rFonts w:hint="eastAsia" w:ascii="仿宋_GB2312" w:hAnsi="仿宋_GB2312" w:eastAsia="仿宋_GB2312"/>
          <w:color w:val="000000"/>
          <w:sz w:val="32"/>
          <w:szCs w:val="32"/>
        </w:rPr>
        <w:t>年</w:t>
      </w:r>
      <w:r>
        <w:rPr>
          <w:rFonts w:hint="eastAsia" w:ascii="仿宋_GB2312" w:hAnsi="仿宋_GB2312" w:eastAsia="仿宋_GB2312" w:cs="仿宋_GB2312"/>
          <w:color w:val="000000"/>
          <w:sz w:val="32"/>
          <w:szCs w:val="32"/>
        </w:rPr>
        <w:t>××</w:t>
      </w:r>
      <w:r>
        <w:rPr>
          <w:rFonts w:hint="eastAsia" w:ascii="仿宋_GB2312" w:hAnsi="仿宋_GB2312" w:eastAsia="仿宋_GB2312"/>
          <w:color w:val="000000"/>
          <w:sz w:val="32"/>
          <w:szCs w:val="32"/>
        </w:rPr>
        <w:t>月</w:t>
      </w:r>
      <w:r>
        <w:rPr>
          <w:rFonts w:hint="eastAsia" w:ascii="仿宋_GB2312" w:hAnsi="仿宋_GB2312" w:eastAsia="仿宋_GB2312" w:cs="仿宋_GB2312"/>
          <w:color w:val="000000"/>
          <w:sz w:val="32"/>
          <w:szCs w:val="32"/>
        </w:rPr>
        <w:t>××</w:t>
      </w:r>
      <w:r>
        <w:rPr>
          <w:rFonts w:hint="eastAsia" w:ascii="仿宋_GB2312" w:hAnsi="仿宋_GB2312" w:eastAsia="仿宋_GB2312"/>
          <w:color w:val="000000"/>
          <w:sz w:val="32"/>
          <w:szCs w:val="32"/>
        </w:rPr>
        <w:t>日</w:t>
      </w:r>
    </w:p>
    <w:p>
      <w:pPr>
        <w:jc w:val="left"/>
        <w:rPr>
          <w:rFonts w:hint="eastAsia" w:ascii="宋体"/>
          <w:color w:val="000000"/>
          <w:kern w:val="0"/>
          <w:sz w:val="32"/>
          <w:szCs w:val="32"/>
          <w:highlight w:val="none"/>
          <w:lang w:val="zh-CN"/>
        </w:rPr>
      </w:pPr>
      <w:r>
        <w:rPr>
          <w:rFonts w:hint="eastAsia" w:ascii="宋体"/>
          <w:color w:val="000000"/>
          <w:kern w:val="0"/>
          <w:sz w:val="32"/>
          <w:szCs w:val="32"/>
          <w:highlight w:val="none"/>
          <w:lang w:val="zh-CN"/>
        </w:rPr>
        <w:br w:type="page"/>
      </w:r>
    </w:p>
    <w:p>
      <w:pPr>
        <w:ind w:right="-11"/>
        <w:rPr>
          <w:rFonts w:hint="eastAsia" w:ascii="黑体" w:eastAsia="黑体"/>
          <w:szCs w:val="44"/>
          <w:highlight w:val="none"/>
          <w:lang w:val="en-US" w:eastAsia="zh-CN"/>
        </w:rPr>
      </w:pPr>
      <w:r>
        <w:rPr>
          <w:rFonts w:hint="eastAsia" w:ascii="黑体" w:eastAsia="黑体"/>
          <w:szCs w:val="44"/>
          <w:highlight w:val="none"/>
        </w:rPr>
        <w:t>附</w:t>
      </w:r>
      <w:r>
        <w:rPr>
          <w:rFonts w:hint="eastAsia" w:ascii="黑体" w:eastAsia="黑体"/>
          <w:szCs w:val="44"/>
          <w:highlight w:val="none"/>
          <w:lang w:val="en-US" w:eastAsia="zh-CN"/>
        </w:rPr>
        <w:t>3</w:t>
      </w:r>
    </w:p>
    <w:p>
      <w:pPr>
        <w:pStyle w:val="2"/>
        <w:bidi w:val="0"/>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授权委托书</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eastAsia="zh-CN"/>
        </w:rPr>
        <w:t>委托人（申请机构）：</w:t>
      </w:r>
      <w:r>
        <w:rPr>
          <w:rFonts w:hint="eastAsia" w:ascii="仿宋_GB2312" w:hAnsi="仿宋_GB2312" w:eastAsia="仿宋_GB2312"/>
          <w:color w:val="000000"/>
          <w:sz w:val="32"/>
          <w:szCs w:val="32"/>
          <w:lang w:val="en-US" w:eastAsia="zh-CN"/>
        </w:rPr>
        <w:t xml:space="preserve">                     </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eastAsia="zh-CN"/>
        </w:rPr>
        <w:t>统一社会信用代码：</w:t>
      </w:r>
      <w:r>
        <w:rPr>
          <w:rFonts w:hint="eastAsia" w:ascii="仿宋_GB2312" w:hAnsi="仿宋_GB2312" w:eastAsia="仿宋_GB2312"/>
          <w:color w:val="000000"/>
          <w:sz w:val="32"/>
          <w:szCs w:val="32"/>
          <w:lang w:val="en-US" w:eastAsia="zh-CN"/>
        </w:rPr>
        <w:t xml:space="preserve">                      </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eastAsia="zh-CN"/>
        </w:rPr>
        <w:t>法定代表人：</w:t>
      </w:r>
      <w:r>
        <w:rPr>
          <w:rFonts w:hint="eastAsia" w:ascii="仿宋_GB2312" w:hAnsi="仿宋_GB2312" w:eastAsia="仿宋_GB2312"/>
          <w:color w:val="000000"/>
          <w:sz w:val="32"/>
          <w:szCs w:val="32"/>
          <w:lang w:val="en-US" w:eastAsia="zh-CN"/>
        </w:rPr>
        <w:t xml:space="preserve">                            </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eastAsia="zh-CN"/>
        </w:rPr>
        <w:t>通讯地址：</w:t>
      </w:r>
      <w:r>
        <w:rPr>
          <w:rFonts w:hint="eastAsia" w:ascii="仿宋_GB2312" w:hAnsi="仿宋_GB2312" w:eastAsia="仿宋_GB2312"/>
          <w:color w:val="000000"/>
          <w:sz w:val="32"/>
          <w:szCs w:val="32"/>
          <w:lang w:val="en-US" w:eastAsia="zh-CN"/>
        </w:rPr>
        <w:t xml:space="preserve">                          </w:t>
      </w:r>
    </w:p>
    <w:p>
      <w:pPr>
        <w:spacing w:line="520" w:lineRule="exact"/>
        <w:ind w:firstLine="640" w:firstLineChars="200"/>
        <w:rPr>
          <w:rFonts w:hint="eastAsia" w:ascii="仿宋_GB2312" w:hAnsi="仿宋_GB2312" w:eastAsia="仿宋_GB2312"/>
          <w:color w:val="000000"/>
          <w:sz w:val="32"/>
          <w:szCs w:val="32"/>
          <w:lang w:eastAsia="zh-CN"/>
        </w:rPr>
      </w:pP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eastAsia="zh-CN"/>
        </w:rPr>
        <w:t>受托人</w:t>
      </w:r>
      <w:r>
        <w:rPr>
          <w:rFonts w:hint="eastAsia" w:ascii="仿宋_GB2312" w:hAnsi="仿宋_GB2312" w:eastAsia="仿宋_GB2312"/>
          <w:color w:val="000000"/>
          <w:sz w:val="32"/>
          <w:szCs w:val="32"/>
          <w:lang w:val="en-US" w:eastAsia="zh-CN"/>
        </w:rPr>
        <w:t xml:space="preserve">;                                 </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 xml:space="preserve">身份证号码：                            </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 xml:space="preserve">工作单位及职务：                                  </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 xml:space="preserve">联系电话：                             </w:t>
      </w:r>
    </w:p>
    <w:p>
      <w:pPr>
        <w:spacing w:line="520" w:lineRule="exact"/>
        <w:ind w:firstLine="640" w:firstLineChars="200"/>
        <w:rPr>
          <w:rFonts w:hint="eastAsia" w:ascii="仿宋_GB2312" w:hAnsi="仿宋_GB2312" w:eastAsia="仿宋_GB2312"/>
          <w:color w:val="000000"/>
          <w:sz w:val="32"/>
          <w:szCs w:val="32"/>
          <w:lang w:val="en-US" w:eastAsia="zh-CN"/>
        </w:rPr>
      </w:pP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委托事项及授权范围：</w:t>
      </w: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兹委托上述受托人作为我机构申请办理以下行政许可事项的代理人：</w:t>
      </w: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 xml:space="preserve">申请事项名称：                        </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代理权限包括但不限于：</w:t>
      </w: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代为提交、修改、补充申请材料；</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代为签收、接收行政许可相关文书。；</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代为陈述、说明申请事项相关情况；</w:t>
      </w: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其它与所办理行政许可事项相关的必要权限。</w:t>
      </w:r>
    </w:p>
    <w:p>
      <w:pPr>
        <w:spacing w:line="520" w:lineRule="exact"/>
        <w:ind w:firstLine="640" w:firstLineChars="200"/>
        <w:rPr>
          <w:rFonts w:hint="eastAsia" w:ascii="仿宋_GB2312" w:hAnsi="仿宋_GB2312" w:eastAsia="仿宋_GB2312"/>
          <w:color w:val="000000"/>
          <w:sz w:val="32"/>
          <w:szCs w:val="32"/>
          <w:lang w:val="en-US" w:eastAsia="zh-CN"/>
        </w:rPr>
      </w:pP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委托期限：</w:t>
      </w: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自本委托书签署之日起至本次委托事项全部办理完毕之日止。</w:t>
      </w:r>
    </w:p>
    <w:p>
      <w:pPr>
        <w:spacing w:line="520" w:lineRule="exact"/>
        <w:ind w:firstLine="640" w:firstLineChars="200"/>
        <w:rPr>
          <w:rFonts w:hint="eastAsia" w:ascii="仿宋_GB2312" w:hAnsi="仿宋_GB2312" w:eastAsia="仿宋_GB2312"/>
          <w:color w:val="000000"/>
          <w:sz w:val="32"/>
          <w:szCs w:val="32"/>
          <w:lang w:val="en-US" w:eastAsia="zh-CN"/>
        </w:rPr>
      </w:pP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委托人声明：</w:t>
      </w: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本授权委托书系委托人的真实意思表示，受托人在授权范围内实施的代理行为所产生的法律后果，本机构均予认可。</w:t>
      </w:r>
    </w:p>
    <w:p>
      <w:pPr>
        <w:spacing w:line="520" w:lineRule="exact"/>
        <w:ind w:firstLine="640" w:firstLineChars="200"/>
        <w:rPr>
          <w:rFonts w:hint="eastAsia" w:ascii="仿宋_GB2312" w:hAnsi="仿宋_GB2312" w:eastAsia="仿宋_GB2312"/>
          <w:color w:val="000000"/>
          <w:sz w:val="32"/>
          <w:szCs w:val="32"/>
          <w:lang w:val="en-US" w:eastAsia="zh-CN"/>
        </w:rPr>
      </w:pP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委托人（盖章）：</w:t>
      </w:r>
    </w:p>
    <w:p>
      <w:pPr>
        <w:spacing w:line="520" w:lineRule="exact"/>
        <w:ind w:firstLine="640" w:firstLineChars="200"/>
        <w:rPr>
          <w:rFonts w:hint="eastAsia" w:ascii="仿宋_GB2312" w:hAnsi="仿宋_GB2312" w:eastAsia="仿宋_GB2312"/>
          <w:color w:val="000000"/>
          <w:sz w:val="32"/>
          <w:szCs w:val="32"/>
          <w:lang w:val="en-US" w:eastAsia="zh-CN"/>
        </w:rPr>
      </w:pP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法定代表人（签字）：</w:t>
      </w:r>
    </w:p>
    <w:p>
      <w:pPr>
        <w:spacing w:line="520" w:lineRule="exact"/>
        <w:ind w:firstLine="640" w:firstLineChars="200"/>
        <w:rPr>
          <w:rFonts w:hint="eastAsia" w:ascii="仿宋_GB2312" w:hAnsi="仿宋_GB2312" w:eastAsia="仿宋_GB2312"/>
          <w:color w:val="000000"/>
          <w:sz w:val="32"/>
          <w:szCs w:val="32"/>
          <w:lang w:val="en-US" w:eastAsia="zh-CN"/>
        </w:rPr>
      </w:pPr>
    </w:p>
    <w:p>
      <w:pPr>
        <w:spacing w:line="520" w:lineRule="exact"/>
        <w:ind w:firstLine="640" w:firstLineChars="200"/>
        <w:rPr>
          <w:rFonts w:hint="eastAsia"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受托人（签字）：</w:t>
      </w:r>
    </w:p>
    <w:p>
      <w:pPr>
        <w:spacing w:line="520" w:lineRule="exact"/>
        <w:ind w:firstLine="640" w:firstLineChars="200"/>
        <w:rPr>
          <w:rFonts w:hint="eastAsia" w:ascii="仿宋_GB2312" w:hAnsi="仿宋_GB2312" w:eastAsia="仿宋_GB2312"/>
          <w:color w:val="000000"/>
          <w:sz w:val="32"/>
          <w:szCs w:val="32"/>
          <w:lang w:val="en-US" w:eastAsia="zh-CN"/>
        </w:rPr>
      </w:pPr>
    </w:p>
    <w:p>
      <w:pPr>
        <w:spacing w:line="520" w:lineRule="exact"/>
        <w:ind w:firstLine="640" w:firstLineChars="200"/>
        <w:rPr>
          <w:rFonts w:hint="default" w:ascii="仿宋_GB2312" w:hAnsi="仿宋_GB2312" w:eastAsia="仿宋_GB2312"/>
          <w:color w:val="000000"/>
          <w:sz w:val="32"/>
          <w:szCs w:val="32"/>
          <w:lang w:val="en-US" w:eastAsia="zh-CN"/>
        </w:rPr>
      </w:pPr>
      <w:r>
        <w:rPr>
          <w:rFonts w:hint="eastAsia" w:ascii="仿宋_GB2312" w:hAnsi="仿宋_GB2312" w:eastAsia="仿宋_GB2312"/>
          <w:color w:val="000000"/>
          <w:sz w:val="32"/>
          <w:szCs w:val="32"/>
          <w:lang w:val="en-US" w:eastAsia="zh-CN"/>
        </w:rPr>
        <w:t>日期：</w:t>
      </w:r>
    </w:p>
    <w:p>
      <w:pPr>
        <w:spacing w:line="520" w:lineRule="exact"/>
        <w:ind w:firstLine="640" w:firstLineChars="200"/>
        <w:rPr>
          <w:rFonts w:hint="eastAsia" w:ascii="仿宋_GB2312" w:hAnsi="仿宋_GB2312" w:eastAsia="仿宋_GB2312"/>
          <w:color w:val="000000"/>
          <w:sz w:val="32"/>
          <w:szCs w:val="32"/>
          <w:lang w:val="en-US" w:eastAsia="zh-CN"/>
        </w:rPr>
      </w:pPr>
    </w:p>
    <w:p>
      <w:pPr>
        <w:spacing w:line="520" w:lineRule="exact"/>
        <w:ind w:firstLine="640" w:firstLineChars="200"/>
        <w:rPr>
          <w:rFonts w:hint="eastAsia" w:ascii="仿宋_GB2312" w:hAnsi="仿宋_GB2312" w:eastAsia="仿宋_GB2312"/>
          <w:color w:val="000000"/>
          <w:sz w:val="32"/>
          <w:szCs w:val="32"/>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eastAsia" w:ascii="黑体" w:eastAsia="黑体"/>
          <w:szCs w:val="44"/>
          <w:highlight w:val="none"/>
          <w:lang w:val="en-US" w:eastAsia="zh-CN"/>
        </w:rPr>
      </w:pPr>
    </w:p>
    <w:p>
      <w:pPr>
        <w:ind w:right="-11"/>
        <w:rPr>
          <w:rFonts w:hint="default" w:ascii="黑体" w:eastAsia="黑体"/>
          <w:szCs w:val="44"/>
          <w:highlight w:val="none"/>
          <w:lang w:val="en-US" w:eastAsia="zh-CN"/>
        </w:rPr>
      </w:pPr>
      <w:r>
        <w:rPr>
          <w:rFonts w:hint="eastAsia" w:ascii="黑体" w:eastAsia="黑体"/>
          <w:szCs w:val="44"/>
          <w:highlight w:val="none"/>
          <w:lang w:val="en-US" w:eastAsia="zh-CN"/>
        </w:rPr>
        <w:t>附4</w:t>
      </w:r>
    </w:p>
    <w:p>
      <w:pPr>
        <w:spacing w:line="720" w:lineRule="exact"/>
        <w:ind w:right="-14"/>
        <w:jc w:val="center"/>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相关申请材料示范文本</w:t>
      </w:r>
    </w:p>
    <w:p>
      <w:pPr>
        <w:rPr>
          <w:rFonts w:hint="eastAsia" w:ascii="仿宋_GB2312" w:cs="仿宋_GB2312"/>
          <w:color w:val="000000"/>
          <w:sz w:val="30"/>
          <w:szCs w:val="30"/>
          <w:highlight w:val="none"/>
        </w:rPr>
      </w:pPr>
    </w:p>
    <w:p>
      <w:pPr>
        <w:rPr>
          <w:rFonts w:hint="eastAsia" w:ascii="黑体" w:eastAsia="黑体"/>
          <w:color w:val="000000"/>
          <w:szCs w:val="30"/>
          <w:highlight w:val="none"/>
        </w:rPr>
      </w:pPr>
      <w:r>
        <w:rPr>
          <w:rFonts w:hint="eastAsia" w:ascii="黑体" w:eastAsia="黑体" w:cs="仿宋_GB2312"/>
          <w:color w:val="000000"/>
          <w:szCs w:val="30"/>
          <w:highlight w:val="none"/>
        </w:rPr>
        <w:t>一、申请书</w:t>
      </w:r>
    </w:p>
    <w:p>
      <w:pPr>
        <w:jc w:val="center"/>
        <w:rPr>
          <w:rFonts w:hint="eastAsia" w:ascii="仿宋_GB2312"/>
          <w:color w:val="000000"/>
          <w:szCs w:val="30"/>
          <w:highlight w:val="none"/>
        </w:rPr>
      </w:pPr>
      <w:r>
        <w:rPr>
          <w:rFonts w:hint="eastAsia" w:ascii="仿宋_GB2312" w:cs="仿宋_GB2312"/>
          <w:color w:val="000000"/>
          <w:szCs w:val="30"/>
          <w:highlight w:val="none"/>
        </w:rPr>
        <w:t>中国XX银行 （XXX 部）</w:t>
      </w:r>
    </w:p>
    <w:p>
      <w:pPr>
        <w:jc w:val="center"/>
        <w:rPr>
          <w:rFonts w:hint="eastAsia" w:ascii="仿宋_GB2312"/>
          <w:color w:val="000000"/>
          <w:szCs w:val="30"/>
          <w:highlight w:val="none"/>
        </w:rPr>
      </w:pPr>
      <w:r>
        <w:rPr>
          <w:rFonts w:ascii="仿宋_GB2312"/>
          <w:color w:val="000000"/>
          <w:szCs w:val="30"/>
          <w:highlight w:val="none"/>
        </w:rPr>
        <w:t>———————————</w:t>
      </w:r>
    </w:p>
    <w:p>
      <w:pPr>
        <w:jc w:val="center"/>
        <w:rPr>
          <w:rFonts w:hint="eastAsia" w:ascii="仿宋_GB2312"/>
          <w:color w:val="000000"/>
          <w:szCs w:val="30"/>
          <w:highlight w:val="none"/>
        </w:rPr>
      </w:pPr>
      <w:r>
        <w:rPr>
          <w:rFonts w:hint="eastAsia" w:ascii="仿宋_GB2312" w:cs="仿宋_GB2312"/>
          <w:color w:val="000000"/>
          <w:szCs w:val="30"/>
          <w:highlight w:val="none"/>
        </w:rPr>
        <w:t>XXX[20XX]XX 号</w:t>
      </w:r>
    </w:p>
    <w:p>
      <w:pPr>
        <w:jc w:val="center"/>
        <w:rPr>
          <w:rFonts w:hint="eastAsia" w:ascii="仿宋_GB2312"/>
          <w:color w:val="000000"/>
          <w:szCs w:val="30"/>
          <w:highlight w:val="none"/>
        </w:rPr>
      </w:pPr>
    </w:p>
    <w:p>
      <w:pPr>
        <w:jc w:val="center"/>
        <w:rPr>
          <w:rFonts w:hint="eastAsia" w:ascii="仿宋_GB2312"/>
          <w:color w:val="000000"/>
          <w:szCs w:val="30"/>
          <w:highlight w:val="none"/>
        </w:rPr>
      </w:pPr>
      <w:r>
        <w:rPr>
          <w:rFonts w:hint="eastAsia" w:ascii="仿宋_GB2312" w:cs="仿宋_GB2312"/>
          <w:color w:val="000000"/>
          <w:szCs w:val="30"/>
          <w:highlight w:val="none"/>
        </w:rPr>
        <w:t>国库集中收付业务代理银行申请书</w:t>
      </w:r>
    </w:p>
    <w:p>
      <w:pPr>
        <w:jc w:val="center"/>
        <w:rPr>
          <w:rFonts w:hint="eastAsia" w:ascii="仿宋_GB2312"/>
          <w:color w:val="000000"/>
          <w:szCs w:val="30"/>
          <w:highlight w:val="none"/>
        </w:rPr>
      </w:pPr>
    </w:p>
    <w:p>
      <w:pPr>
        <w:rPr>
          <w:rFonts w:hint="eastAsia" w:ascii="仿宋_GB2312"/>
          <w:color w:val="000000"/>
          <w:szCs w:val="30"/>
          <w:highlight w:val="none"/>
        </w:rPr>
      </w:pPr>
      <w:r>
        <w:rPr>
          <w:rFonts w:hint="eastAsia" w:ascii="仿宋_GB2312" w:cs="仿宋_GB2312"/>
          <w:color w:val="000000"/>
          <w:szCs w:val="30"/>
          <w:highlight w:val="none"/>
        </w:rPr>
        <w:t>中国人民银行</w:t>
      </w:r>
      <w:r>
        <w:rPr>
          <w:rFonts w:hint="eastAsia" w:ascii="仿宋_GB2312" w:cs="仿宋_GB2312"/>
          <w:color w:val="000000"/>
          <w:szCs w:val="30"/>
          <w:highlight w:val="none"/>
          <w:lang w:eastAsia="zh-CN"/>
        </w:rPr>
        <w:t>福建省分行</w:t>
      </w:r>
      <w:r>
        <w:rPr>
          <w:rFonts w:hint="eastAsia" w:ascii="仿宋_GB2312" w:cs="仿宋_GB2312"/>
          <w:color w:val="000000"/>
          <w:szCs w:val="30"/>
          <w:highlight w:val="none"/>
        </w:rPr>
        <w:t>国库处：</w:t>
      </w:r>
    </w:p>
    <w:p>
      <w:pPr>
        <w:ind w:firstLine="640" w:firstLineChars="200"/>
        <w:rPr>
          <w:rFonts w:hint="eastAsia" w:ascii="仿宋_GB2312"/>
          <w:color w:val="000000"/>
          <w:szCs w:val="30"/>
          <w:highlight w:val="none"/>
        </w:rPr>
      </w:pPr>
      <w:r>
        <w:rPr>
          <w:rFonts w:hint="eastAsia" w:ascii="仿宋_GB2312" w:cs="仿宋_GB2312"/>
          <w:color w:val="000000"/>
          <w:szCs w:val="30"/>
          <w:highlight w:val="none"/>
        </w:rPr>
        <w:t>……特提供以下申请材料：</w:t>
      </w:r>
    </w:p>
    <w:p>
      <w:pPr>
        <w:ind w:firstLine="640" w:firstLineChars="200"/>
        <w:rPr>
          <w:rFonts w:hint="eastAsia" w:ascii="仿宋_GB2312"/>
          <w:color w:val="000000"/>
          <w:szCs w:val="30"/>
          <w:highlight w:val="none"/>
        </w:rPr>
      </w:pPr>
      <w:r>
        <w:rPr>
          <w:rFonts w:hint="eastAsia" w:ascii="仿宋_GB2312" w:cs="仿宋_GB2312"/>
          <w:color w:val="000000"/>
          <w:szCs w:val="30"/>
          <w:highlight w:val="none"/>
        </w:rPr>
        <w:t>（前十大股东控股情况、机构设置、主管部门职责、人员配备、网点分布、岗位责任、信息系统建设、资金汇划渠道、国库集中收付业务管理办法和操作规程、风险防范机制，根据国库集中收付业务需要制定的计算机硬件配置、软件开发及联网通讯方案等配套措施、服务承诺等）</w:t>
      </w:r>
    </w:p>
    <w:p>
      <w:pPr>
        <w:ind w:firstLine="640" w:firstLineChars="200"/>
        <w:rPr>
          <w:rFonts w:hint="eastAsia" w:ascii="仿宋_GB2312"/>
          <w:color w:val="000000"/>
          <w:szCs w:val="30"/>
          <w:highlight w:val="none"/>
        </w:rPr>
      </w:pPr>
      <w:r>
        <w:rPr>
          <w:rFonts w:hint="eastAsia" w:ascii="仿宋_GB2312" w:cs="仿宋_GB2312"/>
          <w:color w:val="000000"/>
          <w:szCs w:val="30"/>
          <w:highlight w:val="none"/>
        </w:rPr>
        <w:t>……</w:t>
      </w:r>
    </w:p>
    <w:p>
      <w:pPr>
        <w:ind w:firstLine="3680" w:firstLineChars="1150"/>
        <w:rPr>
          <w:rFonts w:hint="eastAsia" w:ascii="仿宋_GB2312"/>
          <w:color w:val="000000"/>
          <w:szCs w:val="30"/>
          <w:highlight w:val="none"/>
        </w:rPr>
      </w:pPr>
    </w:p>
    <w:p>
      <w:pPr>
        <w:ind w:firstLine="4947" w:firstLineChars="1546"/>
        <w:rPr>
          <w:rFonts w:hint="eastAsia" w:ascii="仿宋_GB2312"/>
          <w:color w:val="000000"/>
          <w:szCs w:val="30"/>
          <w:highlight w:val="none"/>
        </w:rPr>
      </w:pPr>
      <w:r>
        <w:rPr>
          <w:rFonts w:hint="eastAsia" w:ascii="仿宋_GB2312" w:cs="仿宋_GB2312"/>
          <w:color w:val="000000"/>
          <w:szCs w:val="30"/>
          <w:highlight w:val="none"/>
        </w:rPr>
        <w:t>中国 XX 银行 XXX 部</w:t>
      </w:r>
    </w:p>
    <w:p>
      <w:pPr>
        <w:ind w:firstLine="5107" w:firstLineChars="1596"/>
        <w:rPr>
          <w:rFonts w:hint="eastAsia" w:ascii="仿宋_GB2312" w:cs="仿宋_GB2312"/>
          <w:color w:val="000000"/>
          <w:szCs w:val="30"/>
          <w:highlight w:val="none"/>
        </w:rPr>
      </w:pPr>
      <w:r>
        <w:rPr>
          <w:rFonts w:hint="eastAsia" w:ascii="仿宋_GB2312" w:cs="仿宋_GB2312"/>
          <w:color w:val="000000"/>
          <w:szCs w:val="30"/>
          <w:highlight w:val="none"/>
        </w:rPr>
        <w:t>20XX 年 X 月 X 日</w:t>
      </w: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ind w:firstLine="5107" w:firstLineChars="1596"/>
        <w:rPr>
          <w:rFonts w:hint="eastAsia" w:ascii="仿宋_GB2312" w:cs="仿宋_GB2312"/>
          <w:color w:val="000000"/>
          <w:szCs w:val="30"/>
          <w:highlight w:val="none"/>
        </w:rPr>
      </w:pPr>
    </w:p>
    <w:p>
      <w:pPr>
        <w:rPr>
          <w:rFonts w:hint="eastAsia" w:ascii="黑体" w:eastAsia="黑体"/>
          <w:color w:val="000000"/>
          <w:szCs w:val="30"/>
          <w:highlight w:val="none"/>
        </w:rPr>
      </w:pPr>
      <w:r>
        <w:rPr>
          <w:rFonts w:hint="eastAsia" w:ascii="黑体" w:eastAsia="黑体" w:cs="仿宋_GB2312"/>
          <w:color w:val="000000"/>
          <w:szCs w:val="30"/>
          <w:highlight w:val="none"/>
        </w:rPr>
        <w:t>二、申请表</w:t>
      </w:r>
    </w:p>
    <w:tbl>
      <w:tblPr>
        <w:tblStyle w:val="4"/>
        <w:tblW w:w="9123" w:type="dxa"/>
        <w:tblInd w:w="-475" w:type="dxa"/>
        <w:tblLayout w:type="fixed"/>
        <w:tblCellMar>
          <w:top w:w="0" w:type="dxa"/>
          <w:left w:w="108" w:type="dxa"/>
          <w:bottom w:w="0" w:type="dxa"/>
          <w:right w:w="108" w:type="dxa"/>
        </w:tblCellMar>
      </w:tblPr>
      <w:tblGrid>
        <w:gridCol w:w="475"/>
        <w:gridCol w:w="1390"/>
        <w:gridCol w:w="1188"/>
        <w:gridCol w:w="533"/>
        <w:gridCol w:w="1045"/>
        <w:gridCol w:w="283"/>
        <w:gridCol w:w="656"/>
        <w:gridCol w:w="984"/>
        <w:gridCol w:w="281"/>
        <w:gridCol w:w="1200"/>
        <w:gridCol w:w="1088"/>
      </w:tblGrid>
      <w:tr>
        <w:tblPrEx>
          <w:tblCellMar>
            <w:top w:w="0" w:type="dxa"/>
            <w:left w:w="108" w:type="dxa"/>
            <w:bottom w:w="0" w:type="dxa"/>
            <w:right w:w="108" w:type="dxa"/>
          </w:tblCellMar>
        </w:tblPrEx>
        <w:trPr>
          <w:trHeight w:val="450" w:hRule="atLeast"/>
        </w:trPr>
        <w:tc>
          <w:tcPr>
            <w:tcW w:w="9123" w:type="dxa"/>
            <w:gridSpan w:val="11"/>
            <w:vAlign w:val="center"/>
          </w:tcPr>
          <w:p>
            <w:pPr>
              <w:autoSpaceDN w:val="0"/>
              <w:jc w:val="center"/>
              <w:textAlignment w:val="center"/>
              <w:rPr>
                <w:rFonts w:ascii="方正小标宋_GBK" w:hAnsi="方正小标宋_GBK" w:eastAsia="方正小标宋_GBK"/>
                <w:color w:val="000000"/>
                <w:sz w:val="36"/>
              </w:rPr>
            </w:pPr>
            <w:r>
              <w:rPr>
                <w:rFonts w:ascii="方正小标宋_GBK" w:hAnsi="方正小标宋_GBK" w:eastAsia="方正小标宋_GBK"/>
                <w:color w:val="000000"/>
                <w:sz w:val="36"/>
              </w:rPr>
              <w:t>国库集中收付代理银行资格认定申请表</w:t>
            </w:r>
          </w:p>
        </w:tc>
      </w:tr>
      <w:tr>
        <w:tblPrEx>
          <w:tblCellMar>
            <w:top w:w="0" w:type="dxa"/>
            <w:left w:w="108" w:type="dxa"/>
            <w:bottom w:w="0" w:type="dxa"/>
            <w:right w:w="108" w:type="dxa"/>
          </w:tblCellMar>
        </w:tblPrEx>
        <w:trPr>
          <w:trHeight w:val="480" w:hRule="atLeast"/>
        </w:trPr>
        <w:tc>
          <w:tcPr>
            <w:tcW w:w="9123" w:type="dxa"/>
            <w:gridSpan w:val="11"/>
            <w:vAlign w:val="center"/>
          </w:tcPr>
          <w:p>
            <w:pPr>
              <w:autoSpaceDN w:val="0"/>
              <w:jc w:val="center"/>
              <w:textAlignment w:val="center"/>
              <w:rPr>
                <w:rFonts w:ascii="宋体" w:hAnsi="宋体"/>
                <w:color w:val="000000"/>
                <w:sz w:val="24"/>
              </w:rPr>
            </w:pPr>
            <w:r>
              <w:rPr>
                <w:rFonts w:ascii="宋体" w:hAnsi="宋体"/>
                <w:color w:val="000000"/>
                <w:sz w:val="24"/>
              </w:rPr>
              <w:t>申请日期：     年     月     日</w:t>
            </w:r>
          </w:p>
        </w:tc>
      </w:tr>
      <w:tr>
        <w:tblPrEx>
          <w:tblCellMar>
            <w:top w:w="0" w:type="dxa"/>
            <w:left w:w="108" w:type="dxa"/>
            <w:bottom w:w="0" w:type="dxa"/>
            <w:right w:w="108" w:type="dxa"/>
          </w:tblCellMar>
        </w:tblPrEx>
        <w:trPr>
          <w:trHeight w:val="480" w:hRule="atLeast"/>
        </w:trPr>
        <w:tc>
          <w:tcPr>
            <w:tcW w:w="1865" w:type="dxa"/>
            <w:gridSpan w:val="2"/>
            <w:tcBorders>
              <w:top w:val="single" w:color="000000" w:sz="4" w:space="0"/>
              <w:left w:val="single" w:color="000000"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申请机构全称</w:t>
            </w:r>
          </w:p>
        </w:tc>
        <w:tc>
          <w:tcPr>
            <w:tcW w:w="7257" w:type="dxa"/>
            <w:gridSpan w:val="9"/>
            <w:tcBorders>
              <w:top w:val="single" w:color="000000" w:sz="4" w:space="0"/>
              <w:left w:val="single" w:color="000000" w:sz="4" w:space="0"/>
              <w:right w:val="single" w:color="000000" w:sz="4" w:space="0"/>
            </w:tcBorders>
            <w:vAlign w:val="center"/>
          </w:tcPr>
          <w:p>
            <w:pPr>
              <w:autoSpaceDN w:val="0"/>
              <w:jc w:val="left"/>
              <w:textAlignment w:val="center"/>
              <w:rPr>
                <w:rFonts w:ascii="宋体" w:hAnsi="宋体"/>
                <w:color w:val="000000"/>
                <w:sz w:val="24"/>
              </w:rPr>
            </w:pPr>
          </w:p>
        </w:tc>
      </w:tr>
      <w:tr>
        <w:tblPrEx>
          <w:tblCellMar>
            <w:top w:w="0" w:type="dxa"/>
            <w:left w:w="108" w:type="dxa"/>
            <w:bottom w:w="0" w:type="dxa"/>
            <w:right w:w="108" w:type="dxa"/>
          </w:tblCellMar>
        </w:tblPrEx>
        <w:trPr>
          <w:trHeight w:val="300" w:hRule="atLeast"/>
        </w:trPr>
        <w:tc>
          <w:tcPr>
            <w:tcW w:w="1865" w:type="dxa"/>
            <w:gridSpan w:val="2"/>
            <w:tcBorders>
              <w:top w:val="single" w:color="000000" w:sz="4" w:space="0"/>
              <w:left w:val="single" w:color="000000" w:sz="4" w:space="0"/>
              <w:right w:val="single" w:color="000000"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法定代表人</w:t>
            </w:r>
          </w:p>
        </w:tc>
        <w:tc>
          <w:tcPr>
            <w:tcW w:w="3049" w:type="dxa"/>
            <w:gridSpan w:val="4"/>
            <w:vMerge w:val="restart"/>
            <w:tcBorders>
              <w:top w:val="single" w:color="000000" w:sz="4" w:space="0"/>
              <w:bottom w:val="single" w:color="000000" w:sz="4" w:space="0"/>
              <w:right w:val="single" w:color="000000" w:sz="4" w:space="0"/>
            </w:tcBorders>
            <w:vAlign w:val="center"/>
          </w:tcPr>
          <w:p>
            <w:pPr>
              <w:autoSpaceDN w:val="0"/>
              <w:jc w:val="left"/>
              <w:textAlignment w:val="center"/>
              <w:rPr>
                <w:rFonts w:ascii="宋体" w:hAnsi="宋体"/>
                <w:color w:val="000000"/>
                <w:sz w:val="24"/>
              </w:rPr>
            </w:pPr>
          </w:p>
        </w:tc>
        <w:tc>
          <w:tcPr>
            <w:tcW w:w="1640" w:type="dxa"/>
            <w:gridSpan w:val="2"/>
            <w:vMerge w:val="restart"/>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color w:val="000000"/>
                <w:sz w:val="24"/>
              </w:rPr>
            </w:pPr>
            <w:r>
              <w:rPr>
                <w:rFonts w:ascii="宋体" w:hAnsi="宋体"/>
                <w:color w:val="000000"/>
                <w:sz w:val="24"/>
              </w:rPr>
              <w:t>联系电话</w:t>
            </w:r>
          </w:p>
        </w:tc>
        <w:tc>
          <w:tcPr>
            <w:tcW w:w="2567" w:type="dxa"/>
            <w:gridSpan w:val="3"/>
            <w:vMerge w:val="restart"/>
            <w:tcBorders>
              <w:top w:val="single" w:color="000000" w:sz="4" w:space="0"/>
              <w:bottom w:val="single" w:color="000000" w:sz="4" w:space="0"/>
              <w:right w:val="single" w:color="000000" w:sz="4" w:space="0"/>
            </w:tcBorders>
            <w:vAlign w:val="center"/>
          </w:tcPr>
          <w:p>
            <w:pPr>
              <w:autoSpaceDN w:val="0"/>
              <w:jc w:val="left"/>
              <w:textAlignment w:val="center"/>
              <w:rPr>
                <w:rFonts w:ascii="宋体" w:hAnsi="宋体"/>
                <w:color w:val="000000"/>
                <w:sz w:val="24"/>
              </w:rPr>
            </w:pPr>
          </w:p>
        </w:tc>
      </w:tr>
      <w:tr>
        <w:tblPrEx>
          <w:tblCellMar>
            <w:top w:w="0" w:type="dxa"/>
            <w:left w:w="108" w:type="dxa"/>
            <w:bottom w:w="0" w:type="dxa"/>
            <w:right w:w="108" w:type="dxa"/>
          </w:tblCellMar>
        </w:tblPrEx>
        <w:trPr>
          <w:trHeight w:val="330" w:hRule="atLeast"/>
        </w:trPr>
        <w:tc>
          <w:tcPr>
            <w:tcW w:w="1865" w:type="dxa"/>
            <w:gridSpan w:val="2"/>
            <w:tcBorders>
              <w:left w:val="single" w:color="000000" w:sz="4" w:space="0"/>
              <w:right w:val="single" w:color="000000"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（主要负责人）</w:t>
            </w:r>
          </w:p>
        </w:tc>
        <w:tc>
          <w:tcPr>
            <w:tcW w:w="3049" w:type="dxa"/>
            <w:gridSpan w:val="4"/>
            <w:vMerge w:val="continue"/>
            <w:tcBorders>
              <w:top w:val="single" w:color="000000" w:sz="4" w:space="0"/>
              <w:bottom w:val="single" w:color="000000" w:sz="4" w:space="0"/>
              <w:right w:val="single" w:color="000000" w:sz="4" w:space="0"/>
            </w:tcBorders>
            <w:vAlign w:val="center"/>
          </w:tcPr>
          <w:p>
            <w:pPr>
              <w:autoSpaceDN w:val="0"/>
            </w:pPr>
          </w:p>
        </w:tc>
        <w:tc>
          <w:tcPr>
            <w:tcW w:w="1640" w:type="dxa"/>
            <w:gridSpan w:val="2"/>
            <w:vMerge w:val="continue"/>
            <w:tcBorders>
              <w:top w:val="single" w:color="000000" w:sz="4" w:space="0"/>
              <w:bottom w:val="single" w:color="000000" w:sz="4" w:space="0"/>
              <w:right w:val="single" w:color="000000" w:sz="4" w:space="0"/>
            </w:tcBorders>
            <w:vAlign w:val="center"/>
          </w:tcPr>
          <w:p>
            <w:pPr>
              <w:autoSpaceDN w:val="0"/>
            </w:pPr>
          </w:p>
        </w:tc>
        <w:tc>
          <w:tcPr>
            <w:tcW w:w="2567" w:type="dxa"/>
            <w:gridSpan w:val="3"/>
            <w:vMerge w:val="continue"/>
            <w:tcBorders>
              <w:top w:val="single" w:color="000000" w:sz="4" w:space="0"/>
              <w:bottom w:val="single" w:color="000000" w:sz="4" w:space="0"/>
              <w:right w:val="single" w:color="000000" w:sz="4" w:space="0"/>
            </w:tcBorders>
            <w:vAlign w:val="center"/>
          </w:tcPr>
          <w:p>
            <w:pPr>
              <w:autoSpaceDN w:val="0"/>
            </w:pPr>
          </w:p>
        </w:tc>
      </w:tr>
      <w:tr>
        <w:tblPrEx>
          <w:tblCellMar>
            <w:top w:w="0" w:type="dxa"/>
            <w:left w:w="108" w:type="dxa"/>
            <w:bottom w:w="0" w:type="dxa"/>
            <w:right w:w="108" w:type="dxa"/>
          </w:tblCellMar>
        </w:tblPrEx>
        <w:trPr>
          <w:trHeight w:val="510" w:hRule="atLeast"/>
        </w:trPr>
        <w:tc>
          <w:tcPr>
            <w:tcW w:w="1865" w:type="dxa"/>
            <w:gridSpan w:val="2"/>
            <w:tcBorders>
              <w:top w:val="single" w:color="000000" w:sz="4" w:space="0"/>
              <w:left w:val="single" w:color="000000" w:sz="4" w:space="0"/>
              <w:bottom w:val="single" w:color="000000" w:sz="4" w:space="0"/>
              <w:right w:val="single" w:color="auto"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申请类型</w:t>
            </w:r>
          </w:p>
        </w:tc>
        <w:tc>
          <w:tcPr>
            <w:tcW w:w="7257" w:type="dxa"/>
            <w:gridSpan w:val="9"/>
            <w:tcBorders>
              <w:top w:val="single" w:color="auto" w:sz="4" w:space="0"/>
              <w:left w:val="single" w:color="auto" w:sz="4" w:space="0"/>
              <w:bottom w:val="single" w:color="auto" w:sz="4" w:space="0"/>
              <w:right w:val="single" w:color="auto" w:sz="4" w:space="0"/>
            </w:tcBorders>
            <w:vAlign w:val="center"/>
          </w:tcPr>
          <w:p>
            <w:pPr>
              <w:autoSpaceDN w:val="0"/>
              <w:jc w:val="left"/>
              <w:textAlignment w:val="center"/>
              <w:rPr>
                <w:rFonts w:ascii="宋体" w:hAnsi="宋体"/>
                <w:color w:val="000000"/>
                <w:sz w:val="24"/>
              </w:rPr>
            </w:pPr>
            <w:r>
              <w:rPr>
                <w:rFonts w:ascii="宋体" w:hAnsi="宋体"/>
                <w:color w:val="000000"/>
                <w:sz w:val="24"/>
              </w:rPr>
              <w:t>□新增      □到期延续</w:t>
            </w:r>
          </w:p>
        </w:tc>
      </w:tr>
      <w:tr>
        <w:tblPrEx>
          <w:tblCellMar>
            <w:top w:w="0" w:type="dxa"/>
            <w:left w:w="108" w:type="dxa"/>
            <w:bottom w:w="0" w:type="dxa"/>
            <w:right w:w="108" w:type="dxa"/>
          </w:tblCellMar>
        </w:tblPrEx>
        <w:trPr>
          <w:trHeight w:val="480" w:hRule="atLeast"/>
        </w:trPr>
        <w:tc>
          <w:tcPr>
            <w:tcW w:w="9123" w:type="dxa"/>
            <w:gridSpan w:val="11"/>
            <w:tcBorders>
              <w:left w:val="single" w:color="000000" w:sz="4" w:space="0"/>
              <w:right w:val="single" w:color="000000"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申请业务种类和级次</w:t>
            </w:r>
          </w:p>
        </w:tc>
      </w:tr>
      <w:tr>
        <w:tblPrEx>
          <w:tblCellMar>
            <w:top w:w="0" w:type="dxa"/>
            <w:left w:w="108" w:type="dxa"/>
            <w:bottom w:w="0" w:type="dxa"/>
            <w:right w:w="108" w:type="dxa"/>
          </w:tblCellMar>
        </w:tblPrEx>
        <w:trPr>
          <w:trHeight w:val="975" w:hRule="atLeast"/>
        </w:trPr>
        <w:tc>
          <w:tcPr>
            <w:tcW w:w="1865" w:type="dxa"/>
            <w:gridSpan w:val="2"/>
            <w:tcBorders>
              <w:top w:val="single" w:color="000000" w:sz="4" w:space="0"/>
              <w:left w:val="single" w:color="000000"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业务种类</w:t>
            </w:r>
          </w:p>
        </w:tc>
        <w:tc>
          <w:tcPr>
            <w:tcW w:w="7257" w:type="dxa"/>
            <w:gridSpan w:val="9"/>
            <w:tcBorders>
              <w:top w:val="single" w:color="000000" w:sz="4" w:space="0"/>
              <w:left w:val="single" w:color="000000" w:sz="4" w:space="0"/>
              <w:right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□政府非税收入收缴业务</w:t>
            </w:r>
            <w:r>
              <w:rPr>
                <w:rFonts w:ascii="宋体" w:hAnsi="宋体"/>
                <w:color w:val="000000"/>
                <w:sz w:val="24"/>
              </w:rPr>
              <w:br w:type="textWrapping"/>
            </w:r>
            <w:r>
              <w:rPr>
                <w:rFonts w:ascii="宋体" w:hAnsi="宋体"/>
                <w:color w:val="000000"/>
                <w:sz w:val="24"/>
              </w:rPr>
              <w:t>□国库集中支付业务</w:t>
            </w:r>
          </w:p>
        </w:tc>
      </w:tr>
      <w:tr>
        <w:tblPrEx>
          <w:tblCellMar>
            <w:top w:w="0" w:type="dxa"/>
            <w:left w:w="108" w:type="dxa"/>
            <w:bottom w:w="0" w:type="dxa"/>
            <w:right w:w="108" w:type="dxa"/>
          </w:tblCellMar>
        </w:tblPrEx>
        <w:trPr>
          <w:trHeight w:val="540" w:hRule="atLeast"/>
        </w:trPr>
        <w:tc>
          <w:tcPr>
            <w:tcW w:w="1865" w:type="dxa"/>
            <w:gridSpan w:val="2"/>
            <w:vMerge w:val="restart"/>
            <w:tcBorders>
              <w:top w:val="single" w:color="000000" w:sz="4" w:space="0"/>
              <w:left w:val="single" w:color="000000"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业务级次</w:t>
            </w:r>
          </w:p>
        </w:tc>
        <w:tc>
          <w:tcPr>
            <w:tcW w:w="7257" w:type="dxa"/>
            <w:gridSpan w:val="9"/>
            <w:tcBorders>
              <w:top w:val="single" w:color="000000" w:sz="4" w:space="0"/>
              <w:left w:val="single" w:color="000000" w:sz="4" w:space="0"/>
              <w:right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□中央：</w:t>
            </w:r>
            <w:r>
              <w:rPr>
                <w:rFonts w:ascii="宋体" w:hAnsi="宋体"/>
                <w:color w:val="000000"/>
                <w:sz w:val="24"/>
                <w:u w:val="single"/>
              </w:rPr>
              <w:t xml:space="preserve">　　　　　                               </w:t>
            </w:r>
          </w:p>
        </w:tc>
      </w:tr>
      <w:tr>
        <w:tblPrEx>
          <w:tblCellMar>
            <w:top w:w="0" w:type="dxa"/>
            <w:left w:w="108" w:type="dxa"/>
            <w:bottom w:w="0" w:type="dxa"/>
            <w:right w:w="108" w:type="dxa"/>
          </w:tblCellMar>
        </w:tblPrEx>
        <w:trPr>
          <w:trHeight w:val="435" w:hRule="atLeast"/>
        </w:trPr>
        <w:tc>
          <w:tcPr>
            <w:tcW w:w="1865" w:type="dxa"/>
            <w:gridSpan w:val="2"/>
            <w:vMerge w:val="continue"/>
            <w:tcBorders>
              <w:top w:val="single" w:color="000000" w:sz="4" w:space="0"/>
              <w:left w:val="single" w:color="000000" w:sz="4" w:space="0"/>
            </w:tcBorders>
            <w:vAlign w:val="center"/>
          </w:tcPr>
          <w:p/>
        </w:tc>
        <w:tc>
          <w:tcPr>
            <w:tcW w:w="7257" w:type="dxa"/>
            <w:gridSpan w:val="9"/>
            <w:tcBorders>
              <w:left w:val="single" w:color="000000" w:sz="4" w:space="0"/>
              <w:right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□省级：</w:t>
            </w:r>
            <w:r>
              <w:rPr>
                <w:rFonts w:ascii="宋体" w:hAnsi="宋体"/>
                <w:color w:val="000000"/>
                <w:sz w:val="24"/>
                <w:u w:val="single"/>
              </w:rPr>
              <w:t xml:space="preserve">　　　　　                               </w:t>
            </w:r>
          </w:p>
        </w:tc>
      </w:tr>
      <w:tr>
        <w:tblPrEx>
          <w:tblCellMar>
            <w:top w:w="0" w:type="dxa"/>
            <w:left w:w="108" w:type="dxa"/>
            <w:bottom w:w="0" w:type="dxa"/>
            <w:right w:w="108" w:type="dxa"/>
          </w:tblCellMar>
        </w:tblPrEx>
        <w:trPr>
          <w:trHeight w:val="435" w:hRule="atLeast"/>
        </w:trPr>
        <w:tc>
          <w:tcPr>
            <w:tcW w:w="1865" w:type="dxa"/>
            <w:gridSpan w:val="2"/>
            <w:vMerge w:val="continue"/>
            <w:tcBorders>
              <w:top w:val="single" w:color="000000" w:sz="4" w:space="0"/>
              <w:left w:val="single" w:color="000000" w:sz="4" w:space="0"/>
            </w:tcBorders>
            <w:vAlign w:val="center"/>
          </w:tcPr>
          <w:p/>
        </w:tc>
        <w:tc>
          <w:tcPr>
            <w:tcW w:w="7257" w:type="dxa"/>
            <w:gridSpan w:val="9"/>
            <w:tcBorders>
              <w:left w:val="single" w:color="000000" w:sz="4" w:space="0"/>
              <w:right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□市级：</w:t>
            </w:r>
            <w:r>
              <w:rPr>
                <w:rFonts w:ascii="宋体" w:hAnsi="宋体"/>
                <w:color w:val="000000"/>
                <w:sz w:val="24"/>
                <w:u w:val="single"/>
              </w:rPr>
              <w:t xml:space="preserve">　　　　　                               </w:t>
            </w:r>
          </w:p>
        </w:tc>
      </w:tr>
      <w:tr>
        <w:tblPrEx>
          <w:tblCellMar>
            <w:top w:w="0" w:type="dxa"/>
            <w:left w:w="108" w:type="dxa"/>
            <w:bottom w:w="0" w:type="dxa"/>
            <w:right w:w="108" w:type="dxa"/>
          </w:tblCellMar>
        </w:tblPrEx>
        <w:trPr>
          <w:trHeight w:val="435" w:hRule="atLeast"/>
        </w:trPr>
        <w:tc>
          <w:tcPr>
            <w:tcW w:w="1865" w:type="dxa"/>
            <w:gridSpan w:val="2"/>
            <w:vMerge w:val="continue"/>
            <w:tcBorders>
              <w:top w:val="single" w:color="000000" w:sz="4" w:space="0"/>
              <w:left w:val="single" w:color="000000" w:sz="4" w:space="0"/>
            </w:tcBorders>
            <w:vAlign w:val="center"/>
          </w:tcPr>
          <w:p/>
        </w:tc>
        <w:tc>
          <w:tcPr>
            <w:tcW w:w="7257" w:type="dxa"/>
            <w:gridSpan w:val="9"/>
            <w:tcBorders>
              <w:left w:val="single" w:color="000000" w:sz="4" w:space="0"/>
              <w:right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□县</w:t>
            </w:r>
            <w:r>
              <w:rPr>
                <w:rFonts w:hint="eastAsia" w:ascii="宋体" w:hAnsi="宋体"/>
                <w:color w:val="000000"/>
                <w:sz w:val="24"/>
              </w:rPr>
              <w:t>区</w:t>
            </w:r>
            <w:r>
              <w:rPr>
                <w:rFonts w:ascii="宋体" w:hAnsi="宋体"/>
                <w:color w:val="000000"/>
                <w:sz w:val="24"/>
              </w:rPr>
              <w:t>级：</w:t>
            </w:r>
            <w:r>
              <w:rPr>
                <w:rFonts w:ascii="宋体" w:hAnsi="宋体"/>
                <w:color w:val="000000"/>
                <w:sz w:val="24"/>
                <w:u w:val="single"/>
              </w:rPr>
              <w:t xml:space="preserve">　　　　　                               </w:t>
            </w:r>
          </w:p>
        </w:tc>
      </w:tr>
      <w:tr>
        <w:tblPrEx>
          <w:tblCellMar>
            <w:top w:w="0" w:type="dxa"/>
            <w:left w:w="108" w:type="dxa"/>
            <w:bottom w:w="0" w:type="dxa"/>
            <w:right w:w="108" w:type="dxa"/>
          </w:tblCellMar>
        </w:tblPrEx>
        <w:trPr>
          <w:trHeight w:val="555" w:hRule="atLeast"/>
        </w:trPr>
        <w:tc>
          <w:tcPr>
            <w:tcW w:w="9123" w:type="dxa"/>
            <w:gridSpan w:val="11"/>
            <w:tcBorders>
              <w:top w:val="single" w:color="000000" w:sz="4" w:space="0"/>
              <w:left w:val="single" w:color="000000" w:sz="4" w:space="0"/>
              <w:right w:val="single" w:color="000000"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部门联系方式</w:t>
            </w:r>
          </w:p>
        </w:tc>
      </w:tr>
      <w:tr>
        <w:tblPrEx>
          <w:tblCellMar>
            <w:top w:w="0" w:type="dxa"/>
            <w:left w:w="108" w:type="dxa"/>
            <w:bottom w:w="0" w:type="dxa"/>
            <w:right w:w="108" w:type="dxa"/>
          </w:tblCellMar>
        </w:tblPrEx>
        <w:trPr>
          <w:trHeight w:val="615" w:hRule="atLeast"/>
        </w:trPr>
        <w:tc>
          <w:tcPr>
            <w:tcW w:w="1865" w:type="dxa"/>
            <w:gridSpan w:val="2"/>
            <w:vMerge w:val="restart"/>
            <w:tcBorders>
              <w:top w:val="single" w:color="000000" w:sz="4" w:space="0"/>
              <w:left w:val="single" w:color="000000" w:sz="4" w:space="0"/>
              <w:bottom w:val="single" w:color="000000" w:sz="4" w:space="0"/>
              <w:right w:val="single" w:color="auto"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主要负责部门</w:t>
            </w:r>
          </w:p>
        </w:tc>
        <w:tc>
          <w:tcPr>
            <w:tcW w:w="1188" w:type="dxa"/>
            <w:tcBorders>
              <w:top w:val="single" w:color="auto" w:sz="4" w:space="0"/>
              <w:left w:val="single" w:color="auto" w:sz="4" w:space="0"/>
              <w:bottom w:val="single" w:color="auto" w:sz="4" w:space="0"/>
              <w:right w:val="single" w:color="auto" w:sz="4" w:space="0"/>
            </w:tcBorders>
            <w:vAlign w:val="center"/>
          </w:tcPr>
          <w:p>
            <w:pPr>
              <w:autoSpaceDN w:val="0"/>
              <w:jc w:val="left"/>
              <w:textAlignment w:val="center"/>
              <w:rPr>
                <w:rFonts w:ascii="宋体" w:hAnsi="宋体"/>
                <w:color w:val="000000"/>
                <w:sz w:val="24"/>
              </w:rPr>
            </w:pPr>
            <w:r>
              <w:rPr>
                <w:rFonts w:ascii="宋体" w:hAnsi="宋体"/>
                <w:color w:val="000000"/>
                <w:sz w:val="24"/>
              </w:rPr>
              <w:t>部门名称</w:t>
            </w:r>
          </w:p>
        </w:tc>
        <w:tc>
          <w:tcPr>
            <w:tcW w:w="1578" w:type="dxa"/>
            <w:gridSpan w:val="2"/>
            <w:tcBorders>
              <w:top w:val="single" w:color="000000" w:sz="4" w:space="0"/>
              <w:left w:val="single" w:color="auto" w:sz="4" w:space="0"/>
              <w:bottom w:val="single" w:color="000000" w:sz="4" w:space="0"/>
              <w:right w:val="single" w:color="000000" w:sz="4" w:space="0"/>
            </w:tcBorders>
            <w:vAlign w:val="center"/>
          </w:tcPr>
          <w:p>
            <w:pPr>
              <w:autoSpaceDN w:val="0"/>
              <w:jc w:val="center"/>
              <w:textAlignment w:val="center"/>
              <w:rPr>
                <w:rFonts w:ascii="宋体" w:hAnsi="宋体"/>
                <w:color w:val="000000"/>
                <w:sz w:val="24"/>
              </w:rPr>
            </w:pPr>
          </w:p>
        </w:tc>
        <w:tc>
          <w:tcPr>
            <w:tcW w:w="939"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负责人</w:t>
            </w:r>
          </w:p>
        </w:tc>
        <w:tc>
          <w:tcPr>
            <w:tcW w:w="126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宋体" w:hAnsi="宋体"/>
                <w:color w:val="000000"/>
                <w:sz w:val="24"/>
              </w:rPr>
            </w:pPr>
          </w:p>
        </w:tc>
        <w:tc>
          <w:tcPr>
            <w:tcW w:w="1200" w:type="dxa"/>
            <w:tcBorders>
              <w:top w:val="single" w:color="000000" w:sz="4" w:space="0"/>
              <w:left w:val="single" w:color="000000" w:sz="4" w:space="0"/>
              <w:bottom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联系电话</w:t>
            </w:r>
          </w:p>
        </w:tc>
        <w:tc>
          <w:tcPr>
            <w:tcW w:w="1084" w:type="dxa"/>
            <w:tcBorders>
              <w:top w:val="single" w:color="000000" w:sz="4" w:space="0"/>
              <w:left w:val="single" w:color="000000" w:sz="4" w:space="0"/>
              <w:bottom w:val="single" w:color="000000" w:sz="4" w:space="0"/>
              <w:right w:val="single" w:color="000000" w:sz="4" w:space="0"/>
            </w:tcBorders>
            <w:vAlign w:val="bottom"/>
          </w:tcPr>
          <w:p>
            <w:pPr>
              <w:autoSpaceDN w:val="0"/>
              <w:jc w:val="center"/>
              <w:textAlignment w:val="bottom"/>
              <w:rPr>
                <w:rFonts w:ascii="宋体" w:hAnsi="宋体"/>
                <w:color w:val="000000"/>
                <w:sz w:val="24"/>
              </w:rPr>
            </w:pPr>
          </w:p>
        </w:tc>
      </w:tr>
      <w:tr>
        <w:tblPrEx>
          <w:tblCellMar>
            <w:top w:w="0" w:type="dxa"/>
            <w:left w:w="108" w:type="dxa"/>
            <w:bottom w:w="0" w:type="dxa"/>
            <w:right w:w="108" w:type="dxa"/>
          </w:tblCellMar>
        </w:tblPrEx>
        <w:trPr>
          <w:trHeight w:val="600" w:hRule="atLeast"/>
        </w:trPr>
        <w:tc>
          <w:tcPr>
            <w:tcW w:w="1865" w:type="dxa"/>
            <w:gridSpan w:val="2"/>
            <w:vMerge w:val="continue"/>
            <w:tcBorders>
              <w:top w:val="single" w:color="000000" w:sz="4" w:space="0"/>
              <w:left w:val="single" w:color="000000" w:sz="4" w:space="0"/>
              <w:bottom w:val="single" w:color="000000" w:sz="4" w:space="0"/>
              <w:right w:val="single" w:color="000000" w:sz="4" w:space="0"/>
            </w:tcBorders>
            <w:vAlign w:val="center"/>
          </w:tcPr>
          <w:p/>
        </w:tc>
        <w:tc>
          <w:tcPr>
            <w:tcW w:w="1188" w:type="dxa"/>
            <w:tcBorders>
              <w:top w:val="single" w:color="auto" w:sz="4" w:space="0"/>
              <w:bottom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部门名称</w:t>
            </w:r>
          </w:p>
        </w:tc>
        <w:tc>
          <w:tcPr>
            <w:tcW w:w="1578"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宋体" w:hAnsi="宋体"/>
                <w:color w:val="000000"/>
                <w:sz w:val="24"/>
              </w:rPr>
            </w:pPr>
          </w:p>
        </w:tc>
        <w:tc>
          <w:tcPr>
            <w:tcW w:w="939"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负责人</w:t>
            </w:r>
          </w:p>
        </w:tc>
        <w:tc>
          <w:tcPr>
            <w:tcW w:w="126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宋体" w:hAnsi="宋体"/>
                <w:color w:val="000000"/>
                <w:sz w:val="24"/>
              </w:rPr>
            </w:pPr>
          </w:p>
        </w:tc>
        <w:tc>
          <w:tcPr>
            <w:tcW w:w="1200" w:type="dxa"/>
            <w:tcBorders>
              <w:top w:val="single" w:color="000000" w:sz="4" w:space="0"/>
              <w:left w:val="single" w:color="000000" w:sz="4" w:space="0"/>
              <w:bottom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联系电话</w:t>
            </w:r>
          </w:p>
        </w:tc>
        <w:tc>
          <w:tcPr>
            <w:tcW w:w="1084" w:type="dxa"/>
            <w:tcBorders>
              <w:left w:val="single" w:color="000000" w:sz="4" w:space="0"/>
              <w:right w:val="single" w:color="000000" w:sz="4" w:space="0"/>
            </w:tcBorders>
            <w:vAlign w:val="center"/>
          </w:tcPr>
          <w:p>
            <w:pPr>
              <w:autoSpaceDN w:val="0"/>
              <w:jc w:val="center"/>
              <w:textAlignment w:val="center"/>
              <w:rPr>
                <w:rFonts w:ascii="宋体" w:hAnsi="宋体"/>
                <w:color w:val="000000"/>
                <w:sz w:val="24"/>
              </w:rPr>
            </w:pPr>
          </w:p>
        </w:tc>
      </w:tr>
      <w:tr>
        <w:tblPrEx>
          <w:tblCellMar>
            <w:top w:w="0" w:type="dxa"/>
            <w:left w:w="108" w:type="dxa"/>
            <w:bottom w:w="0" w:type="dxa"/>
            <w:right w:w="108" w:type="dxa"/>
          </w:tblCellMar>
        </w:tblPrEx>
        <w:trPr>
          <w:trHeight w:val="1020" w:hRule="atLeast"/>
        </w:trPr>
        <w:tc>
          <w:tcPr>
            <w:tcW w:w="9123" w:type="dxa"/>
            <w:gridSpan w:val="11"/>
            <w:tcBorders>
              <w:top w:val="single" w:color="000000" w:sz="4" w:space="0"/>
              <w:left w:val="single" w:color="000000" w:sz="4" w:space="0"/>
              <w:right w:val="single" w:color="000000" w:sz="4" w:space="0"/>
            </w:tcBorders>
          </w:tcPr>
          <w:p>
            <w:pPr>
              <w:autoSpaceDN w:val="0"/>
              <w:jc w:val="left"/>
              <w:textAlignment w:val="top"/>
              <w:rPr>
                <w:rFonts w:ascii="宋体" w:hAnsi="宋体"/>
                <w:color w:val="000000"/>
                <w:sz w:val="24"/>
              </w:rPr>
            </w:pPr>
            <w:r>
              <w:rPr>
                <w:rFonts w:ascii="宋体" w:hAnsi="宋体"/>
                <w:color w:val="000000"/>
                <w:sz w:val="24"/>
              </w:rPr>
              <w:br w:type="textWrapping"/>
            </w:r>
            <w:r>
              <w:rPr>
                <w:rFonts w:ascii="宋体" w:hAnsi="宋体"/>
                <w:color w:val="000000"/>
                <w:sz w:val="24"/>
              </w:rPr>
              <w:t xml:space="preserve">    我行自愿参加国库集中收付代理银行资格认定活动，并对申请材料的真实性、完整性承担法律责任。</w:t>
            </w:r>
          </w:p>
        </w:tc>
      </w:tr>
      <w:tr>
        <w:tblPrEx>
          <w:tblCellMar>
            <w:top w:w="0" w:type="dxa"/>
            <w:left w:w="108" w:type="dxa"/>
            <w:bottom w:w="0" w:type="dxa"/>
            <w:right w:w="108" w:type="dxa"/>
          </w:tblCellMar>
        </w:tblPrEx>
        <w:trPr>
          <w:trHeight w:val="600" w:hRule="atLeast"/>
        </w:trPr>
        <w:tc>
          <w:tcPr>
            <w:tcW w:w="1865" w:type="dxa"/>
            <w:gridSpan w:val="2"/>
            <w:tcBorders>
              <w:top w:val="single" w:color="000000" w:sz="4" w:space="0"/>
              <w:left w:val="single" w:color="000000" w:sz="4" w:space="0"/>
              <w:right w:val="single" w:color="000000"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文书送达方式</w:t>
            </w:r>
          </w:p>
        </w:tc>
        <w:tc>
          <w:tcPr>
            <w:tcW w:w="7257" w:type="dxa"/>
            <w:gridSpan w:val="9"/>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ascii="仿宋_GB2312" w:hAnsi="仿宋_GB2312" w:eastAsia="仿宋_GB2312"/>
                <w:color w:val="000000"/>
                <w:sz w:val="24"/>
              </w:rPr>
            </w:pPr>
            <w:r>
              <w:rPr>
                <w:rFonts w:hint="eastAsia" w:ascii="宋体" w:hAnsi="宋体"/>
                <w:color w:val="000000"/>
                <w:sz w:val="24"/>
              </w:rPr>
              <w:t>□邮寄　　　□自行领取　　　□其他</w:t>
            </w:r>
          </w:p>
        </w:tc>
      </w:tr>
      <w:tr>
        <w:tblPrEx>
          <w:tblCellMar>
            <w:top w:w="0" w:type="dxa"/>
            <w:left w:w="108" w:type="dxa"/>
            <w:bottom w:w="0" w:type="dxa"/>
            <w:right w:w="108" w:type="dxa"/>
          </w:tblCellMar>
        </w:tblPrEx>
        <w:trPr>
          <w:trHeight w:val="420" w:hRule="atLeast"/>
        </w:trPr>
        <w:tc>
          <w:tcPr>
            <w:tcW w:w="1865"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黑体" w:hAnsi="黑体" w:eastAsia="黑体"/>
                <w:color w:val="000000"/>
                <w:sz w:val="24"/>
              </w:rPr>
            </w:pPr>
            <w:r>
              <w:rPr>
                <w:rFonts w:ascii="黑体" w:hAnsi="黑体" w:eastAsia="黑体"/>
                <w:color w:val="000000"/>
                <w:sz w:val="24"/>
              </w:rPr>
              <w:t>通讯地址</w:t>
            </w:r>
          </w:p>
        </w:tc>
        <w:tc>
          <w:tcPr>
            <w:tcW w:w="1721" w:type="dxa"/>
            <w:gridSpan w:val="2"/>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color w:val="000000"/>
                <w:sz w:val="24"/>
              </w:rPr>
            </w:pPr>
            <w:r>
              <w:rPr>
                <w:rFonts w:ascii="宋体" w:hAnsi="宋体"/>
                <w:color w:val="000000"/>
                <w:sz w:val="24"/>
              </w:rPr>
              <w:t>地址及邮编</w:t>
            </w:r>
          </w:p>
        </w:tc>
        <w:tc>
          <w:tcPr>
            <w:tcW w:w="5535" w:type="dxa"/>
            <w:gridSpan w:val="7"/>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ascii="宋体" w:hAnsi="宋体"/>
                <w:color w:val="969696"/>
              </w:rPr>
            </w:pPr>
          </w:p>
        </w:tc>
      </w:tr>
      <w:tr>
        <w:tblPrEx>
          <w:tblCellMar>
            <w:top w:w="0" w:type="dxa"/>
            <w:left w:w="108" w:type="dxa"/>
            <w:bottom w:w="0" w:type="dxa"/>
            <w:right w:w="108" w:type="dxa"/>
          </w:tblCellMar>
        </w:tblPrEx>
        <w:trPr>
          <w:trHeight w:val="375" w:hRule="atLeast"/>
        </w:trPr>
        <w:tc>
          <w:tcPr>
            <w:tcW w:w="1865" w:type="dxa"/>
            <w:gridSpan w:val="2"/>
            <w:vMerge w:val="continue"/>
            <w:tcBorders>
              <w:top w:val="single" w:color="000000" w:sz="4" w:space="0"/>
              <w:left w:val="single" w:color="000000" w:sz="4" w:space="0"/>
              <w:bottom w:val="single" w:color="000000" w:sz="4" w:space="0"/>
              <w:right w:val="single" w:color="000000" w:sz="4" w:space="0"/>
            </w:tcBorders>
            <w:vAlign w:val="center"/>
          </w:tcPr>
          <w:p/>
        </w:tc>
        <w:tc>
          <w:tcPr>
            <w:tcW w:w="1721" w:type="dxa"/>
            <w:gridSpan w:val="2"/>
            <w:tcBorders>
              <w:top w:val="single" w:color="000000" w:sz="4" w:space="0"/>
              <w:bottom w:val="single" w:color="000000" w:sz="4" w:space="0"/>
              <w:right w:val="single" w:color="000000" w:sz="4" w:space="0"/>
            </w:tcBorders>
            <w:vAlign w:val="center"/>
          </w:tcPr>
          <w:p>
            <w:pPr>
              <w:autoSpaceDN w:val="0"/>
              <w:jc w:val="center"/>
              <w:textAlignment w:val="center"/>
              <w:rPr>
                <w:rFonts w:ascii="宋体" w:hAnsi="宋体"/>
                <w:color w:val="000000"/>
                <w:sz w:val="24"/>
              </w:rPr>
            </w:pPr>
            <w:r>
              <w:rPr>
                <w:rFonts w:ascii="宋体" w:hAnsi="宋体"/>
                <w:color w:val="000000"/>
                <w:sz w:val="24"/>
              </w:rPr>
              <w:t>电子邮箱</w:t>
            </w:r>
          </w:p>
        </w:tc>
        <w:tc>
          <w:tcPr>
            <w:tcW w:w="5535" w:type="dxa"/>
            <w:gridSpan w:val="7"/>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ascii="宋体" w:hAnsi="宋体"/>
                <w:color w:val="000000"/>
                <w:sz w:val="24"/>
              </w:rPr>
            </w:pPr>
          </w:p>
        </w:tc>
      </w:tr>
      <w:tr>
        <w:tblPrEx>
          <w:tblCellMar>
            <w:top w:w="0" w:type="dxa"/>
            <w:left w:w="108" w:type="dxa"/>
            <w:bottom w:w="0" w:type="dxa"/>
            <w:right w:w="108" w:type="dxa"/>
          </w:tblCellMar>
        </w:tblPrEx>
        <w:trPr>
          <w:trHeight w:val="435" w:hRule="atLeast"/>
        </w:trPr>
        <w:tc>
          <w:tcPr>
            <w:tcW w:w="3586" w:type="dxa"/>
            <w:gridSpan w:val="4"/>
            <w:tcBorders>
              <w:left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法定代表人</w:t>
            </w:r>
          </w:p>
        </w:tc>
        <w:tc>
          <w:tcPr>
            <w:tcW w:w="5536" w:type="dxa"/>
            <w:gridSpan w:val="7"/>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ascii="宋体" w:hAnsi="宋体"/>
                <w:color w:val="000000"/>
                <w:sz w:val="24"/>
              </w:rPr>
            </w:pPr>
            <w:r>
              <w:rPr>
                <w:rFonts w:ascii="宋体" w:hAnsi="宋体"/>
                <w:color w:val="000000"/>
                <w:sz w:val="24"/>
              </w:rPr>
              <w:t>单位公章：　</w:t>
            </w:r>
          </w:p>
        </w:tc>
      </w:tr>
      <w:tr>
        <w:tblPrEx>
          <w:tblCellMar>
            <w:top w:w="0" w:type="dxa"/>
            <w:left w:w="108" w:type="dxa"/>
            <w:bottom w:w="0" w:type="dxa"/>
            <w:right w:w="108" w:type="dxa"/>
          </w:tblCellMar>
        </w:tblPrEx>
        <w:trPr>
          <w:trHeight w:val="555" w:hRule="atLeast"/>
        </w:trPr>
        <w:tc>
          <w:tcPr>
            <w:tcW w:w="3586" w:type="dxa"/>
            <w:gridSpan w:val="4"/>
            <w:tcBorders>
              <w:left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或授权代理人签章：</w:t>
            </w:r>
          </w:p>
        </w:tc>
        <w:tc>
          <w:tcPr>
            <w:tcW w:w="5536" w:type="dxa"/>
            <w:gridSpan w:val="7"/>
            <w:vMerge w:val="continue"/>
            <w:tcBorders>
              <w:top w:val="single" w:color="000000" w:sz="4" w:space="0"/>
              <w:left w:val="single" w:color="000000" w:sz="4" w:space="0"/>
              <w:bottom w:val="single" w:color="000000" w:sz="4" w:space="0"/>
              <w:right w:val="single" w:color="000000" w:sz="4" w:space="0"/>
            </w:tcBorders>
            <w:vAlign w:val="center"/>
          </w:tcPr>
          <w:p>
            <w:pPr>
              <w:autoSpaceDN w:val="0"/>
            </w:pPr>
          </w:p>
        </w:tc>
      </w:tr>
      <w:tr>
        <w:tblPrEx>
          <w:tblCellMar>
            <w:top w:w="0" w:type="dxa"/>
            <w:left w:w="108" w:type="dxa"/>
            <w:bottom w:w="0" w:type="dxa"/>
            <w:right w:w="108" w:type="dxa"/>
          </w:tblCellMar>
        </w:tblPrEx>
        <w:trPr>
          <w:trHeight w:val="300" w:hRule="atLeast"/>
        </w:trPr>
        <w:tc>
          <w:tcPr>
            <w:tcW w:w="3586" w:type="dxa"/>
            <w:gridSpan w:val="4"/>
            <w:tcBorders>
              <w:left w:val="single" w:color="000000" w:sz="4" w:space="0"/>
              <w:bottom w:val="single" w:color="000000" w:sz="4" w:space="0"/>
            </w:tcBorders>
            <w:vAlign w:val="center"/>
          </w:tcPr>
          <w:p>
            <w:pPr>
              <w:autoSpaceDN w:val="0"/>
              <w:jc w:val="left"/>
              <w:textAlignment w:val="center"/>
              <w:rPr>
                <w:rFonts w:ascii="宋体" w:hAnsi="宋体"/>
                <w:color w:val="000000"/>
                <w:sz w:val="24"/>
              </w:rPr>
            </w:pPr>
            <w:r>
              <w:rPr>
                <w:rFonts w:ascii="宋体" w:hAnsi="宋体"/>
                <w:color w:val="000000"/>
                <w:sz w:val="24"/>
              </w:rPr>
              <w:t>　　　　</w:t>
            </w:r>
          </w:p>
        </w:tc>
        <w:tc>
          <w:tcPr>
            <w:tcW w:w="5536" w:type="dxa"/>
            <w:gridSpan w:val="7"/>
            <w:vMerge w:val="continue"/>
            <w:tcBorders>
              <w:top w:val="single" w:color="000000" w:sz="4" w:space="0"/>
              <w:left w:val="single" w:color="000000" w:sz="4" w:space="0"/>
              <w:bottom w:val="single" w:color="000000" w:sz="4" w:space="0"/>
              <w:right w:val="single" w:color="000000" w:sz="4" w:space="0"/>
            </w:tcBorders>
            <w:vAlign w:val="center"/>
          </w:tcPr>
          <w:p>
            <w:pPr>
              <w:autoSpaceDN w:val="0"/>
            </w:pPr>
          </w:p>
        </w:tc>
      </w:tr>
      <w:tr>
        <w:tblPrEx>
          <w:tblCellMar>
            <w:top w:w="0" w:type="dxa"/>
            <w:left w:w="108" w:type="dxa"/>
            <w:bottom w:w="0" w:type="dxa"/>
            <w:right w:w="108" w:type="dxa"/>
          </w:tblCellMar>
        </w:tblPrEx>
        <w:trPr>
          <w:gridBefore w:val="1"/>
          <w:wBefore w:w="475" w:type="dxa"/>
          <w:trHeight w:val="1635" w:hRule="atLeast"/>
        </w:trPr>
        <w:tc>
          <w:tcPr>
            <w:tcW w:w="8648" w:type="dxa"/>
            <w:gridSpan w:val="10"/>
            <w:vAlign w:val="center"/>
          </w:tcPr>
          <w:p>
            <w:pPr>
              <w:autoSpaceDN w:val="0"/>
              <w:jc w:val="left"/>
              <w:textAlignment w:val="center"/>
              <w:rPr>
                <w:rFonts w:ascii="宋体" w:hAnsi="宋体"/>
                <w:color w:val="000000"/>
                <w:sz w:val="22"/>
              </w:rPr>
            </w:pPr>
            <w:r>
              <w:rPr>
                <w:rFonts w:ascii="宋体" w:hAnsi="宋体"/>
                <w:color w:val="000000"/>
                <w:sz w:val="21"/>
                <w:szCs w:val="21"/>
              </w:rPr>
              <w:t>填表说明：</w:t>
            </w:r>
            <w:r>
              <w:rPr>
                <w:rFonts w:ascii="宋体" w:hAnsi="宋体"/>
                <w:color w:val="000000"/>
                <w:sz w:val="21"/>
                <w:szCs w:val="21"/>
              </w:rPr>
              <w:br w:type="textWrapping"/>
            </w:r>
            <w:r>
              <w:rPr>
                <w:rFonts w:ascii="宋体" w:hAnsi="宋体"/>
                <w:color w:val="000000"/>
                <w:sz w:val="21"/>
                <w:szCs w:val="21"/>
              </w:rPr>
              <w:t>1.</w:t>
            </w:r>
            <w:r>
              <w:rPr>
                <w:rFonts w:hint="eastAsia" w:ascii="宋体" w:hAnsi="宋体"/>
                <w:color w:val="000000"/>
                <w:sz w:val="21"/>
                <w:szCs w:val="21"/>
              </w:rPr>
              <w:t>本表由</w:t>
            </w:r>
            <w:r>
              <w:rPr>
                <w:rFonts w:ascii="宋体" w:hAnsi="宋体"/>
                <w:color w:val="000000"/>
                <w:sz w:val="21"/>
                <w:szCs w:val="21"/>
              </w:rPr>
              <w:t>申请机构</w:t>
            </w:r>
            <w:r>
              <w:rPr>
                <w:rFonts w:hint="eastAsia" w:ascii="宋体" w:hAnsi="宋体"/>
                <w:color w:val="000000"/>
                <w:sz w:val="21"/>
                <w:szCs w:val="21"/>
              </w:rPr>
              <w:t>按照所申请的</w:t>
            </w:r>
            <w:r>
              <w:rPr>
                <w:rFonts w:ascii="宋体" w:hAnsi="宋体"/>
                <w:color w:val="000000"/>
                <w:sz w:val="21"/>
                <w:szCs w:val="21"/>
              </w:rPr>
              <w:t>业务种类</w:t>
            </w:r>
            <w:r>
              <w:rPr>
                <w:rFonts w:hint="eastAsia" w:ascii="宋体" w:hAnsi="宋体"/>
                <w:color w:val="000000"/>
                <w:sz w:val="21"/>
                <w:szCs w:val="21"/>
              </w:rPr>
              <w:t>、</w:t>
            </w:r>
            <w:r>
              <w:rPr>
                <w:rFonts w:ascii="宋体" w:hAnsi="宋体"/>
                <w:color w:val="000000"/>
                <w:sz w:val="21"/>
                <w:szCs w:val="21"/>
              </w:rPr>
              <w:t>级次</w:t>
            </w:r>
            <w:r>
              <w:rPr>
                <w:rFonts w:hint="eastAsia" w:ascii="宋体" w:hAnsi="宋体"/>
                <w:color w:val="000000"/>
                <w:sz w:val="21"/>
                <w:szCs w:val="21"/>
              </w:rPr>
              <w:t>和对应业务发生的行政区域</w:t>
            </w:r>
            <w:r>
              <w:rPr>
                <w:rFonts w:ascii="宋体" w:hAnsi="宋体"/>
                <w:color w:val="000000"/>
                <w:sz w:val="21"/>
                <w:szCs w:val="21"/>
              </w:rPr>
              <w:t>分别填写</w:t>
            </w:r>
            <w:r>
              <w:rPr>
                <w:rFonts w:hint="eastAsia" w:ascii="宋体" w:hAnsi="宋体"/>
                <w:color w:val="000000"/>
                <w:sz w:val="21"/>
                <w:szCs w:val="21"/>
              </w:rPr>
              <w:t>，即</w:t>
            </w:r>
            <w:r>
              <w:rPr>
                <w:rFonts w:ascii="宋体" w:hAnsi="宋体"/>
                <w:color w:val="000000"/>
                <w:sz w:val="21"/>
                <w:szCs w:val="21"/>
              </w:rPr>
              <w:t>每份申请表仅限勾选一个业务种类、一个业务级次</w:t>
            </w:r>
            <w:r>
              <w:rPr>
                <w:rFonts w:hint="eastAsia" w:ascii="宋体" w:hAnsi="宋体"/>
                <w:color w:val="000000"/>
                <w:sz w:val="21"/>
                <w:szCs w:val="21"/>
              </w:rPr>
              <w:t>；</w:t>
            </w:r>
            <w:r>
              <w:rPr>
                <w:rFonts w:ascii="宋体" w:hAnsi="宋体"/>
                <w:color w:val="000000"/>
                <w:sz w:val="21"/>
                <w:szCs w:val="21"/>
              </w:rPr>
              <w:br w:type="textWrapping"/>
            </w:r>
            <w:r>
              <w:rPr>
                <w:rFonts w:ascii="宋体" w:hAnsi="宋体"/>
                <w:color w:val="000000"/>
                <w:sz w:val="21"/>
                <w:szCs w:val="21"/>
              </w:rPr>
              <w:t>2.</w:t>
            </w:r>
            <w:r>
              <w:rPr>
                <w:rFonts w:hint="eastAsia" w:ascii="宋体" w:hAnsi="宋体"/>
                <w:color w:val="000000"/>
                <w:sz w:val="21"/>
                <w:szCs w:val="21"/>
              </w:rPr>
              <w:t>“</w:t>
            </w:r>
            <w:r>
              <w:rPr>
                <w:rFonts w:ascii="宋体" w:hAnsi="宋体"/>
                <w:color w:val="000000"/>
                <w:sz w:val="21"/>
                <w:szCs w:val="21"/>
              </w:rPr>
              <w:t>业务级次</w:t>
            </w:r>
            <w:r>
              <w:rPr>
                <w:rFonts w:hint="eastAsia" w:ascii="宋体" w:hAnsi="宋体"/>
                <w:color w:val="000000"/>
                <w:sz w:val="21"/>
                <w:szCs w:val="21"/>
              </w:rPr>
              <w:t>”</w:t>
            </w:r>
            <w:r>
              <w:rPr>
                <w:rFonts w:ascii="宋体" w:hAnsi="宋体"/>
                <w:color w:val="000000"/>
                <w:sz w:val="21"/>
                <w:szCs w:val="21"/>
              </w:rPr>
              <w:t>根据勾选的</w:t>
            </w:r>
            <w:r>
              <w:rPr>
                <w:rFonts w:hint="eastAsia" w:ascii="宋体" w:hAnsi="宋体"/>
                <w:color w:val="000000"/>
                <w:sz w:val="21"/>
                <w:szCs w:val="21"/>
              </w:rPr>
              <w:t>级次</w:t>
            </w:r>
            <w:r>
              <w:rPr>
                <w:rFonts w:ascii="宋体" w:hAnsi="宋体"/>
                <w:color w:val="000000"/>
                <w:sz w:val="21"/>
                <w:szCs w:val="21"/>
              </w:rPr>
              <w:t>填写业务对应发生的行政区域，仅限填写一个行政区域</w:t>
            </w:r>
            <w:r>
              <w:rPr>
                <w:rFonts w:hint="eastAsia" w:ascii="宋体" w:hAnsi="宋体"/>
                <w:color w:val="000000"/>
                <w:sz w:val="21"/>
                <w:szCs w:val="21"/>
              </w:rPr>
              <w:t>；</w:t>
            </w:r>
            <w:r>
              <w:rPr>
                <w:rFonts w:ascii="宋体" w:hAnsi="宋体"/>
                <w:color w:val="000000"/>
                <w:sz w:val="21"/>
                <w:szCs w:val="21"/>
              </w:rPr>
              <w:br w:type="textWrapping"/>
            </w:r>
            <w:r>
              <w:rPr>
                <w:rFonts w:ascii="宋体" w:hAnsi="宋体"/>
                <w:color w:val="000000"/>
                <w:sz w:val="21"/>
                <w:szCs w:val="21"/>
              </w:rPr>
              <w:t>3.“部门联系方式”根据申请机构</w:t>
            </w:r>
            <w:r>
              <w:rPr>
                <w:rFonts w:hint="eastAsia" w:ascii="宋体" w:hAnsi="宋体"/>
                <w:color w:val="000000"/>
                <w:sz w:val="21"/>
                <w:szCs w:val="21"/>
              </w:rPr>
              <w:t>的</w:t>
            </w:r>
            <w:r>
              <w:rPr>
                <w:rFonts w:ascii="宋体" w:hAnsi="宋体"/>
                <w:color w:val="000000"/>
                <w:sz w:val="21"/>
                <w:szCs w:val="21"/>
              </w:rPr>
              <w:t>部门分工</w:t>
            </w:r>
            <w:r>
              <w:rPr>
                <w:rFonts w:hint="eastAsia" w:ascii="宋体" w:hAnsi="宋体"/>
                <w:color w:val="000000"/>
                <w:sz w:val="21"/>
                <w:szCs w:val="21"/>
              </w:rPr>
              <w:t>和业务需要</w:t>
            </w:r>
            <w:r>
              <w:rPr>
                <w:rFonts w:ascii="宋体" w:hAnsi="宋体"/>
                <w:color w:val="000000"/>
                <w:sz w:val="21"/>
                <w:szCs w:val="21"/>
              </w:rPr>
              <w:t>填写</w:t>
            </w:r>
            <w:r>
              <w:rPr>
                <w:rFonts w:hint="eastAsia" w:ascii="宋体" w:hAnsi="宋体"/>
                <w:color w:val="000000"/>
                <w:sz w:val="21"/>
                <w:szCs w:val="21"/>
              </w:rPr>
              <w:t>；</w:t>
            </w:r>
            <w:r>
              <w:rPr>
                <w:rFonts w:ascii="宋体" w:hAnsi="宋体"/>
                <w:color w:val="000000"/>
                <w:sz w:val="21"/>
                <w:szCs w:val="21"/>
              </w:rPr>
              <w:br w:type="textWrapping"/>
            </w:r>
            <w:r>
              <w:rPr>
                <w:rFonts w:ascii="宋体" w:hAnsi="宋体"/>
                <w:color w:val="000000"/>
                <w:sz w:val="21"/>
                <w:szCs w:val="21"/>
              </w:rPr>
              <w:t>4.文书送达方式选择“邮寄”时，通讯地址应为接收资格认定相关文书的地址</w:t>
            </w:r>
            <w:r>
              <w:rPr>
                <w:rFonts w:hint="eastAsia" w:ascii="宋体" w:hAnsi="宋体"/>
                <w:color w:val="000000"/>
                <w:sz w:val="21"/>
                <w:szCs w:val="21"/>
              </w:rPr>
              <w:t>。</w:t>
            </w:r>
          </w:p>
        </w:tc>
      </w:tr>
    </w:tbl>
    <w:p>
      <w:pPr>
        <w:spacing w:line="600" w:lineRule="exact"/>
        <w:rPr>
          <w:rFonts w:ascii="仿宋_GB2312" w:hAnsi="仿宋_GB2312" w:eastAsia="仿宋_GB2312" w:cs="仿宋_GB2312"/>
          <w:kern w:val="0"/>
          <w:sz w:val="30"/>
        </w:rPr>
        <w:sectPr>
          <w:footerReference r:id="rId5" w:type="default"/>
          <w:pgSz w:w="11906" w:h="16838"/>
          <w:pgMar w:top="1440" w:right="1797" w:bottom="1440" w:left="1797" w:header="851" w:footer="992" w:gutter="0"/>
          <w:pgNumType w:fmt="numberInDash"/>
          <w:cols w:space="720" w:num="1"/>
          <w:docGrid w:linePitch="312" w:charSpace="0"/>
        </w:sectPr>
      </w:pPr>
    </w:p>
    <w:p>
      <w:pPr>
        <w:ind w:firstLine="632" w:firstLineChars="200"/>
        <w:rPr>
          <w:rFonts w:hint="eastAsia" w:ascii="黑体" w:eastAsia="黑体" w:cs="仿宋_GB2312"/>
          <w:color w:val="000000"/>
          <w:szCs w:val="30"/>
          <w:highlight w:val="none"/>
        </w:rPr>
      </w:pPr>
      <w:r>
        <w:rPr>
          <w:rFonts w:hint="eastAsia" w:ascii="黑体" w:eastAsia="黑体" w:cs="仿宋_GB2312"/>
          <w:color w:val="000000"/>
          <w:szCs w:val="30"/>
          <w:highlight w:val="none"/>
        </w:rPr>
        <w:t>三、《金融许可证》和《企业法人营业执照》（副本）</w:t>
      </w:r>
    </w:p>
    <w:p>
      <w:pPr>
        <w:jc w:val="center"/>
        <w:rPr>
          <w:rFonts w:hint="eastAsia" w:ascii="黑体" w:eastAsia="黑体" w:cs="仿宋_GB2312"/>
          <w:color w:val="000000"/>
          <w:szCs w:val="30"/>
          <w:highlight w:val="none"/>
        </w:rPr>
      </w:pPr>
      <w:r>
        <w:rPr>
          <w:color w:val="000000"/>
          <w:highlight w:val="none"/>
        </w:rPr>
        <w:drawing>
          <wp:inline distT="0" distB="0" distL="114300" distR="114300">
            <wp:extent cx="4786630" cy="3568700"/>
            <wp:effectExtent l="0" t="0" r="13970" b="1270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10"/>
                    <a:srcRect l="29782" t="41289" r="27722" b="9792"/>
                    <a:stretch>
                      <a:fillRect/>
                    </a:stretch>
                  </pic:blipFill>
                  <pic:spPr>
                    <a:xfrm>
                      <a:off x="0" y="0"/>
                      <a:ext cx="4786630" cy="3568700"/>
                    </a:xfrm>
                    <a:prstGeom prst="rect">
                      <a:avLst/>
                    </a:prstGeom>
                    <a:noFill/>
                    <a:ln>
                      <a:noFill/>
                    </a:ln>
                  </pic:spPr>
                </pic:pic>
              </a:graphicData>
            </a:graphic>
          </wp:inline>
        </w:drawing>
      </w:r>
    </w:p>
    <w:p>
      <w:pPr>
        <w:spacing w:line="240" w:lineRule="exact"/>
        <w:jc w:val="center"/>
        <w:rPr>
          <w:rFonts w:hint="eastAsia" w:ascii="Calibri"/>
          <w:color w:val="000000"/>
          <w:szCs w:val="21"/>
          <w:highlight w:val="none"/>
        </w:rPr>
      </w:pPr>
    </w:p>
    <w:p>
      <w:pPr>
        <w:jc w:val="center"/>
        <w:rPr>
          <w:color w:val="000000"/>
          <w:highlight w:val="none"/>
        </w:rPr>
      </w:pPr>
      <w:r>
        <w:rPr>
          <w:color w:val="000000"/>
          <w:highlight w:val="none"/>
        </w:rPr>
        <w:drawing>
          <wp:inline distT="0" distB="0" distL="114300" distR="114300">
            <wp:extent cx="4770120" cy="3574415"/>
            <wp:effectExtent l="0" t="0" r="11430" b="6985"/>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pic:cNvPicPr>
                  </pic:nvPicPr>
                  <pic:blipFill>
                    <a:blip r:embed="rId11"/>
                    <a:srcRect l="30324" t="23370" r="29887" b="32043"/>
                    <a:stretch>
                      <a:fillRect/>
                    </a:stretch>
                  </pic:blipFill>
                  <pic:spPr>
                    <a:xfrm>
                      <a:off x="0" y="0"/>
                      <a:ext cx="4770120" cy="3574415"/>
                    </a:xfrm>
                    <a:prstGeom prst="rect">
                      <a:avLst/>
                    </a:prstGeom>
                    <a:noFill/>
                    <a:ln>
                      <a:noFill/>
                    </a:ln>
                  </pic:spPr>
                </pic:pic>
              </a:graphicData>
            </a:graphic>
          </wp:inline>
        </w:drawing>
      </w:r>
    </w:p>
    <w:p>
      <w:pPr>
        <w:tabs>
          <w:tab w:val="left" w:pos="948"/>
        </w:tabs>
        <w:ind w:firstLine="632" w:firstLineChars="200"/>
        <w:rPr>
          <w:rFonts w:hint="eastAsia" w:ascii="黑体" w:eastAsia="黑体"/>
          <w:color w:val="000000"/>
          <w:szCs w:val="30"/>
          <w:highlight w:val="none"/>
        </w:rPr>
      </w:pPr>
      <w:r>
        <w:rPr>
          <w:rFonts w:hint="eastAsia" w:ascii="黑体" w:eastAsia="黑体" w:cs="仿宋_GB2312"/>
          <w:color w:val="000000"/>
          <w:szCs w:val="30"/>
          <w:highlight w:val="none"/>
        </w:rPr>
        <w:t>四、申请年度前两个年度境内资产负债表、利润表等财务报表、资产负债表</w:t>
      </w:r>
    </w:p>
    <w:p>
      <w:pPr>
        <w:jc w:val="center"/>
        <w:rPr>
          <w:rFonts w:hint="eastAsia" w:ascii="Calibri"/>
          <w:color w:val="000000"/>
          <w:szCs w:val="21"/>
          <w:highlight w:val="none"/>
        </w:rPr>
      </w:pPr>
      <w:r>
        <w:rPr>
          <w:color w:val="000000"/>
          <w:highlight w:val="none"/>
        </w:rPr>
        <w:drawing>
          <wp:inline distT="0" distB="0" distL="114300" distR="114300">
            <wp:extent cx="5080635" cy="6948805"/>
            <wp:effectExtent l="0" t="0" r="5715" b="4445"/>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2"/>
                    <a:srcRect l="31250" t="7762" r="29346" b="14125"/>
                    <a:stretch>
                      <a:fillRect/>
                    </a:stretch>
                  </pic:blipFill>
                  <pic:spPr>
                    <a:xfrm>
                      <a:off x="0" y="0"/>
                      <a:ext cx="5080635" cy="6948805"/>
                    </a:xfrm>
                    <a:prstGeom prst="rect">
                      <a:avLst/>
                    </a:prstGeom>
                    <a:noFill/>
                    <a:ln>
                      <a:noFill/>
                    </a:ln>
                  </pic:spPr>
                </pic:pic>
              </a:graphicData>
            </a:graphic>
          </wp:inline>
        </w:drawing>
      </w:r>
    </w:p>
    <w:p>
      <w:pPr>
        <w:rPr>
          <w:rFonts w:hint="eastAsia" w:ascii="仿宋_GB2312"/>
          <w:color w:val="000000"/>
          <w:sz w:val="30"/>
          <w:szCs w:val="30"/>
          <w:highlight w:val="none"/>
        </w:rPr>
      </w:pPr>
    </w:p>
    <w:p>
      <w:pPr>
        <w:jc w:val="center"/>
        <w:rPr>
          <w:rFonts w:hint="eastAsia" w:ascii="Calibri"/>
          <w:color w:val="000000"/>
          <w:szCs w:val="21"/>
          <w:highlight w:val="none"/>
        </w:rPr>
      </w:pPr>
      <w:r>
        <w:rPr>
          <w:color w:val="000000"/>
          <w:highlight w:val="none"/>
        </w:rPr>
        <w:drawing>
          <wp:inline distT="0" distB="0" distL="114300" distR="114300">
            <wp:extent cx="5228590" cy="7477760"/>
            <wp:effectExtent l="0" t="0" r="10160" b="8890"/>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pic:cNvPicPr>
                      <a:picLocks noChangeAspect="1"/>
                    </pic:cNvPicPr>
                  </pic:nvPicPr>
                  <pic:blipFill>
                    <a:blip r:embed="rId13"/>
                    <a:srcRect l="32129" t="9215" r="29782" b="7762"/>
                    <a:stretch>
                      <a:fillRect/>
                    </a:stretch>
                  </pic:blipFill>
                  <pic:spPr>
                    <a:xfrm>
                      <a:off x="0" y="0"/>
                      <a:ext cx="5228590" cy="7477760"/>
                    </a:xfrm>
                    <a:prstGeom prst="rect">
                      <a:avLst/>
                    </a:prstGeom>
                    <a:noFill/>
                    <a:ln>
                      <a:noFill/>
                    </a:ln>
                  </pic:spPr>
                </pic:pic>
              </a:graphicData>
            </a:graphic>
          </wp:inline>
        </w:drawing>
      </w:r>
    </w:p>
    <w:p>
      <w:pPr>
        <w:ind w:firstLine="632" w:firstLineChars="200"/>
        <w:rPr>
          <w:rFonts w:hint="eastAsia" w:ascii="黑体" w:eastAsia="黑体" w:cs="仿宋_GB2312"/>
          <w:color w:val="000000"/>
          <w:szCs w:val="30"/>
          <w:highlight w:val="none"/>
        </w:rPr>
      </w:pPr>
    </w:p>
    <w:p>
      <w:pPr>
        <w:ind w:firstLine="632" w:firstLineChars="200"/>
        <w:rPr>
          <w:rFonts w:hint="eastAsia" w:ascii="仿宋_GB2312"/>
          <w:color w:val="000000"/>
          <w:sz w:val="30"/>
          <w:szCs w:val="30"/>
          <w:highlight w:val="none"/>
        </w:rPr>
      </w:pPr>
      <w:r>
        <w:rPr>
          <w:rFonts w:hint="eastAsia" w:ascii="黑体" w:eastAsia="黑体" w:cs="仿宋_GB2312"/>
          <w:color w:val="000000"/>
          <w:szCs w:val="30"/>
          <w:highlight w:val="none"/>
        </w:rPr>
        <w:t>五、金融监管部门、政府审计部门、会计师事务所作出最新的监管报告、审计报告等</w:t>
      </w:r>
    </w:p>
    <w:p>
      <w:pPr>
        <w:jc w:val="center"/>
        <w:rPr>
          <w:rFonts w:hint="eastAsia" w:ascii="黑体" w:eastAsia="黑体" w:cs="仿宋_GB2312"/>
          <w:color w:val="000000"/>
          <w:szCs w:val="30"/>
          <w:highlight w:val="none"/>
        </w:rPr>
      </w:pPr>
      <w:r>
        <w:rPr>
          <w:color w:val="000000"/>
          <w:highlight w:val="none"/>
        </w:rPr>
        <w:drawing>
          <wp:inline distT="0" distB="0" distL="114300" distR="114300">
            <wp:extent cx="4520565" cy="3168650"/>
            <wp:effectExtent l="0" t="0" r="13335" b="12700"/>
            <wp:docPr id="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pic:cNvPicPr>
                      <a:picLocks noChangeAspect="1"/>
                    </pic:cNvPicPr>
                  </pic:nvPicPr>
                  <pic:blipFill>
                    <a:blip r:embed="rId14"/>
                    <a:srcRect l="33754" t="26547" r="34225" b="34065"/>
                    <a:stretch>
                      <a:fillRect/>
                    </a:stretch>
                  </pic:blipFill>
                  <pic:spPr>
                    <a:xfrm>
                      <a:off x="0" y="0"/>
                      <a:ext cx="4520565" cy="3168650"/>
                    </a:xfrm>
                    <a:prstGeom prst="rect">
                      <a:avLst/>
                    </a:prstGeom>
                    <a:noFill/>
                    <a:ln>
                      <a:noFill/>
                    </a:ln>
                  </pic:spPr>
                </pic:pic>
              </a:graphicData>
            </a:graphic>
          </wp:inline>
        </w:drawing>
      </w:r>
    </w:p>
    <w:p>
      <w:pPr>
        <w:ind w:firstLine="632" w:firstLineChars="200"/>
        <w:rPr>
          <w:rFonts w:hint="eastAsia" w:ascii="黑体" w:eastAsia="黑体" w:cs="仿宋_GB2312"/>
          <w:color w:val="000000"/>
          <w:szCs w:val="30"/>
          <w:highlight w:val="none"/>
        </w:rPr>
      </w:pPr>
      <w:r>
        <w:rPr>
          <w:rFonts w:hint="eastAsia" w:ascii="黑体" w:eastAsia="黑体" w:cs="仿宋_GB2312"/>
          <w:color w:val="000000"/>
          <w:szCs w:val="30"/>
          <w:highlight w:val="none"/>
        </w:rPr>
        <w:t>六、其他材料</w:t>
      </w:r>
    </w:p>
    <w:p>
      <w:pPr>
        <w:autoSpaceDE w:val="0"/>
        <w:autoSpaceDN w:val="0"/>
        <w:adjustRightInd w:val="0"/>
        <w:ind w:firstLine="592" w:firstLineChars="200"/>
        <w:rPr>
          <w:szCs w:val="30"/>
          <w:highlight w:val="none"/>
        </w:rPr>
      </w:pPr>
      <w:r>
        <w:rPr>
          <w:rFonts w:hint="eastAsia" w:ascii="仿宋_GB2312" w:cs="仿宋_GB2312"/>
          <w:sz w:val="30"/>
          <w:szCs w:val="30"/>
          <w:highlight w:val="none"/>
          <w:lang w:val="zh-CN"/>
        </w:rPr>
        <w:t>如：</w:t>
      </w:r>
      <w:r>
        <w:rPr>
          <w:rFonts w:hint="eastAsia" w:ascii="仿宋_GB2312" w:cs="仿宋_GB2312"/>
          <w:sz w:val="30"/>
          <w:szCs w:val="30"/>
          <w:highlight w:val="none"/>
          <w:lang w:val="en-US" w:eastAsia="zh-CN"/>
        </w:rPr>
        <w:t xml:space="preserve">            </w:t>
      </w:r>
      <w:r>
        <w:rPr>
          <w:rFonts w:hint="eastAsia" w:ascii="仿宋_GB2312" w:cs="仿宋_GB2312"/>
          <w:kern w:val="0"/>
          <w:szCs w:val="36"/>
          <w:highlight w:val="none"/>
          <w:u w:val="single"/>
          <w:lang w:val="zh-CN"/>
        </w:rPr>
        <w:t xml:space="preserve">         </w:t>
      </w:r>
      <w:r>
        <w:rPr>
          <w:rFonts w:hint="eastAsia" w:ascii="仿宋_GB2312" w:cs="仿宋_GB2312"/>
          <w:kern w:val="0"/>
          <w:szCs w:val="36"/>
          <w:highlight w:val="none"/>
          <w:lang w:val="zh-CN"/>
        </w:rPr>
        <w:t>辖内网点分布表</w:t>
      </w:r>
    </w:p>
    <w:tbl>
      <w:tblPr>
        <w:tblStyle w:val="4"/>
        <w:tblpPr w:leftFromText="180" w:rightFromText="180" w:vertAnchor="text" w:horzAnchor="page" w:tblpX="2062" w:tblpY="604"/>
        <w:tblOverlap w:val="never"/>
        <w:tblW w:w="0" w:type="auto"/>
        <w:tblInd w:w="0" w:type="dxa"/>
        <w:tblLayout w:type="fixed"/>
        <w:tblCellMar>
          <w:top w:w="0" w:type="dxa"/>
          <w:left w:w="108" w:type="dxa"/>
          <w:bottom w:w="0" w:type="dxa"/>
          <w:right w:w="108" w:type="dxa"/>
        </w:tblCellMar>
      </w:tblPr>
      <w:tblGrid>
        <w:gridCol w:w="2175"/>
        <w:gridCol w:w="2340"/>
        <w:gridCol w:w="1080"/>
        <w:gridCol w:w="1080"/>
        <w:gridCol w:w="900"/>
        <w:gridCol w:w="1260"/>
      </w:tblGrid>
      <w:tr>
        <w:tblPrEx>
          <w:tblCellMar>
            <w:top w:w="0" w:type="dxa"/>
            <w:left w:w="108" w:type="dxa"/>
            <w:bottom w:w="0" w:type="dxa"/>
            <w:right w:w="108" w:type="dxa"/>
          </w:tblCellMar>
        </w:tblPrEx>
        <w:trPr>
          <w:trHeight w:val="450" w:hRule="atLeast"/>
        </w:trPr>
        <w:tc>
          <w:tcPr>
            <w:tcW w:w="217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ascii="Calibri" w:hAnsi="Calibri" w:cs="Calibri"/>
                <w:kern w:val="0"/>
                <w:sz w:val="24"/>
                <w:szCs w:val="21"/>
                <w:highlight w:val="none"/>
              </w:rPr>
            </w:pPr>
            <w:r>
              <w:rPr>
                <w:rFonts w:hint="eastAsia" w:ascii="仿宋_GB2312" w:cs="仿宋_GB2312"/>
                <w:kern w:val="0"/>
                <w:sz w:val="24"/>
                <w:highlight w:val="none"/>
                <w:lang w:val="zh-CN"/>
              </w:rPr>
              <w:t>网点名称</w:t>
            </w:r>
          </w:p>
        </w:tc>
        <w:tc>
          <w:tcPr>
            <w:tcW w:w="234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ascii="Calibri" w:hAnsi="Calibri" w:cs="Calibri"/>
                <w:kern w:val="0"/>
                <w:sz w:val="24"/>
                <w:szCs w:val="21"/>
                <w:highlight w:val="none"/>
              </w:rPr>
            </w:pPr>
            <w:r>
              <w:rPr>
                <w:rFonts w:hint="eastAsia" w:ascii="仿宋_GB2312" w:cs="仿宋_GB2312"/>
                <w:kern w:val="0"/>
                <w:sz w:val="24"/>
                <w:highlight w:val="none"/>
                <w:lang w:val="zh-CN"/>
              </w:rPr>
              <w:t>地  址</w:t>
            </w:r>
          </w:p>
        </w:tc>
        <w:tc>
          <w:tcPr>
            <w:tcW w:w="108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ascii="Calibri" w:hAnsi="Calibri" w:cs="Calibri"/>
                <w:kern w:val="0"/>
                <w:sz w:val="24"/>
                <w:szCs w:val="21"/>
                <w:highlight w:val="none"/>
              </w:rPr>
            </w:pPr>
            <w:r>
              <w:rPr>
                <w:rFonts w:hint="eastAsia" w:ascii="仿宋_GB2312" w:cs="仿宋_GB2312"/>
                <w:kern w:val="0"/>
                <w:sz w:val="24"/>
                <w:highlight w:val="none"/>
                <w:lang w:val="zh-CN"/>
              </w:rPr>
              <w:t>负责人</w:t>
            </w:r>
          </w:p>
        </w:tc>
        <w:tc>
          <w:tcPr>
            <w:tcW w:w="108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ascii="Calibri" w:hAnsi="Calibri" w:cs="Calibri"/>
                <w:kern w:val="0"/>
                <w:sz w:val="24"/>
                <w:szCs w:val="21"/>
                <w:highlight w:val="none"/>
              </w:rPr>
            </w:pPr>
            <w:r>
              <w:rPr>
                <w:rFonts w:hint="eastAsia" w:ascii="仿宋_GB2312" w:cs="仿宋_GB2312"/>
                <w:kern w:val="0"/>
                <w:sz w:val="24"/>
                <w:highlight w:val="none"/>
                <w:lang w:val="zh-CN"/>
              </w:rPr>
              <w:t>电话</w:t>
            </w:r>
          </w:p>
        </w:tc>
        <w:tc>
          <w:tcPr>
            <w:tcW w:w="90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ascii="Calibri" w:hAnsi="Calibri" w:cs="Calibri"/>
                <w:kern w:val="0"/>
                <w:sz w:val="24"/>
                <w:szCs w:val="21"/>
                <w:highlight w:val="none"/>
              </w:rPr>
            </w:pPr>
            <w:r>
              <w:rPr>
                <w:rFonts w:hint="eastAsia" w:ascii="仿宋_GB2312" w:cs="仿宋_GB2312"/>
                <w:kern w:val="0"/>
                <w:sz w:val="24"/>
                <w:highlight w:val="none"/>
                <w:lang w:val="zh-CN"/>
              </w:rPr>
              <w:t>传真</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center"/>
              <w:rPr>
                <w:rFonts w:ascii="Calibri" w:hAnsi="Calibri" w:cs="Calibri"/>
                <w:kern w:val="0"/>
                <w:sz w:val="24"/>
                <w:szCs w:val="21"/>
                <w:highlight w:val="none"/>
              </w:rPr>
            </w:pPr>
            <w:r>
              <w:rPr>
                <w:rFonts w:hint="eastAsia" w:ascii="仿宋_GB2312" w:cs="仿宋_GB2312"/>
                <w:kern w:val="0"/>
                <w:sz w:val="24"/>
                <w:highlight w:val="none"/>
                <w:lang w:val="zh-CN"/>
              </w:rPr>
              <w:t>从业人数</w:t>
            </w:r>
          </w:p>
        </w:tc>
      </w:tr>
      <w:tr>
        <w:tblPrEx>
          <w:tblCellMar>
            <w:top w:w="0" w:type="dxa"/>
            <w:left w:w="108" w:type="dxa"/>
            <w:bottom w:w="0" w:type="dxa"/>
            <w:right w:w="108" w:type="dxa"/>
          </w:tblCellMar>
        </w:tblPrEx>
        <w:trPr>
          <w:trHeight w:val="450" w:hRule="atLeast"/>
        </w:trPr>
        <w:tc>
          <w:tcPr>
            <w:tcW w:w="2175" w:type="dxa"/>
            <w:tcBorders>
              <w:top w:val="nil"/>
              <w:left w:val="single" w:color="auto" w:sz="4" w:space="0"/>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234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90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26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r>
      <w:tr>
        <w:tblPrEx>
          <w:tblCellMar>
            <w:top w:w="0" w:type="dxa"/>
            <w:left w:w="108" w:type="dxa"/>
            <w:bottom w:w="0" w:type="dxa"/>
            <w:right w:w="108" w:type="dxa"/>
          </w:tblCellMar>
        </w:tblPrEx>
        <w:trPr>
          <w:trHeight w:val="450" w:hRule="atLeast"/>
        </w:trPr>
        <w:tc>
          <w:tcPr>
            <w:tcW w:w="2175" w:type="dxa"/>
            <w:tcBorders>
              <w:top w:val="nil"/>
              <w:left w:val="single" w:color="auto" w:sz="4" w:space="0"/>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234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90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26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r>
      <w:tr>
        <w:tblPrEx>
          <w:tblCellMar>
            <w:top w:w="0" w:type="dxa"/>
            <w:left w:w="108" w:type="dxa"/>
            <w:bottom w:w="0" w:type="dxa"/>
            <w:right w:w="108" w:type="dxa"/>
          </w:tblCellMar>
        </w:tblPrEx>
        <w:trPr>
          <w:trHeight w:val="450" w:hRule="atLeast"/>
        </w:trPr>
        <w:tc>
          <w:tcPr>
            <w:tcW w:w="2175" w:type="dxa"/>
            <w:tcBorders>
              <w:top w:val="nil"/>
              <w:left w:val="single" w:color="auto" w:sz="4" w:space="0"/>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234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90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26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r>
      <w:tr>
        <w:tblPrEx>
          <w:tblCellMar>
            <w:top w:w="0" w:type="dxa"/>
            <w:left w:w="108" w:type="dxa"/>
            <w:bottom w:w="0" w:type="dxa"/>
            <w:right w:w="108" w:type="dxa"/>
          </w:tblCellMar>
        </w:tblPrEx>
        <w:trPr>
          <w:trHeight w:val="450" w:hRule="atLeast"/>
        </w:trPr>
        <w:tc>
          <w:tcPr>
            <w:tcW w:w="2175" w:type="dxa"/>
            <w:tcBorders>
              <w:top w:val="nil"/>
              <w:left w:val="single" w:color="auto" w:sz="4" w:space="0"/>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234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90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26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r>
      <w:tr>
        <w:tblPrEx>
          <w:tblCellMar>
            <w:top w:w="0" w:type="dxa"/>
            <w:left w:w="108" w:type="dxa"/>
            <w:bottom w:w="0" w:type="dxa"/>
            <w:right w:w="108" w:type="dxa"/>
          </w:tblCellMar>
        </w:tblPrEx>
        <w:trPr>
          <w:trHeight w:val="450" w:hRule="atLeast"/>
        </w:trPr>
        <w:tc>
          <w:tcPr>
            <w:tcW w:w="2175" w:type="dxa"/>
            <w:tcBorders>
              <w:top w:val="nil"/>
              <w:left w:val="single" w:color="auto" w:sz="4" w:space="0"/>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234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90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26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r>
      <w:tr>
        <w:tblPrEx>
          <w:tblCellMar>
            <w:top w:w="0" w:type="dxa"/>
            <w:left w:w="108" w:type="dxa"/>
            <w:bottom w:w="0" w:type="dxa"/>
            <w:right w:w="108" w:type="dxa"/>
          </w:tblCellMar>
        </w:tblPrEx>
        <w:trPr>
          <w:trHeight w:val="450" w:hRule="atLeast"/>
        </w:trPr>
        <w:tc>
          <w:tcPr>
            <w:tcW w:w="2175" w:type="dxa"/>
            <w:tcBorders>
              <w:top w:val="nil"/>
              <w:left w:val="single" w:color="auto" w:sz="4" w:space="0"/>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234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08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90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c>
          <w:tcPr>
            <w:tcW w:w="1260" w:type="dxa"/>
            <w:tcBorders>
              <w:top w:val="nil"/>
              <w:left w:val="nil"/>
              <w:bottom w:val="single" w:color="auto" w:sz="4" w:space="0"/>
              <w:right w:val="single" w:color="auto" w:sz="4" w:space="0"/>
            </w:tcBorders>
            <w:noWrap w:val="0"/>
            <w:vAlign w:val="center"/>
          </w:tcPr>
          <w:p>
            <w:pPr>
              <w:autoSpaceDE w:val="0"/>
              <w:autoSpaceDN w:val="0"/>
              <w:adjustRightInd w:val="0"/>
              <w:jc w:val="left"/>
              <w:rPr>
                <w:rFonts w:ascii="Calibri" w:hAnsi="Calibri" w:cs="Calibri"/>
                <w:kern w:val="0"/>
                <w:sz w:val="24"/>
                <w:szCs w:val="21"/>
                <w:highlight w:val="none"/>
              </w:rPr>
            </w:pPr>
            <w:r>
              <w:rPr>
                <w:rFonts w:hint="eastAsia" w:ascii="仿宋_GB2312" w:cs="仿宋_GB2312"/>
                <w:kern w:val="0"/>
                <w:sz w:val="24"/>
                <w:highlight w:val="none"/>
                <w:lang w:val="zh-CN"/>
              </w:rPr>
              <w:t>　</w:t>
            </w:r>
          </w:p>
        </w:tc>
      </w:tr>
    </w:tbl>
    <w:p>
      <w:pPr>
        <w:rPr>
          <w:rFonts w:hint="eastAsia"/>
          <w:sz w:val="30"/>
          <w:szCs w:val="30"/>
          <w:highlight w:val="none"/>
        </w:rPr>
      </w:pPr>
    </w:p>
    <w:p>
      <w:pPr>
        <w:ind w:right="-11"/>
        <w:rPr>
          <w:rFonts w:hint="eastAsia" w:ascii="黑体" w:eastAsia="黑体"/>
          <w:szCs w:val="44"/>
          <w:highlight w:val="none"/>
          <w:lang w:val="en-US" w:eastAsia="zh-CN"/>
        </w:rPr>
      </w:pPr>
      <w:r>
        <w:rPr>
          <w:rFonts w:hint="eastAsia" w:ascii="黑体" w:eastAsia="黑体"/>
          <w:szCs w:val="44"/>
          <w:highlight w:val="none"/>
        </w:rPr>
        <w:t>附</w:t>
      </w:r>
      <w:r>
        <w:rPr>
          <w:rFonts w:hint="eastAsia" w:ascii="黑体" w:eastAsia="黑体"/>
          <w:szCs w:val="44"/>
          <w:highlight w:val="none"/>
          <w:lang w:val="en-US" w:eastAsia="zh-CN"/>
        </w:rPr>
        <w:t>5</w:t>
      </w:r>
    </w:p>
    <w:p>
      <w:pPr>
        <w:ind w:right="-11"/>
        <w:rPr>
          <w:rFonts w:hint="eastAsia" w:ascii="黑体" w:eastAsia="黑体"/>
          <w:szCs w:val="44"/>
          <w:highlight w:val="none"/>
        </w:rPr>
      </w:pPr>
    </w:p>
    <w:p>
      <w:pPr>
        <w:spacing w:line="720" w:lineRule="exact"/>
        <w:ind w:right="-14"/>
        <w:jc w:val="center"/>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常见错误示例</w:t>
      </w:r>
    </w:p>
    <w:p>
      <w:pPr>
        <w:ind w:firstLine="592" w:firstLineChars="200"/>
        <w:rPr>
          <w:rFonts w:hint="eastAsia" w:ascii="仿宋_GB2312" w:cs="仿宋_GB2312"/>
          <w:color w:val="000000"/>
          <w:sz w:val="30"/>
          <w:szCs w:val="30"/>
          <w:highlight w:val="none"/>
        </w:rPr>
      </w:pPr>
    </w:p>
    <w:p>
      <w:pPr>
        <w:ind w:firstLine="632" w:firstLineChars="200"/>
        <w:rPr>
          <w:rFonts w:hint="eastAsia" w:ascii="仿宋_GB2312" w:eastAsia="仿宋_GB2312"/>
          <w:color w:val="000000"/>
          <w:szCs w:val="30"/>
          <w:highlight w:val="none"/>
          <w:lang w:eastAsia="zh-CN"/>
        </w:rPr>
      </w:pPr>
      <w:r>
        <w:rPr>
          <w:rFonts w:hint="eastAsia" w:ascii="仿宋_GB2312" w:cs="仿宋_GB2312"/>
          <w:color w:val="000000"/>
          <w:szCs w:val="30"/>
          <w:highlight w:val="none"/>
        </w:rPr>
        <w:t>示例一、申请材料不加盖公章或只盖部门公章。申请材料如为复印件，应加盖单位公章</w:t>
      </w:r>
      <w:r>
        <w:rPr>
          <w:rFonts w:hint="eastAsia" w:ascii="仿宋_GB2312" w:cs="仿宋_GB2312"/>
          <w:color w:val="000000"/>
          <w:szCs w:val="30"/>
          <w:highlight w:val="none"/>
          <w:lang w:eastAsia="zh-CN"/>
        </w:rPr>
        <w:t>，而非部门章</w:t>
      </w:r>
      <w:r>
        <w:rPr>
          <w:rFonts w:hint="eastAsia" w:ascii="仿宋_GB2312" w:cs="仿宋_GB2312"/>
          <w:color w:val="000000"/>
          <w:szCs w:val="30"/>
          <w:highlight w:val="none"/>
        </w:rPr>
        <w:t>。在实际工作中，行政相对人提交纸质申请材料复印件时，出现忘记加盖公章或者只盖部门公章的情况。</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示例二、申请表填写不规范。“国库集中收付代理银行资格认定申请表”填写时，个别</w:t>
      </w:r>
      <w:r>
        <w:rPr>
          <w:rFonts w:hint="eastAsia" w:ascii="仿宋_GB2312" w:cs="仿宋_GB2312"/>
          <w:color w:val="000000"/>
          <w:szCs w:val="30"/>
          <w:highlight w:val="none"/>
          <w:lang w:eastAsia="zh-CN"/>
        </w:rPr>
        <w:t>申请</w:t>
      </w:r>
      <w:r>
        <w:rPr>
          <w:rFonts w:hint="eastAsia" w:ascii="仿宋_GB2312" w:cs="仿宋_GB2312"/>
          <w:color w:val="000000"/>
          <w:szCs w:val="30"/>
          <w:highlight w:val="none"/>
        </w:rPr>
        <w:t>人对“对公业务网点数”理解存在偏差，其中“省级城市”包括省会城市和副省级城市；地级城市是指地市级城市；县级城市包括县和县级市，均以当年官方公布的行政区划为准。</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示例三、申请书叙述不完整。申请书内容包括但不限于下列内容：前十大股东控股情况（以认定通知落款日期为主）、机构设置、主管部门职责、人员配备、网点分布、岗位责任、信息系统建设、资金汇划渠道、国库集中收付业务管理办法和操作规程、风险防范机制，根据国库集中收付业务需要制定的计算机硬件配置、软件开发及联网通讯方案等配套措施、服务承诺等，行政相对人在申请书中往往漏写相关内容</w:t>
      </w:r>
      <w:r>
        <w:rPr>
          <w:rFonts w:hint="eastAsia" w:ascii="仿宋_GB2312" w:cs="仿宋_GB2312"/>
          <w:color w:val="000000"/>
          <w:szCs w:val="30"/>
          <w:highlight w:val="none"/>
          <w:lang w:eastAsia="zh-CN"/>
        </w:rPr>
        <w:t>，建议分点填写</w:t>
      </w:r>
      <w:r>
        <w:rPr>
          <w:rFonts w:hint="eastAsia" w:ascii="仿宋_GB2312" w:cs="仿宋_GB2312"/>
          <w:color w:val="000000"/>
          <w:szCs w:val="30"/>
          <w:highlight w:val="none"/>
        </w:rPr>
        <w:t>。</w:t>
      </w:r>
    </w:p>
    <w:p>
      <w:pPr>
        <w:ind w:right="-11"/>
        <w:rPr>
          <w:rFonts w:hint="eastAsia" w:ascii="黑体" w:eastAsia="黑体"/>
          <w:szCs w:val="44"/>
          <w:highlight w:val="none"/>
        </w:rPr>
      </w:pPr>
    </w:p>
    <w:p>
      <w:pPr>
        <w:ind w:right="-11"/>
        <w:rPr>
          <w:rFonts w:hint="eastAsia" w:ascii="黑体" w:eastAsia="黑体"/>
          <w:szCs w:val="44"/>
          <w:highlight w:val="none"/>
          <w:lang w:val="en-US" w:eastAsia="zh-CN"/>
        </w:rPr>
      </w:pPr>
      <w:r>
        <w:rPr>
          <w:rFonts w:hint="eastAsia" w:ascii="黑体" w:eastAsia="黑体"/>
          <w:szCs w:val="44"/>
          <w:highlight w:val="none"/>
        </w:rPr>
        <w:t>附</w:t>
      </w:r>
      <w:r>
        <w:rPr>
          <w:rFonts w:hint="eastAsia" w:ascii="黑体" w:eastAsia="黑体"/>
          <w:szCs w:val="44"/>
          <w:highlight w:val="none"/>
          <w:lang w:val="en-US" w:eastAsia="zh-CN"/>
        </w:rPr>
        <w:t>6</w:t>
      </w:r>
    </w:p>
    <w:p>
      <w:pPr>
        <w:ind w:right="-11"/>
        <w:rPr>
          <w:rFonts w:hint="eastAsia" w:ascii="黑体" w:eastAsia="黑体"/>
          <w:szCs w:val="44"/>
          <w:highlight w:val="none"/>
        </w:rPr>
      </w:pPr>
    </w:p>
    <w:p>
      <w:pPr>
        <w:spacing w:line="720" w:lineRule="exact"/>
        <w:ind w:right="-14"/>
        <w:jc w:val="center"/>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常见问题解答</w:t>
      </w:r>
    </w:p>
    <w:p>
      <w:pPr>
        <w:ind w:firstLine="592" w:firstLineChars="200"/>
        <w:rPr>
          <w:rFonts w:hint="eastAsia" w:ascii="仿宋_GB2312" w:cs="仿宋_GB2312"/>
          <w:color w:val="000000"/>
          <w:sz w:val="30"/>
          <w:szCs w:val="30"/>
          <w:highlight w:val="none"/>
        </w:rPr>
      </w:pP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问题一、什么是国库集中收付代理银行资格认定？</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答：国库集中收付代理银行资格认定，是指中国人民银行受理商业银行的申请，经依法审查，核定其是否</w:t>
      </w:r>
      <w:r>
        <w:rPr>
          <w:rFonts w:hint="eastAsia" w:ascii="仿宋_GB2312" w:cs="仿宋_GB2312"/>
          <w:color w:val="000000"/>
          <w:szCs w:val="30"/>
          <w:highlight w:val="none"/>
          <w:lang w:eastAsia="zh"/>
        </w:rPr>
        <w:t>具备相应级次的</w:t>
      </w:r>
      <w:r>
        <w:rPr>
          <w:rFonts w:hint="eastAsia" w:ascii="仿宋_GB2312" w:cs="仿宋_GB2312"/>
          <w:color w:val="000000"/>
          <w:szCs w:val="30"/>
          <w:highlight w:val="none"/>
        </w:rPr>
        <w:t>国库集中收付代理银行资格的</w:t>
      </w:r>
      <w:r>
        <w:rPr>
          <w:rFonts w:hint="eastAsia" w:ascii="仿宋_GB2312" w:cs="仿宋_GB2312"/>
          <w:color w:val="000000"/>
          <w:szCs w:val="30"/>
          <w:highlight w:val="none"/>
          <w:lang w:eastAsia="zh"/>
        </w:rPr>
        <w:t>行政许可事项</w:t>
      </w:r>
      <w:r>
        <w:rPr>
          <w:rFonts w:hint="eastAsia" w:ascii="仿宋_GB2312" w:cs="仿宋_GB2312"/>
          <w:color w:val="000000"/>
          <w:szCs w:val="30"/>
          <w:highlight w:val="none"/>
        </w:rPr>
        <w:t>。</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问题二、国库集中收付代理银行资格认定分为哪几类？</w:t>
      </w:r>
    </w:p>
    <w:p>
      <w:pPr>
        <w:ind w:firstLine="632" w:firstLineChars="200"/>
        <w:rPr>
          <w:rFonts w:hint="eastAsia" w:ascii="仿宋_GB2312" w:hAnsi="Times New Roman" w:cs="仿宋_GB2312"/>
          <w:color w:val="000000"/>
          <w:szCs w:val="30"/>
          <w:highlight w:val="none"/>
        </w:rPr>
      </w:pPr>
      <w:r>
        <w:rPr>
          <w:rFonts w:hint="eastAsia" w:ascii="仿宋_GB2312" w:hAnsi="Times New Roman" w:cs="仿宋_GB2312"/>
          <w:color w:val="000000"/>
          <w:szCs w:val="30"/>
          <w:highlight w:val="none"/>
        </w:rPr>
        <w:t>答：按照业务种类，国库集中收付代理银行资格认定可分为财政直接支付代理银行资格认定、财政授权支付代理银行资格认定和政府非税收入收缴代理银行资格认定等三类</w:t>
      </w:r>
      <w:r>
        <w:rPr>
          <w:rFonts w:hint="eastAsia" w:ascii="仿宋_GB2312" w:hAnsi="Times New Roman" w:cs="仿宋_GB2312"/>
          <w:color w:val="000000"/>
          <w:szCs w:val="30"/>
          <w:highlight w:val="none"/>
          <w:lang w:eastAsia="zh-CN"/>
        </w:rPr>
        <w:t>，其中，财政直接支付代理银行资格认定、财政授权支付代理银行资格认定又可统称为国库集中支付代理银行资格认定</w:t>
      </w:r>
      <w:r>
        <w:rPr>
          <w:rFonts w:hint="eastAsia" w:ascii="仿宋_GB2312" w:hAnsi="Times New Roman" w:cs="仿宋_GB2312"/>
          <w:color w:val="000000"/>
          <w:szCs w:val="30"/>
          <w:highlight w:val="none"/>
        </w:rPr>
        <w:t>。</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问题三、外资银行是否可以申请国库集中收付代理银行资格？</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答：可申请国库集中收付代理银行资格的银行业金融机构包括国有商业银行、股份制商业银行、中国邮政储蓄银行，不包括外资银行，所以目前外资银行无法取得国库集中收付代理银行资格。</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问题四、申请人未经办过国库集中收付业务，是否可以申请代理？</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答：可以。</w:t>
      </w:r>
    </w:p>
    <w:p>
      <w:pPr>
        <w:ind w:firstLine="632" w:firstLineChars="200"/>
        <w:rPr>
          <w:rFonts w:hint="eastAsia" w:ascii="仿宋_GB2312"/>
          <w:color w:val="000000"/>
          <w:sz w:val="30"/>
          <w:szCs w:val="30"/>
          <w:highlight w:val="none"/>
        </w:rPr>
      </w:pPr>
      <w:r>
        <w:rPr>
          <w:rFonts w:hint="eastAsia" w:ascii="仿宋_GB2312" w:cs="仿宋_GB2312"/>
          <w:color w:val="000000"/>
          <w:szCs w:val="30"/>
          <w:highlight w:val="none"/>
        </w:rPr>
        <w:t>问题五、申请人提交的申请材料不齐全或有误的怎么办？</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答：申请材料不齐全或者不符合法定形式的，初审行应允许当场修改，或者在5个工作日内一次告知申请人需要补正的全部内容。逾期不告知的，自收到申请材料之日起即为受理。</w:t>
      </w:r>
    </w:p>
    <w:p>
      <w:pPr>
        <w:ind w:firstLine="632" w:firstLineChars="200"/>
        <w:rPr>
          <w:rFonts w:hint="eastAsia" w:ascii="仿宋_GB2312"/>
          <w:color w:val="000000"/>
          <w:szCs w:val="30"/>
          <w:highlight w:val="none"/>
        </w:rPr>
      </w:pPr>
      <w:r>
        <w:rPr>
          <w:rFonts w:hint="eastAsia" w:ascii="仿宋_GB2312" w:cs="仿宋_GB2312"/>
          <w:color w:val="000000"/>
          <w:szCs w:val="30"/>
          <w:highlight w:val="none"/>
        </w:rPr>
        <w:t>问题六、地方国库集中收付代理银行资格认定是否属于行政审批事项？</w:t>
      </w:r>
    </w:p>
    <w:p>
      <w:pPr>
        <w:tabs>
          <w:tab w:val="left" w:pos="3060"/>
        </w:tabs>
        <w:ind w:firstLine="632" w:firstLineChars="200"/>
        <w:rPr>
          <w:highlight w:val="none"/>
        </w:rPr>
      </w:pPr>
      <w:r>
        <w:rPr>
          <w:rFonts w:hint="eastAsia" w:ascii="仿宋_GB2312" w:cs="仿宋_GB2312"/>
          <w:color w:val="000000"/>
          <w:szCs w:val="30"/>
          <w:highlight w:val="none"/>
        </w:rPr>
        <w:t>答：根据</w:t>
      </w:r>
      <w:r>
        <w:rPr>
          <w:rFonts w:hint="eastAsia" w:ascii="仿宋_GB2312" w:cs="仿宋_GB2312"/>
          <w:color w:val="000000"/>
          <w:szCs w:val="30"/>
          <w:highlight w:val="none"/>
          <w:lang w:eastAsia="zh-CN"/>
        </w:rPr>
        <w:t>《国务院办公厅关于全面实行行政许可事项清单管理的通知》（国办发〔2022〕2号）</w:t>
      </w:r>
      <w:r>
        <w:rPr>
          <w:rFonts w:hint="eastAsia" w:ascii="仿宋_GB2312" w:cs="仿宋_GB2312"/>
          <w:color w:val="000000"/>
          <w:szCs w:val="30"/>
          <w:highlight w:val="none"/>
        </w:rPr>
        <w:t>等</w:t>
      </w:r>
      <w:r>
        <w:rPr>
          <w:rFonts w:hint="eastAsia" w:ascii="仿宋_GB2312" w:cs="仿宋_GB2312"/>
          <w:color w:val="000000"/>
          <w:szCs w:val="30"/>
          <w:highlight w:val="none"/>
          <w:lang w:eastAsia="zh-CN"/>
        </w:rPr>
        <w:t>文件</w:t>
      </w:r>
      <w:r>
        <w:rPr>
          <w:rFonts w:hint="eastAsia" w:ascii="仿宋_GB2312" w:cs="仿宋_GB2312"/>
          <w:color w:val="000000"/>
          <w:szCs w:val="30"/>
          <w:highlight w:val="none"/>
        </w:rPr>
        <w:t xml:space="preserve"> ，地方国库集中收付代理银行资格认定职责交给中国人民银行分支机构。</w:t>
      </w:r>
    </w:p>
    <w:p/>
    <w:sectPr>
      <w:footerReference r:id="rId6" w:type="default"/>
      <w:footerReference r:id="rId7" w:type="even"/>
      <w:footnotePr>
        <w:numFmt w:val="decimal"/>
      </w:footnotePr>
      <w:endnotePr>
        <w:numFmt w:val="decimal"/>
      </w:endnotePr>
      <w:pgSz w:w="11906" w:h="16838"/>
      <w:pgMar w:top="2098" w:right="1531" w:bottom="1985" w:left="1531" w:header="851" w:footer="1418" w:gutter="0"/>
      <w:pgNumType w:fmt="decimal"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仿宋">
    <w:altName w:val="微软雅黑"/>
    <w:panose1 w:val="02010609060101010101"/>
    <w:charset w:val="86"/>
    <w:family w:val="auto"/>
    <w:pitch w:val="default"/>
    <w:sig w:usb0="00000000" w:usb1="00000000"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sz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3"/>
                            <w:keepNext w:val="0"/>
                            <w:keepLines w:val="0"/>
                            <w:pageBreakBefore w:val="0"/>
                            <w:widowControl w:val="0"/>
                            <w:kinsoku/>
                            <w:wordWrap/>
                            <w:overflowPunct/>
                            <w:topLinePunct w:val="0"/>
                            <w:autoSpaceDE/>
                            <w:autoSpaceDN/>
                            <w:bidi w:val="0"/>
                            <w:adjustRightInd/>
                            <w:snapToGrid w:val="0"/>
                            <w:ind w:right="320" w:rightChars="1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3</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oaYJL0wAAAAUBAAAPAAAAAAAAAAEAIAAAACIAAABkcnMvZG93&#10;bnJldi54bWxQSwECFAAUAAAACACHTuJAPy83SMwBAAB7AwAADgAAAAAAAAABACAAAAAiAQAAZHJz&#10;L2Uyb0RvYy54bWxQSwUGAAAAAAYABgBZAQAAYAUAAAAA&#10;">
              <v:fill on="f" focussize="0,0"/>
              <v:stroke on="f" weight="1.2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ind w:right="320" w:rightChars="1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3</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rPr>
    </w:pPr>
    <w:r>
      <w:rPr>
        <w:sz w:val="20"/>
      </w:rPr>
      <mc:AlternateContent>
        <mc:Choice Requires="wps">
          <w:drawing>
            <wp:anchor distT="0" distB="0" distL="114300" distR="114300" simplePos="0" relativeHeight="251661312" behindDoc="0" locked="0" layoutInCell="1" allowOverlap="1">
              <wp:simplePos x="0" y="0"/>
              <wp:positionH relativeFrom="margin">
                <wp:posOffset>-7620</wp:posOffset>
              </wp:positionH>
              <wp:positionV relativeFrom="paragraph">
                <wp:posOffset>0</wp:posOffset>
              </wp:positionV>
              <wp:extent cx="1828800" cy="1828800"/>
              <wp:effectExtent l="0" t="0" r="0" b="0"/>
              <wp:wrapNone/>
              <wp:docPr id="1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3"/>
                            <w:keepNext w:val="0"/>
                            <w:keepLines w:val="0"/>
                            <w:pageBreakBefore w:val="0"/>
                            <w:widowControl w:val="0"/>
                            <w:kinsoku/>
                            <w:wordWrap/>
                            <w:overflowPunct/>
                            <w:topLinePunct w:val="0"/>
                            <w:autoSpaceDE/>
                            <w:autoSpaceDN/>
                            <w:bidi w:val="0"/>
                            <w:adjustRightInd/>
                            <w:snapToGrid w:val="0"/>
                            <w:ind w:left="320" w:leftChars="1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left:-0.6pt;margin-top:0pt;height:144pt;width:144pt;mso-position-horizontal-relative:margin;mso-wrap-style:none;z-index:251661312;mso-width-relative:page;mso-height-relative:page;" filled="f" stroked="f" coordsize="21600,21600" o:gfxdata="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27ubT1gAAAAcBAAAPAAAAAAAAAAEAIAAAACIAAABkcnMv&#10;ZG93bnJldi54bWxQSwECFAAUAAAACACHTuJAZBWjBcwBAAB7AwAADgAAAAAAAAABACAAAAAlAQAA&#10;ZHJzL2Uyb0RvYy54bWxQSwUGAAAAAAYABgBZAQAAYwUAAAAA&#10;">
              <v:fill on="f" focussize="0,0"/>
              <v:stroke on="f" weight="1.2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ind w:left="320" w:leftChars="1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Align="top"/>
    </w:pPr>
    <w:r>
      <w:fldChar w:fldCharType="begin"/>
    </w:r>
    <w:r>
      <w:rPr>
        <w:rStyle w:val="7"/>
      </w:rPr>
      <w:instrText xml:space="preserve"> PAGE  </w:instrText>
    </w:r>
    <w:r>
      <w:fldChar w:fldCharType="separate"/>
    </w:r>
    <w:r>
      <w:rPr>
        <w:rStyle w:val="7"/>
      </w:rPr>
      <w:t>- 6 -</w:t>
    </w:r>
    <w:r>
      <w:fldChar w:fldCharType="end"/>
    </w:r>
  </w:p>
  <w:p>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B4E060"/>
    <w:multiLevelType w:val="singleLevel"/>
    <w:tmpl w:val="8DB4E060"/>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F444CD"/>
    <w:rsid w:val="07357C67"/>
    <w:rsid w:val="0A105C2F"/>
    <w:rsid w:val="2BB34699"/>
    <w:rsid w:val="2FB53A34"/>
    <w:rsid w:val="35AE35FE"/>
    <w:rsid w:val="4E0C40CE"/>
    <w:rsid w:val="567C73D5"/>
    <w:rsid w:val="60550F9F"/>
    <w:rsid w:val="646262BB"/>
    <w:rsid w:val="679C238B"/>
    <w:rsid w:val="76F444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0"/>
    <w:pPr>
      <w:tabs>
        <w:tab w:val="center" w:pos="4153"/>
        <w:tab w:val="right" w:pos="8306"/>
      </w:tabs>
      <w:snapToGrid w:val="0"/>
      <w:jc w:val="left"/>
    </w:pPr>
    <w:rPr>
      <w:sz w:val="18"/>
      <w:szCs w:val="18"/>
    </w:rPr>
  </w:style>
  <w:style w:type="table" w:styleId="5">
    <w:name w:val="Table Grid"/>
    <w:basedOn w:val="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page number"/>
    <w:basedOn w:val="6"/>
    <w:unhideWhenUsed/>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3</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2026-04-23T07:50:00Z</dcterms:created>
  <dc:creator>Administrator</dc:creator>
  <cp:lastModifiedBy>傅筱晖</cp:lastModifiedBy>
  <dcterms:modified xsi:type="dcterms:W3CDTF">2026-06-10T01:17:23Z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828C46F3AE5945DA8AA7AB73621C5169_11</vt:lpwstr>
  </property>
  <property fmtid="{D5CDD505-2E9C-101B-9397-08002B2CF9AE}" pid="4" name="KSOTemplateDocerSaveRecord">
    <vt:lpwstr>eyJoZGlkIjoiYmFmODFhZWE3ODQwYWI3ZGFkYzNmMjRmNDVlYzFkOGQifQ==</vt:lpwstr>
  </property>
</Properties>
</file>