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AF65">
      <w:pPr>
        <w:spacing w:before="156" w:beforeLines="50"/>
        <w:ind w:firstLine="0" w:firstLineChars="0"/>
        <w:jc w:val="center"/>
        <w:rPr>
          <w:rFonts w:ascii="微软雅黑" w:hAnsi="微软雅黑" w:eastAsia="微软雅黑" w:cs="微软雅黑"/>
          <w:sz w:val="84"/>
          <w:szCs w:val="84"/>
        </w:rPr>
      </w:pPr>
      <w:r>
        <w:rPr>
          <w:rFonts w:hint="eastAsia" w:ascii="微软雅黑" w:hAnsi="微软雅黑" w:eastAsia="微软雅黑" w:cs="微软雅黑"/>
          <w:sz w:val="84"/>
          <w:szCs w:val="84"/>
        </w:rPr>
        <w:t>三明市中心城区海绵城市专项规划修编</w:t>
      </w:r>
    </w:p>
    <w:p w14:paraId="51C13DE2">
      <w:pPr>
        <w:spacing w:before="156" w:beforeLines="50"/>
        <w:ind w:firstLine="0" w:firstLineChars="0"/>
        <w:jc w:val="center"/>
        <w:rPr>
          <w:rFonts w:ascii="微软雅黑" w:hAnsi="微软雅黑" w:eastAsia="微软雅黑" w:cs="微软雅黑"/>
          <w:sz w:val="84"/>
          <w:szCs w:val="84"/>
        </w:rPr>
      </w:pPr>
      <w:r>
        <w:rPr>
          <w:rFonts w:hint="eastAsia" w:ascii="微软雅黑" w:hAnsi="微软雅黑" w:eastAsia="微软雅黑" w:cs="微软雅黑"/>
          <w:sz w:val="84"/>
          <w:szCs w:val="84"/>
        </w:rPr>
        <w:t>（</w:t>
      </w:r>
      <w:r>
        <w:rPr>
          <w:rFonts w:ascii="微软雅黑" w:hAnsi="微软雅黑" w:eastAsia="微软雅黑" w:cs="微软雅黑"/>
          <w:sz w:val="84"/>
          <w:szCs w:val="84"/>
        </w:rPr>
        <w:t>2024-2035</w:t>
      </w:r>
      <w:r>
        <w:rPr>
          <w:rFonts w:hint="eastAsia" w:ascii="微软雅黑" w:hAnsi="微软雅黑" w:eastAsia="微软雅黑" w:cs="微软雅黑"/>
          <w:sz w:val="84"/>
          <w:szCs w:val="84"/>
        </w:rPr>
        <w:t>年）</w:t>
      </w:r>
    </w:p>
    <w:p w14:paraId="7D6FED4D">
      <w:pPr>
        <w:spacing w:before="468" w:beforeLines="150"/>
        <w:ind w:firstLine="0" w:firstLineChars="0"/>
        <w:jc w:val="center"/>
        <w:rPr>
          <w:rFonts w:ascii="楷体" w:hAnsi="楷体" w:eastAsia="楷体"/>
          <w:sz w:val="72"/>
          <w:szCs w:val="72"/>
        </w:rPr>
      </w:pPr>
      <w:bookmarkStart w:id="0" w:name="_Toc90928748"/>
      <w:bookmarkStart w:id="1" w:name="_Toc91191055"/>
      <w:bookmarkStart w:id="2" w:name="_Toc91082360"/>
      <w:r>
        <w:rPr>
          <w:rFonts w:hint="eastAsia" w:ascii="楷体" w:hAnsi="楷体" w:eastAsia="楷体"/>
          <w:sz w:val="72"/>
          <w:szCs w:val="72"/>
        </w:rPr>
        <w:t>（</w:t>
      </w:r>
      <w:r>
        <w:rPr>
          <w:rFonts w:hint="eastAsia" w:ascii="楷体" w:hAnsi="楷体" w:eastAsia="楷体"/>
          <w:sz w:val="72"/>
          <w:szCs w:val="72"/>
          <w:lang w:val="en-US" w:eastAsia="zh-CN"/>
        </w:rPr>
        <w:t>征求意见</w:t>
      </w:r>
      <w:bookmarkStart w:id="23" w:name="_GoBack"/>
      <w:bookmarkEnd w:id="23"/>
      <w:r>
        <w:rPr>
          <w:rFonts w:hint="eastAsia" w:ascii="楷体" w:hAnsi="楷体" w:eastAsia="楷体"/>
          <w:sz w:val="72"/>
          <w:szCs w:val="72"/>
        </w:rPr>
        <w:t>稿）</w:t>
      </w:r>
    </w:p>
    <w:p w14:paraId="49EF99E2">
      <w:pPr>
        <w:ind w:firstLine="560"/>
      </w:pPr>
    </w:p>
    <w:p w14:paraId="07EF5722">
      <w:pPr>
        <w:ind w:firstLine="560"/>
      </w:pPr>
    </w:p>
    <w:p w14:paraId="03EE79A3">
      <w:pPr>
        <w:ind w:firstLine="560"/>
      </w:pPr>
    </w:p>
    <w:p w14:paraId="6EBD2439">
      <w:pPr>
        <w:ind w:firstLine="560"/>
      </w:pPr>
    </w:p>
    <w:p w14:paraId="16B980A3">
      <w:pPr>
        <w:ind w:firstLine="560"/>
      </w:pPr>
      <w:r>
        <w:rPr>
          <w:rFonts w:hint="eastAsia"/>
        </w:rPr>
        <w:t xml:space="preserve"> </w:t>
      </w:r>
    </w:p>
    <w:p w14:paraId="01F2F643">
      <w:pPr>
        <w:ind w:firstLine="560"/>
      </w:pPr>
    </w:p>
    <w:p w14:paraId="6588B764">
      <w:pPr>
        <w:ind w:firstLine="560"/>
      </w:pPr>
    </w:p>
    <w:p w14:paraId="5395F457">
      <w:pPr>
        <w:ind w:firstLine="560"/>
      </w:pPr>
    </w:p>
    <w:p w14:paraId="0F21E329">
      <w:pPr>
        <w:ind w:firstLine="560"/>
      </w:pPr>
    </w:p>
    <w:p w14:paraId="02BBFF4D">
      <w:pPr>
        <w:ind w:firstLine="560"/>
      </w:pPr>
    </w:p>
    <w:p w14:paraId="60C9A6A0">
      <w:pPr>
        <w:ind w:firstLine="560"/>
      </w:pPr>
    </w:p>
    <w:bookmarkEnd w:id="0"/>
    <w:bookmarkEnd w:id="1"/>
    <w:bookmarkEnd w:id="2"/>
    <w:p w14:paraId="27BFE727">
      <w:pPr>
        <w:ind w:firstLine="720"/>
        <w:jc w:val="center"/>
        <w:rPr>
          <w:rFonts w:ascii="黑体" w:hAnsi="黑体" w:eastAsia="黑体"/>
          <w:sz w:val="36"/>
          <w:szCs w:val="36"/>
        </w:rPr>
        <w:sectPr>
          <w:headerReference r:id="rId7" w:type="first"/>
          <w:footerReference r:id="rId10" w:type="first"/>
          <w:headerReference r:id="rId5" w:type="default"/>
          <w:footerReference r:id="rId8" w:type="default"/>
          <w:headerReference r:id="rId6" w:type="even"/>
          <w:footerReference r:id="rId9" w:type="even"/>
          <w:pgSz w:w="23811" w:h="16838" w:orient="landscape"/>
          <w:pgMar w:top="1800" w:right="1440" w:bottom="1800" w:left="1440" w:header="851" w:footer="992" w:gutter="0"/>
          <w:cols w:space="1261" w:num="1"/>
          <w:docGrid w:type="lines" w:linePitch="312" w:charSpace="0"/>
        </w:sectPr>
      </w:pPr>
      <w:bookmarkStart w:id="3" w:name="_Toc91191056"/>
      <w:bookmarkStart w:id="4" w:name="_Toc91082361"/>
      <w:bookmarkStart w:id="5" w:name="_Toc90928749"/>
    </w:p>
    <w:bookmarkEnd w:id="3"/>
    <w:bookmarkEnd w:id="4"/>
    <w:bookmarkEnd w:id="5"/>
    <w:p w14:paraId="1C1AF4E5">
      <w:pPr>
        <w:pStyle w:val="3"/>
      </w:pPr>
      <w:bookmarkStart w:id="6" w:name="_Toc205791727"/>
      <w:bookmarkStart w:id="7" w:name="_Toc116408131"/>
      <w:bookmarkStart w:id="8" w:name="_Toc501399266"/>
      <w:r>
        <w:rPr>
          <w:rFonts w:hint="eastAsia"/>
        </w:rPr>
        <w:t>一、规划范围</w:t>
      </w:r>
      <w:bookmarkEnd w:id="6"/>
      <w:bookmarkEnd w:id="7"/>
      <w:bookmarkEnd w:id="8"/>
    </w:p>
    <w:p w14:paraId="3B02231D">
      <w:pPr>
        <w:ind w:firstLine="560"/>
      </w:pPr>
      <w:r>
        <w:rPr>
          <w:rFonts w:hint="eastAsia"/>
        </w:rPr>
        <w:t>规划范围为三明市中心城区，具体范围与三明市国土空间总体规划的中心城区保持一致，包括三元区的徐碧街道、列东街道、列西街道、白沙街道、城关街道、富兴堡街道、荆西街道、陈大镇、洋溪镇、莘口镇和岩前镇，以及沙县区的凤岗街道、虬江街道和富口镇，共九街道五镇行政范围，规划总面积1547.73平方千米。</w:t>
      </w:r>
    </w:p>
    <w:p w14:paraId="2E4DC8A8">
      <w:pPr>
        <w:ind w:firstLine="0" w:firstLineChars="0"/>
        <w:jc w:val="center"/>
      </w:pPr>
      <w:r>
        <w:drawing>
          <wp:inline distT="0" distB="0" distL="0" distR="0">
            <wp:extent cx="5776595" cy="4487545"/>
            <wp:effectExtent l="0" t="0" r="0" b="8255"/>
            <wp:docPr id="19" name="图片 19" descr="G:\2024\0-三明海绵城市及提质增效\02海绵城市规划\说明书附图\规划范围-全区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G:\2024\0-三明海绵城市及提质增效\02海绵城市规划\说明书附图\规划范围-全区A.jpg"/>
                    <pic:cNvPicPr>
                      <a:picLocks noChangeAspect="1" noChangeArrowheads="1"/>
                    </pic:cNvPicPr>
                  </pic:nvPicPr>
                  <pic:blipFill>
                    <a:blip r:embed="rId14" cstate="print"/>
                    <a:srcRect/>
                    <a:stretch>
                      <a:fillRect/>
                    </a:stretch>
                  </pic:blipFill>
                  <pic:spPr>
                    <a:xfrm>
                      <a:off x="0" y="0"/>
                      <a:ext cx="5783555" cy="4492965"/>
                    </a:xfrm>
                    <a:prstGeom prst="rect">
                      <a:avLst/>
                    </a:prstGeom>
                    <a:noFill/>
                    <a:ln>
                      <a:noFill/>
                    </a:ln>
                  </pic:spPr>
                </pic:pic>
              </a:graphicData>
            </a:graphic>
          </wp:inline>
        </w:drawing>
      </w:r>
    </w:p>
    <w:p w14:paraId="7C39D618">
      <w:pPr>
        <w:ind w:firstLine="560"/>
        <w:jc w:val="center"/>
      </w:pPr>
      <w:r>
        <w:rPr>
          <w:rFonts w:hint="eastAsia"/>
        </w:rPr>
        <w:t>图1</w:t>
      </w:r>
      <w:r>
        <w:t xml:space="preserve">-1 </w:t>
      </w:r>
      <w:r>
        <w:rPr>
          <w:rFonts w:hint="eastAsia"/>
        </w:rPr>
        <w:t>规划范围图</w:t>
      </w:r>
    </w:p>
    <w:p w14:paraId="45EAED70">
      <w:pPr>
        <w:ind w:firstLine="560"/>
      </w:pPr>
      <w:r>
        <w:rPr>
          <w:rFonts w:hint="eastAsia"/>
        </w:rPr>
        <w:t>规划兼顾规划区所处流域范围，包括两个层次的流域统筹：一是沙溪流域统筹，主要统筹沙溪流域自然生态空间保护，协调沙溪干流防洪体系构建，流域统筹面积</w:t>
      </w:r>
      <w:r>
        <w:t>11793</w:t>
      </w:r>
      <w:r>
        <w:rPr>
          <w:rFonts w:hint="eastAsia"/>
        </w:rPr>
        <w:t>平方千米；二是规划区所处的沙溪支流流域统筹，包括溪源溪、渔潭溪、薯沙溪、台江、东牙溪、碧溪、东溪、豆士溪和南溪等流域，协调支流流域水安全、水生态、水环境、水资源等问题，支流流域统筹面积</w:t>
      </w:r>
      <w:r>
        <w:t>331</w:t>
      </w:r>
      <w:r>
        <w:rPr>
          <w:rFonts w:hint="eastAsia"/>
        </w:rPr>
        <w:t>平方千米。</w:t>
      </w:r>
    </w:p>
    <w:p w14:paraId="1539BB57">
      <w:pPr>
        <w:ind w:firstLine="0" w:firstLineChars="0"/>
        <w:jc w:val="center"/>
      </w:pPr>
      <w:r>
        <w:drawing>
          <wp:inline distT="0" distB="0" distL="0" distR="0">
            <wp:extent cx="5791200" cy="4138930"/>
            <wp:effectExtent l="0" t="0" r="0" b="0"/>
            <wp:docPr id="17" name="图片 17" descr="G:\2024\0-三明海绵城市及提质增效\02海绵城市规划\说明书附图\流域统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G:\2024\0-三明海绵城市及提质增效\02海绵城市规划\说明书附图\流域统筹.jpg"/>
                    <pic:cNvPicPr>
                      <a:picLocks noChangeAspect="1" noChangeArrowheads="1"/>
                    </pic:cNvPicPr>
                  </pic:nvPicPr>
                  <pic:blipFill>
                    <a:blip r:embed="rId15" cstate="print"/>
                    <a:srcRect/>
                    <a:stretch>
                      <a:fillRect/>
                    </a:stretch>
                  </pic:blipFill>
                  <pic:spPr>
                    <a:xfrm>
                      <a:off x="0" y="0"/>
                      <a:ext cx="5795058" cy="4141926"/>
                    </a:xfrm>
                    <a:prstGeom prst="rect">
                      <a:avLst/>
                    </a:prstGeom>
                    <a:noFill/>
                    <a:ln>
                      <a:noFill/>
                    </a:ln>
                  </pic:spPr>
                </pic:pic>
              </a:graphicData>
            </a:graphic>
          </wp:inline>
        </w:drawing>
      </w:r>
    </w:p>
    <w:p w14:paraId="7638CDCD">
      <w:pPr>
        <w:ind w:firstLine="560"/>
        <w:jc w:val="center"/>
      </w:pPr>
      <w:r>
        <w:rPr>
          <w:rFonts w:hint="eastAsia"/>
        </w:rPr>
        <w:t>图1</w:t>
      </w:r>
      <w:r>
        <w:t xml:space="preserve">-2  </w:t>
      </w:r>
      <w:r>
        <w:rPr>
          <w:rFonts w:hint="eastAsia"/>
        </w:rPr>
        <w:t>流域统筹范围图</w:t>
      </w:r>
    </w:p>
    <w:p w14:paraId="51D763F5">
      <w:pPr>
        <w:pStyle w:val="3"/>
      </w:pPr>
      <w:bookmarkStart w:id="9" w:name="_Toc205791728"/>
      <w:bookmarkStart w:id="10" w:name="_Toc116408132"/>
      <w:bookmarkStart w:id="11" w:name="_Toc501399267"/>
      <w:r>
        <w:rPr>
          <w:rFonts w:hint="eastAsia"/>
        </w:rPr>
        <w:t>二、规划期限</w:t>
      </w:r>
      <w:bookmarkEnd w:id="9"/>
      <w:bookmarkEnd w:id="10"/>
      <w:bookmarkEnd w:id="11"/>
    </w:p>
    <w:p w14:paraId="22BB9327">
      <w:pPr>
        <w:ind w:firstLine="560"/>
        <w:rPr>
          <w:rFonts w:cs="Times New Roman"/>
          <w:szCs w:val="24"/>
        </w:rPr>
      </w:pPr>
      <w:bookmarkStart w:id="12" w:name="_Toc116408133"/>
      <w:r>
        <w:rPr>
          <w:rFonts w:hint="eastAsia" w:cs="Times New Roman"/>
          <w:szCs w:val="24"/>
        </w:rPr>
        <w:t>本项目规划期限为202</w:t>
      </w:r>
      <w:r>
        <w:rPr>
          <w:rFonts w:cs="Times New Roman"/>
          <w:szCs w:val="24"/>
        </w:rPr>
        <w:t>4</w:t>
      </w:r>
      <w:r>
        <w:rPr>
          <w:rFonts w:hint="eastAsia" w:cs="Times New Roman"/>
          <w:szCs w:val="24"/>
        </w:rPr>
        <w:t>-2035年，基期年为</w:t>
      </w:r>
      <w:r>
        <w:rPr>
          <w:rFonts w:cs="Times New Roman"/>
          <w:szCs w:val="24"/>
        </w:rPr>
        <w:t>2023</w:t>
      </w:r>
      <w:r>
        <w:rPr>
          <w:rFonts w:hint="eastAsia" w:cs="Times New Roman"/>
          <w:szCs w:val="24"/>
        </w:rPr>
        <w:t>年，近期至2025年，中期至2</w:t>
      </w:r>
      <w:r>
        <w:rPr>
          <w:rFonts w:cs="Times New Roman"/>
          <w:szCs w:val="24"/>
        </w:rPr>
        <w:t>030</w:t>
      </w:r>
      <w:r>
        <w:rPr>
          <w:rFonts w:hint="eastAsia" w:cs="Times New Roman"/>
          <w:szCs w:val="24"/>
        </w:rPr>
        <w:t>年，远期至 2035年。</w:t>
      </w:r>
    </w:p>
    <w:bookmarkEnd w:id="12"/>
    <w:p w14:paraId="6591BF80">
      <w:pPr>
        <w:pStyle w:val="3"/>
      </w:pPr>
      <w:bookmarkStart w:id="13" w:name="_Toc205791766"/>
      <w:bookmarkStart w:id="14" w:name="_Toc116408154"/>
      <w:r>
        <w:rPr>
          <w:rFonts w:hint="eastAsia"/>
        </w:rPr>
        <w:t>三、规划目标</w:t>
      </w:r>
      <w:bookmarkEnd w:id="13"/>
      <w:bookmarkEnd w:id="14"/>
    </w:p>
    <w:p w14:paraId="236C735C">
      <w:pPr>
        <w:ind w:firstLine="560"/>
        <w:rPr>
          <w:rFonts w:ascii="宋体" w:hAnsi="宋体"/>
          <w:szCs w:val="28"/>
        </w:rPr>
      </w:pPr>
      <w:bookmarkStart w:id="15" w:name="_Toc205791767"/>
      <w:r>
        <w:rPr>
          <w:rFonts w:hint="eastAsia" w:ascii="宋体" w:hAnsi="宋体"/>
          <w:szCs w:val="28"/>
          <w:lang w:eastAsia="zh-CN"/>
        </w:rPr>
        <w:t>1.</w:t>
      </w:r>
      <w:r>
        <w:rPr>
          <w:rFonts w:hint="eastAsia" w:ascii="宋体" w:hAnsi="宋体"/>
          <w:szCs w:val="28"/>
        </w:rPr>
        <w:t>总体目标</w:t>
      </w:r>
      <w:bookmarkEnd w:id="15"/>
    </w:p>
    <w:p w14:paraId="099BED4B">
      <w:pPr>
        <w:ind w:firstLine="560"/>
        <w:rPr>
          <w:b/>
          <w:bCs/>
        </w:rPr>
      </w:pPr>
      <w:bookmarkStart w:id="16" w:name="_Toc116408155"/>
      <w:r>
        <w:rPr>
          <w:rFonts w:hint="eastAsia" w:cs="Times New Roman"/>
        </w:rPr>
        <w:t>依托三明市“八山一水一分田”的自然地貌格局及“峰谷错落、水系交织、绿荫连绵、园田棋布”的生态资源本底，以系统化、全域化海绵城市建设理念为引领，以目标和问题为导向，按照</w:t>
      </w:r>
      <w:r>
        <w:rPr>
          <w:rFonts w:hint="eastAsia"/>
        </w:rPr>
        <w:t>“源头减排、过程控制、系统治理”系统谋划思路，</w:t>
      </w:r>
      <w:r>
        <w:rPr>
          <w:rFonts w:hint="eastAsia" w:cs="Times New Roman"/>
        </w:rPr>
        <w:t>加强区域海绵自然生态空间保护，重点聚焦因雨水引发的城市洪涝问题、合流制排水系统溢流污染问题，统筹兼顾城市水生态改善和雨水资源利用，结合三明自然山水优势推进海绵城市建设</w:t>
      </w:r>
      <w:r>
        <w:rPr>
          <w:rFonts w:hint="eastAsia"/>
        </w:rPr>
        <w:t>，提升城市人居品质和城市韧性，助力革命老区高质量发展示范区和福建省山区绿色发展带区域中心城市建设，</w:t>
      </w:r>
      <w:r>
        <w:rPr>
          <w:rFonts w:hint="eastAsia"/>
          <w:b/>
          <w:bCs/>
        </w:rPr>
        <w:t>打造南方山地河谷型地区海绵城市建设典范，建设山水相依、蓝绿清新、安全韧性、生态宜居的海绵城市、韧性城市。</w:t>
      </w:r>
    </w:p>
    <w:p w14:paraId="3DEB1496">
      <w:pPr>
        <w:ind w:firstLine="560"/>
      </w:pPr>
      <w:r>
        <w:rPr>
          <w:rFonts w:hint="eastAsia"/>
        </w:rPr>
        <w:t>在水安全、水环境、水生态、水资源方面的目标具体体现为：</w:t>
      </w:r>
    </w:p>
    <w:p w14:paraId="7E819D20">
      <w:pPr>
        <w:ind w:firstLine="560"/>
      </w:pPr>
      <w:r>
        <w:rPr>
          <w:rFonts w:hint="eastAsia"/>
        </w:rPr>
        <w:t>（1）水安全方面：统筹沙溪干流防洪体系构建，重点针对主城区洪涝灾害问题，因地制宜打造“防洪提升、源头减排、蓄排并举、超标应急”的城市防洪排涝体系，</w:t>
      </w:r>
      <w:r>
        <w:rPr>
          <w:rFonts w:hint="eastAsia"/>
          <w:b/>
        </w:rPr>
        <w:t>建设依山傍水、洪涝共治的韧性城市。</w:t>
      </w:r>
    </w:p>
    <w:p w14:paraId="4D75BE46">
      <w:pPr>
        <w:ind w:firstLine="560"/>
      </w:pPr>
      <w:r>
        <w:rPr>
          <w:rFonts w:hint="eastAsia"/>
        </w:rPr>
        <w:t>（2）水环境方面：统筹流域面源污染治理，重点针对老城区合流制溢流污染问题，多措并举推进城镇污水处理提质增效，结合雨水径流控制降低地表径流污染，改善城市水环境，</w:t>
      </w:r>
      <w:r>
        <w:rPr>
          <w:rFonts w:hint="eastAsia"/>
          <w:b/>
        </w:rPr>
        <w:t>建设山清水秀、蓝绿清新的山水名城。</w:t>
      </w:r>
    </w:p>
    <w:p w14:paraId="391161C4">
      <w:pPr>
        <w:ind w:firstLine="560"/>
        <w:rPr>
          <w:b/>
        </w:rPr>
      </w:pPr>
      <w:r>
        <w:rPr>
          <w:rFonts w:hint="eastAsia"/>
        </w:rPr>
        <w:t>（3）水生态方面：统筹山水林田湖草生态要素，强化流域生态海绵基底保护构建区域生态安全屏障，城市建成区结合城市更新、公园绿地建设等“增绿留白”，增加城市透水面积，提升人居环境品质，</w:t>
      </w:r>
      <w:r>
        <w:rPr>
          <w:rFonts w:hint="eastAsia"/>
          <w:b/>
        </w:rPr>
        <w:t>建设绿荫连绵、生态宜居的康养胜地。</w:t>
      </w:r>
    </w:p>
    <w:p w14:paraId="6AE069FA">
      <w:pPr>
        <w:ind w:firstLine="560"/>
      </w:pPr>
      <w:r>
        <w:rPr>
          <w:rFonts w:hint="eastAsia"/>
        </w:rPr>
        <w:t>（4）水资源方面：统筹流域水资源配置，加强水源地保护及水源涵养，</w:t>
      </w:r>
      <w:r>
        <w:rPr>
          <w:rFonts w:hint="eastAsia"/>
          <w:lang w:val="en-US" w:eastAsia="zh-CN"/>
        </w:rPr>
        <w:t>推进</w:t>
      </w:r>
      <w:r>
        <w:rPr>
          <w:rFonts w:hint="eastAsia"/>
        </w:rPr>
        <w:t>城市建成区非常水资源利用，加快公建设施雨水资源利用、市政园林再生水回用、工业生产用水循序循环利用，</w:t>
      </w:r>
      <w:r>
        <w:rPr>
          <w:rFonts w:hint="eastAsia"/>
          <w:b/>
        </w:rPr>
        <w:t>建设开源节流、集约高效的节水城市。</w:t>
      </w:r>
    </w:p>
    <w:p w14:paraId="3E4E8A7D">
      <w:pPr>
        <w:ind w:firstLine="560"/>
        <w:rPr>
          <w:rFonts w:ascii="宋体" w:hAnsi="宋体"/>
          <w:szCs w:val="28"/>
        </w:rPr>
      </w:pPr>
      <w:bookmarkStart w:id="17" w:name="_Toc205791768"/>
      <w:r>
        <w:rPr>
          <w:rFonts w:hint="eastAsia" w:ascii="宋体" w:hAnsi="宋体"/>
          <w:szCs w:val="28"/>
          <w:lang w:eastAsia="zh-CN"/>
        </w:rPr>
        <w:t>2.</w:t>
      </w:r>
      <w:r>
        <w:rPr>
          <w:rFonts w:hint="eastAsia" w:ascii="宋体" w:hAnsi="宋体"/>
          <w:szCs w:val="28"/>
        </w:rPr>
        <w:t>阶段建设目标</w:t>
      </w:r>
      <w:bookmarkEnd w:id="17"/>
    </w:p>
    <w:p w14:paraId="6623C230">
      <w:pPr>
        <w:ind w:firstLine="560"/>
      </w:pPr>
      <w:r>
        <w:rPr>
          <w:rFonts w:hint="eastAsia"/>
        </w:rPr>
        <w:t>通过海绵城市建设，综合采取“渗、滞、蓄、净、用、排”等措施，最大限度地减少城市开发建设对生态环境的影响，将7</w:t>
      </w:r>
      <w:r>
        <w:t>5</w:t>
      </w:r>
      <w:r>
        <w:rPr>
          <w:rFonts w:hint="eastAsia"/>
        </w:rPr>
        <w:t>%的降雨就地消纳和利用。除存在特殊污染源的工业园区外，城市建成区海绵城市建设的阶段目标如下：</w:t>
      </w:r>
    </w:p>
    <w:p w14:paraId="04DD910B">
      <w:pPr>
        <w:ind w:firstLine="560"/>
      </w:pPr>
      <w:r>
        <w:rPr>
          <w:rFonts w:hint="eastAsia"/>
        </w:rPr>
        <w:t>到 2025 年，城市建成区5</w:t>
      </w:r>
      <w:r>
        <w:t>0%</w:t>
      </w:r>
      <w:r>
        <w:rPr>
          <w:rFonts w:hint="eastAsia"/>
        </w:rPr>
        <w:t>以上面积达到海绵城市建设要求，系统化全域推进海绵城市建设示范工作全面</w:t>
      </w:r>
      <w:r>
        <w:rPr>
          <w:rFonts w:hint="eastAsia"/>
          <w:lang w:val="en-US" w:eastAsia="zh-CN"/>
        </w:rPr>
        <w:t>达到</w:t>
      </w:r>
      <w:r>
        <w:rPr>
          <w:rFonts w:hint="eastAsia"/>
        </w:rPr>
        <w:t>目标要求，基本实现海绵城市建设常态化、系统化运行，重点片区初步形成连片效益。</w:t>
      </w:r>
    </w:p>
    <w:p w14:paraId="43121229">
      <w:pPr>
        <w:ind w:firstLine="560"/>
      </w:pPr>
      <w:r>
        <w:rPr>
          <w:rFonts w:hint="eastAsia"/>
        </w:rPr>
        <w:t>到 20</w:t>
      </w:r>
      <w:r>
        <w:t>30</w:t>
      </w:r>
      <w:r>
        <w:rPr>
          <w:rFonts w:hint="eastAsia"/>
        </w:rPr>
        <w:t xml:space="preserve"> 年，城市建成区</w:t>
      </w:r>
      <w:r>
        <w:t>80%</w:t>
      </w:r>
      <w:r>
        <w:rPr>
          <w:rFonts w:hint="eastAsia"/>
        </w:rPr>
        <w:t xml:space="preserve">以上面积达到海绵城市建设要求，“源头减排、过程控制、系统治理”的城市海绵体系基本完善，生态、安全、可持续的城市水循环系统基本形成，南方山地河谷特色底蕴的海绵城市基本成型。 </w:t>
      </w:r>
    </w:p>
    <w:p w14:paraId="274F8D75">
      <w:pPr>
        <w:ind w:firstLine="560"/>
      </w:pPr>
      <w:r>
        <w:rPr>
          <w:rFonts w:hint="eastAsia"/>
        </w:rPr>
        <w:t>到 20</w:t>
      </w:r>
      <w:r>
        <w:t>3</w:t>
      </w:r>
      <w:r>
        <w:rPr>
          <w:rFonts w:hint="eastAsia"/>
        </w:rPr>
        <w:t>5 年，城市建成区</w:t>
      </w:r>
      <w:r>
        <w:t>85%</w:t>
      </w:r>
      <w:r>
        <w:rPr>
          <w:rFonts w:hint="eastAsia"/>
        </w:rPr>
        <w:t>以上面积达到海绵城市建设要求，城市海绵体系和水循环系统持续优化提升，城市适应气候变化、抵御暴雨灾害等方面的“弹性”和“韧性”显著增强，全面建成山水相依、蓝绿清新、安全韧性、生态宜居的南方山地河谷型海绵城市、韧性城市。</w:t>
      </w:r>
    </w:p>
    <w:p w14:paraId="66E67ECB">
      <w:pPr>
        <w:ind w:firstLine="560"/>
        <w:rPr>
          <w:rFonts w:ascii="宋体" w:hAnsi="宋体"/>
          <w:szCs w:val="28"/>
        </w:rPr>
      </w:pPr>
      <w:bookmarkStart w:id="18" w:name="_Toc205791770"/>
      <w:r>
        <w:rPr>
          <w:rFonts w:hint="eastAsia" w:ascii="宋体" w:hAnsi="宋体"/>
          <w:szCs w:val="28"/>
          <w:lang w:eastAsia="zh-CN"/>
        </w:rPr>
        <w:t>3.</w:t>
      </w:r>
      <w:r>
        <w:rPr>
          <w:rFonts w:hint="eastAsia" w:ascii="宋体" w:hAnsi="宋体"/>
          <w:szCs w:val="28"/>
        </w:rPr>
        <w:t>指标体系</w:t>
      </w:r>
      <w:bookmarkEnd w:id="18"/>
    </w:p>
    <w:p w14:paraId="339B1F4B">
      <w:pPr>
        <w:ind w:firstLine="560"/>
        <w:rPr>
          <w:rFonts w:cs="Times New Roman"/>
          <w:szCs w:val="28"/>
        </w:rPr>
      </w:pPr>
      <w:r>
        <w:rPr>
          <w:rFonts w:cs="Times New Roman"/>
          <w:szCs w:val="28"/>
        </w:rPr>
        <w:t>结合</w:t>
      </w:r>
      <w:r>
        <w:rPr>
          <w:rFonts w:hint="eastAsia" w:cs="Times New Roman"/>
          <w:szCs w:val="28"/>
        </w:rPr>
        <w:t>三明市</w:t>
      </w:r>
      <w:r>
        <w:rPr>
          <w:rFonts w:cs="Times New Roman"/>
          <w:szCs w:val="28"/>
        </w:rPr>
        <w:t>实际和需求，选取</w:t>
      </w:r>
      <w:r>
        <w:rPr>
          <w:rFonts w:hint="eastAsia" w:cs="Times New Roman"/>
          <w:szCs w:val="28"/>
        </w:rPr>
        <w:t>5</w:t>
      </w:r>
      <w:r>
        <w:rPr>
          <w:rFonts w:cs="Times New Roman"/>
          <w:szCs w:val="28"/>
        </w:rPr>
        <w:t>大类建设指标，并确定规划目标</w:t>
      </w:r>
      <w:r>
        <w:rPr>
          <w:rFonts w:hint="eastAsia" w:cs="Times New Roman"/>
          <w:szCs w:val="28"/>
        </w:rPr>
        <w:t>。其中，规划区年径流总量控制率取为7</w:t>
      </w:r>
      <w:r>
        <w:rPr>
          <w:rFonts w:cs="Times New Roman"/>
          <w:szCs w:val="28"/>
        </w:rPr>
        <w:t>5</w:t>
      </w:r>
      <w:r>
        <w:rPr>
          <w:rFonts w:hint="eastAsia" w:cs="Times New Roman"/>
          <w:szCs w:val="28"/>
        </w:rPr>
        <w:t>%，对应设计降雨量为2</w:t>
      </w:r>
      <w:r>
        <w:rPr>
          <w:rFonts w:cs="Times New Roman"/>
          <w:szCs w:val="28"/>
        </w:rPr>
        <w:t>2.7</w:t>
      </w:r>
      <w:r>
        <w:rPr>
          <w:rFonts w:hint="eastAsia" w:cs="Times New Roman"/>
          <w:szCs w:val="28"/>
        </w:rPr>
        <w:t>毫米。</w:t>
      </w:r>
    </w:p>
    <w:p w14:paraId="3305E6D2">
      <w:pPr>
        <w:ind w:firstLine="560"/>
        <w:rPr>
          <w:rFonts w:cs="Times New Roman"/>
          <w:szCs w:val="28"/>
        </w:rPr>
      </w:pPr>
    </w:p>
    <w:p w14:paraId="11ECAD7E">
      <w:pPr>
        <w:ind w:firstLine="560"/>
        <w:rPr>
          <w:rFonts w:hint="eastAsia" w:cs="Times New Roman"/>
          <w:szCs w:val="28"/>
        </w:rPr>
      </w:pPr>
    </w:p>
    <w:p w14:paraId="610C4926">
      <w:pPr>
        <w:ind w:firstLine="0" w:firstLineChars="0"/>
        <w:jc w:val="center"/>
      </w:pPr>
      <w:r>
        <w:rPr>
          <w:rFonts w:hint="eastAsia"/>
        </w:rPr>
        <w:t>表</w:t>
      </w:r>
      <w:r>
        <w:t xml:space="preserve">3-1 </w:t>
      </w:r>
      <w:r>
        <w:rPr>
          <w:rFonts w:hint="eastAsia"/>
        </w:rPr>
        <w:t>三明</w:t>
      </w:r>
      <w:r>
        <w:t>市</w:t>
      </w:r>
      <w:r>
        <w:rPr>
          <w:rFonts w:hint="eastAsia"/>
        </w:rPr>
        <w:t>中心城区</w:t>
      </w:r>
      <w:r>
        <w:t>海绵城市建设指标表</w:t>
      </w:r>
    </w:p>
    <w:tbl>
      <w:tblPr>
        <w:tblStyle w:val="271"/>
        <w:tblW w:w="48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713"/>
        <w:gridCol w:w="1896"/>
        <w:gridCol w:w="1680"/>
        <w:gridCol w:w="1354"/>
        <w:gridCol w:w="49"/>
        <w:gridCol w:w="1402"/>
        <w:gridCol w:w="1738"/>
      </w:tblGrid>
      <w:tr w14:paraId="1B69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Align w:val="center"/>
          </w:tcPr>
          <w:p w14:paraId="2F5F2CE5">
            <w:pPr>
              <w:pStyle w:val="246"/>
              <w:spacing w:before="156" w:after="156"/>
              <w:rPr>
                <w:sz w:val="21"/>
                <w:szCs w:val="21"/>
              </w:rPr>
            </w:pPr>
            <w:r>
              <w:rPr>
                <w:sz w:val="21"/>
                <w:szCs w:val="21"/>
              </w:rPr>
              <w:t>类别</w:t>
            </w:r>
          </w:p>
        </w:tc>
        <w:tc>
          <w:tcPr>
            <w:tcW w:w="367" w:type="pct"/>
            <w:vAlign w:val="center"/>
          </w:tcPr>
          <w:p w14:paraId="714A0ADB">
            <w:pPr>
              <w:pStyle w:val="246"/>
              <w:spacing w:before="156" w:after="156"/>
              <w:rPr>
                <w:sz w:val="21"/>
                <w:szCs w:val="21"/>
              </w:rPr>
            </w:pPr>
            <w:r>
              <w:rPr>
                <w:sz w:val="21"/>
                <w:szCs w:val="21"/>
              </w:rPr>
              <w:t>序号</w:t>
            </w:r>
          </w:p>
        </w:tc>
        <w:tc>
          <w:tcPr>
            <w:tcW w:w="976" w:type="pct"/>
            <w:vAlign w:val="center"/>
          </w:tcPr>
          <w:p w14:paraId="408F6034">
            <w:pPr>
              <w:pStyle w:val="246"/>
              <w:spacing w:before="156" w:after="156"/>
              <w:rPr>
                <w:sz w:val="21"/>
                <w:szCs w:val="21"/>
              </w:rPr>
            </w:pPr>
            <w:r>
              <w:rPr>
                <w:sz w:val="21"/>
                <w:szCs w:val="21"/>
              </w:rPr>
              <w:t>指标</w:t>
            </w:r>
          </w:p>
        </w:tc>
        <w:tc>
          <w:tcPr>
            <w:tcW w:w="865" w:type="pct"/>
            <w:vAlign w:val="center"/>
          </w:tcPr>
          <w:p w14:paraId="576A936A">
            <w:pPr>
              <w:pStyle w:val="246"/>
              <w:spacing w:before="156" w:after="156"/>
              <w:rPr>
                <w:sz w:val="21"/>
                <w:szCs w:val="21"/>
              </w:rPr>
            </w:pPr>
            <w:r>
              <w:rPr>
                <w:sz w:val="21"/>
                <w:szCs w:val="21"/>
              </w:rPr>
              <w:t>近期目标</w:t>
            </w:r>
          </w:p>
          <w:p w14:paraId="2EA63242">
            <w:pPr>
              <w:pStyle w:val="246"/>
              <w:spacing w:before="156" w:after="156"/>
              <w:rPr>
                <w:sz w:val="21"/>
                <w:szCs w:val="21"/>
              </w:rPr>
            </w:pPr>
            <w:r>
              <w:rPr>
                <w:sz w:val="21"/>
                <w:szCs w:val="21"/>
              </w:rPr>
              <w:t>（</w:t>
            </w:r>
            <w:r>
              <w:rPr>
                <w:b/>
                <w:bCs/>
                <w:sz w:val="21"/>
                <w:szCs w:val="21"/>
              </w:rPr>
              <w:t>2025</w:t>
            </w:r>
            <w:r>
              <w:rPr>
                <w:sz w:val="21"/>
                <w:szCs w:val="21"/>
              </w:rPr>
              <w:t>年）</w:t>
            </w:r>
          </w:p>
        </w:tc>
        <w:tc>
          <w:tcPr>
            <w:tcW w:w="697" w:type="pct"/>
            <w:vAlign w:val="center"/>
          </w:tcPr>
          <w:p w14:paraId="38E2E545">
            <w:pPr>
              <w:pStyle w:val="246"/>
              <w:spacing w:before="156" w:after="156"/>
              <w:rPr>
                <w:sz w:val="21"/>
                <w:szCs w:val="21"/>
                <w:lang w:eastAsia="zh-CN"/>
              </w:rPr>
            </w:pPr>
            <w:r>
              <w:rPr>
                <w:rFonts w:hint="eastAsia"/>
                <w:sz w:val="21"/>
                <w:szCs w:val="21"/>
                <w:lang w:eastAsia="zh-CN"/>
              </w:rPr>
              <w:t>中期目标</w:t>
            </w:r>
          </w:p>
          <w:p w14:paraId="738252FE">
            <w:pPr>
              <w:pStyle w:val="246"/>
              <w:spacing w:before="156" w:after="156"/>
              <w:rPr>
                <w:sz w:val="21"/>
                <w:szCs w:val="21"/>
              </w:rPr>
            </w:pPr>
            <w:r>
              <w:rPr>
                <w:sz w:val="21"/>
                <w:szCs w:val="21"/>
              </w:rPr>
              <w:t>（</w:t>
            </w:r>
            <w:r>
              <w:rPr>
                <w:b/>
                <w:bCs/>
                <w:sz w:val="21"/>
                <w:szCs w:val="21"/>
              </w:rPr>
              <w:t>2030</w:t>
            </w:r>
            <w:r>
              <w:rPr>
                <w:sz w:val="21"/>
                <w:szCs w:val="21"/>
              </w:rPr>
              <w:t>年）</w:t>
            </w:r>
          </w:p>
        </w:tc>
        <w:tc>
          <w:tcPr>
            <w:tcW w:w="747" w:type="pct"/>
            <w:gridSpan w:val="2"/>
            <w:vAlign w:val="center"/>
          </w:tcPr>
          <w:p w14:paraId="69B6CCB0">
            <w:pPr>
              <w:pStyle w:val="246"/>
              <w:spacing w:before="156" w:after="156"/>
              <w:rPr>
                <w:sz w:val="21"/>
                <w:szCs w:val="21"/>
              </w:rPr>
            </w:pPr>
            <w:r>
              <w:rPr>
                <w:sz w:val="21"/>
                <w:szCs w:val="21"/>
              </w:rPr>
              <w:t>远期目标</w:t>
            </w:r>
          </w:p>
          <w:p w14:paraId="24D763DD">
            <w:pPr>
              <w:pStyle w:val="246"/>
              <w:spacing w:before="156" w:after="156"/>
              <w:rPr>
                <w:sz w:val="21"/>
                <w:szCs w:val="21"/>
              </w:rPr>
            </w:pPr>
            <w:r>
              <w:rPr>
                <w:sz w:val="21"/>
                <w:szCs w:val="21"/>
              </w:rPr>
              <w:t>（</w:t>
            </w:r>
            <w:r>
              <w:rPr>
                <w:b/>
                <w:bCs/>
                <w:sz w:val="21"/>
                <w:szCs w:val="21"/>
              </w:rPr>
              <w:t xml:space="preserve">2035 </w:t>
            </w:r>
            <w:r>
              <w:rPr>
                <w:sz w:val="21"/>
                <w:szCs w:val="21"/>
              </w:rPr>
              <w:t>年）</w:t>
            </w:r>
          </w:p>
        </w:tc>
        <w:tc>
          <w:tcPr>
            <w:tcW w:w="895" w:type="pct"/>
            <w:vAlign w:val="center"/>
          </w:tcPr>
          <w:p w14:paraId="761EECA6">
            <w:pPr>
              <w:pStyle w:val="246"/>
              <w:spacing w:before="156" w:after="156"/>
              <w:rPr>
                <w:sz w:val="21"/>
                <w:szCs w:val="21"/>
              </w:rPr>
            </w:pPr>
            <w:r>
              <w:rPr>
                <w:rFonts w:hint="eastAsia"/>
                <w:sz w:val="21"/>
                <w:szCs w:val="21"/>
                <w:lang w:eastAsia="zh-CN"/>
              </w:rPr>
              <w:t>性质</w:t>
            </w:r>
          </w:p>
        </w:tc>
      </w:tr>
      <w:tr w14:paraId="5A73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restart"/>
            <w:vAlign w:val="center"/>
          </w:tcPr>
          <w:p w14:paraId="3C7546AF">
            <w:pPr>
              <w:pStyle w:val="246"/>
              <w:spacing w:before="156" w:after="156"/>
              <w:rPr>
                <w:sz w:val="21"/>
                <w:szCs w:val="21"/>
              </w:rPr>
            </w:pPr>
            <w:r>
              <w:rPr>
                <w:sz w:val="21"/>
                <w:szCs w:val="21"/>
              </w:rPr>
              <w:t>水生态</w:t>
            </w:r>
          </w:p>
        </w:tc>
        <w:tc>
          <w:tcPr>
            <w:tcW w:w="367" w:type="pct"/>
            <w:vAlign w:val="center"/>
          </w:tcPr>
          <w:p w14:paraId="7A257067">
            <w:pPr>
              <w:pStyle w:val="246"/>
              <w:spacing w:before="156" w:after="156"/>
              <w:rPr>
                <w:sz w:val="21"/>
                <w:szCs w:val="21"/>
              </w:rPr>
            </w:pPr>
            <w:r>
              <w:rPr>
                <w:sz w:val="21"/>
                <w:szCs w:val="21"/>
              </w:rPr>
              <w:t>1</w:t>
            </w:r>
          </w:p>
        </w:tc>
        <w:tc>
          <w:tcPr>
            <w:tcW w:w="976" w:type="pct"/>
            <w:vAlign w:val="center"/>
          </w:tcPr>
          <w:p w14:paraId="457885FF">
            <w:pPr>
              <w:pStyle w:val="246"/>
              <w:spacing w:before="156" w:after="156"/>
              <w:rPr>
                <w:sz w:val="21"/>
                <w:szCs w:val="21"/>
                <w:lang w:eastAsia="zh-CN"/>
              </w:rPr>
            </w:pPr>
            <w:r>
              <w:rPr>
                <w:sz w:val="21"/>
                <w:szCs w:val="21"/>
                <w:lang w:eastAsia="zh-CN"/>
              </w:rPr>
              <w:t>年径流总量控制率</w:t>
            </w:r>
            <w:r>
              <w:rPr>
                <w:rFonts w:hint="eastAsia"/>
                <w:sz w:val="21"/>
                <w:szCs w:val="21"/>
                <w:lang w:eastAsia="zh-CN"/>
              </w:rPr>
              <w:t>达标水平</w:t>
            </w:r>
          </w:p>
        </w:tc>
        <w:tc>
          <w:tcPr>
            <w:tcW w:w="865" w:type="pct"/>
            <w:vAlign w:val="center"/>
          </w:tcPr>
          <w:p w14:paraId="3BB95484">
            <w:pPr>
              <w:pStyle w:val="246"/>
              <w:spacing w:before="156" w:after="156"/>
              <w:rPr>
                <w:sz w:val="21"/>
                <w:szCs w:val="21"/>
                <w:lang w:eastAsia="zh-CN"/>
              </w:rPr>
            </w:pPr>
            <w:r>
              <w:rPr>
                <w:sz w:val="21"/>
                <w:szCs w:val="21"/>
                <w:lang w:eastAsia="zh-CN"/>
              </w:rPr>
              <w:t>50</w:t>
            </w:r>
            <w:r>
              <w:rPr>
                <w:rFonts w:hint="eastAsia"/>
                <w:sz w:val="21"/>
                <w:szCs w:val="21"/>
                <w:lang w:eastAsia="zh-CN"/>
              </w:rPr>
              <w:t>%以上建成区面积达到管控目标要求</w:t>
            </w:r>
          </w:p>
        </w:tc>
        <w:tc>
          <w:tcPr>
            <w:tcW w:w="697" w:type="pct"/>
            <w:vAlign w:val="center"/>
          </w:tcPr>
          <w:p w14:paraId="4FEC0D5D">
            <w:pPr>
              <w:pStyle w:val="246"/>
              <w:spacing w:before="156" w:after="156"/>
              <w:rPr>
                <w:sz w:val="21"/>
                <w:szCs w:val="21"/>
                <w:lang w:eastAsia="zh-CN"/>
              </w:rPr>
            </w:pPr>
            <w:r>
              <w:rPr>
                <w:sz w:val="21"/>
                <w:szCs w:val="21"/>
                <w:lang w:eastAsia="zh-CN"/>
              </w:rPr>
              <w:t>80</w:t>
            </w:r>
            <w:r>
              <w:rPr>
                <w:rFonts w:hint="eastAsia"/>
                <w:sz w:val="21"/>
                <w:szCs w:val="21"/>
                <w:lang w:eastAsia="zh-CN"/>
              </w:rPr>
              <w:t>%以上建成区面积达到管控目标要求</w:t>
            </w:r>
          </w:p>
        </w:tc>
        <w:tc>
          <w:tcPr>
            <w:tcW w:w="747" w:type="pct"/>
            <w:gridSpan w:val="2"/>
            <w:vAlign w:val="center"/>
          </w:tcPr>
          <w:p w14:paraId="2DC99894">
            <w:pPr>
              <w:pStyle w:val="246"/>
              <w:spacing w:before="156" w:after="156"/>
              <w:rPr>
                <w:sz w:val="21"/>
                <w:szCs w:val="21"/>
                <w:lang w:eastAsia="zh-CN"/>
              </w:rPr>
            </w:pPr>
            <w:r>
              <w:rPr>
                <w:sz w:val="21"/>
                <w:szCs w:val="21"/>
                <w:lang w:eastAsia="zh-CN"/>
              </w:rPr>
              <w:t>85</w:t>
            </w:r>
            <w:r>
              <w:rPr>
                <w:rFonts w:hint="eastAsia"/>
                <w:sz w:val="21"/>
                <w:szCs w:val="21"/>
                <w:lang w:eastAsia="zh-CN"/>
              </w:rPr>
              <w:t>%以上建成区面积达到管控目标要求</w:t>
            </w:r>
          </w:p>
        </w:tc>
        <w:tc>
          <w:tcPr>
            <w:tcW w:w="895" w:type="pct"/>
            <w:vAlign w:val="center"/>
          </w:tcPr>
          <w:p w14:paraId="29EF3FE8">
            <w:pPr>
              <w:pStyle w:val="246"/>
              <w:spacing w:before="156" w:after="156"/>
              <w:rPr>
                <w:sz w:val="21"/>
                <w:szCs w:val="21"/>
              </w:rPr>
            </w:pPr>
            <w:r>
              <w:rPr>
                <w:rFonts w:hint="eastAsia"/>
                <w:sz w:val="21"/>
                <w:szCs w:val="21"/>
                <w:lang w:eastAsia="zh-CN"/>
              </w:rPr>
              <w:t>定量（约束性）</w:t>
            </w:r>
          </w:p>
        </w:tc>
      </w:tr>
      <w:tr w14:paraId="767D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19619423">
            <w:pPr>
              <w:pStyle w:val="246"/>
              <w:spacing w:before="156" w:after="156"/>
              <w:rPr>
                <w:sz w:val="21"/>
                <w:szCs w:val="21"/>
              </w:rPr>
            </w:pPr>
          </w:p>
        </w:tc>
        <w:tc>
          <w:tcPr>
            <w:tcW w:w="367" w:type="pct"/>
            <w:vAlign w:val="center"/>
          </w:tcPr>
          <w:p w14:paraId="4F7CD270">
            <w:pPr>
              <w:pStyle w:val="246"/>
              <w:spacing w:before="156" w:after="156"/>
              <w:rPr>
                <w:sz w:val="21"/>
                <w:szCs w:val="21"/>
              </w:rPr>
            </w:pPr>
            <w:r>
              <w:rPr>
                <w:sz w:val="21"/>
                <w:szCs w:val="21"/>
              </w:rPr>
              <w:t>2</w:t>
            </w:r>
          </w:p>
        </w:tc>
        <w:tc>
          <w:tcPr>
            <w:tcW w:w="976" w:type="pct"/>
            <w:vAlign w:val="center"/>
          </w:tcPr>
          <w:p w14:paraId="02A1F6B9">
            <w:pPr>
              <w:pStyle w:val="246"/>
              <w:spacing w:before="156" w:after="156"/>
              <w:rPr>
                <w:sz w:val="21"/>
                <w:szCs w:val="21"/>
              </w:rPr>
            </w:pPr>
            <w:r>
              <w:rPr>
                <w:sz w:val="21"/>
                <w:szCs w:val="21"/>
              </w:rPr>
              <w:t>水系生态岸线比例</w:t>
            </w:r>
          </w:p>
        </w:tc>
        <w:tc>
          <w:tcPr>
            <w:tcW w:w="865" w:type="pct"/>
            <w:vAlign w:val="center"/>
          </w:tcPr>
          <w:p w14:paraId="1A82B721">
            <w:pPr>
              <w:pStyle w:val="246"/>
              <w:spacing w:before="156" w:after="156"/>
              <w:rPr>
                <w:sz w:val="21"/>
                <w:szCs w:val="21"/>
                <w:lang w:eastAsia="zh-CN"/>
              </w:rPr>
            </w:pPr>
            <w:r>
              <w:rPr>
                <w:sz w:val="21"/>
                <w:szCs w:val="21"/>
              </w:rPr>
              <w:t>80%</w:t>
            </w:r>
          </w:p>
        </w:tc>
        <w:tc>
          <w:tcPr>
            <w:tcW w:w="697" w:type="pct"/>
            <w:vAlign w:val="center"/>
          </w:tcPr>
          <w:p w14:paraId="23B82F01">
            <w:pPr>
              <w:pStyle w:val="246"/>
              <w:spacing w:before="156" w:after="156"/>
              <w:rPr>
                <w:sz w:val="21"/>
                <w:szCs w:val="21"/>
                <w:lang w:eastAsia="zh-CN"/>
              </w:rPr>
            </w:pPr>
            <w:r>
              <w:rPr>
                <w:sz w:val="21"/>
                <w:szCs w:val="21"/>
              </w:rPr>
              <w:t>85%</w:t>
            </w:r>
          </w:p>
        </w:tc>
        <w:tc>
          <w:tcPr>
            <w:tcW w:w="747" w:type="pct"/>
            <w:gridSpan w:val="2"/>
            <w:vAlign w:val="center"/>
          </w:tcPr>
          <w:p w14:paraId="6BF004D0">
            <w:pPr>
              <w:pStyle w:val="246"/>
              <w:spacing w:before="156" w:after="156"/>
              <w:rPr>
                <w:sz w:val="21"/>
                <w:szCs w:val="21"/>
                <w:lang w:eastAsia="zh-CN"/>
              </w:rPr>
            </w:pPr>
            <w:r>
              <w:rPr>
                <w:rFonts w:hint="eastAsia"/>
                <w:sz w:val="21"/>
                <w:szCs w:val="21"/>
                <w:lang w:eastAsia="zh-CN"/>
              </w:rPr>
              <w:t>9</w:t>
            </w:r>
            <w:r>
              <w:rPr>
                <w:sz w:val="21"/>
                <w:szCs w:val="21"/>
                <w:lang w:eastAsia="zh-CN"/>
              </w:rPr>
              <w:t>0</w:t>
            </w:r>
            <w:r>
              <w:rPr>
                <w:rFonts w:hint="eastAsia"/>
                <w:sz w:val="21"/>
                <w:szCs w:val="21"/>
                <w:lang w:eastAsia="zh-CN"/>
              </w:rPr>
              <w:t>%</w:t>
            </w:r>
          </w:p>
        </w:tc>
        <w:tc>
          <w:tcPr>
            <w:tcW w:w="895" w:type="pct"/>
            <w:vAlign w:val="center"/>
          </w:tcPr>
          <w:p w14:paraId="71F59C64">
            <w:pPr>
              <w:pStyle w:val="246"/>
              <w:spacing w:before="156" w:after="156"/>
              <w:rPr>
                <w:sz w:val="21"/>
                <w:szCs w:val="21"/>
                <w:lang w:eastAsia="zh-CN"/>
              </w:rPr>
            </w:pPr>
            <w:r>
              <w:rPr>
                <w:rFonts w:hint="eastAsia"/>
                <w:sz w:val="21"/>
                <w:szCs w:val="21"/>
                <w:lang w:eastAsia="zh-CN"/>
              </w:rPr>
              <w:t>定量（约束性）</w:t>
            </w:r>
          </w:p>
        </w:tc>
      </w:tr>
      <w:tr w14:paraId="750A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4B83D480">
            <w:pPr>
              <w:pStyle w:val="246"/>
              <w:spacing w:before="156" w:after="156"/>
              <w:rPr>
                <w:sz w:val="21"/>
                <w:szCs w:val="21"/>
                <w:lang w:eastAsia="zh-CN"/>
              </w:rPr>
            </w:pPr>
          </w:p>
        </w:tc>
        <w:tc>
          <w:tcPr>
            <w:tcW w:w="367" w:type="pct"/>
            <w:vAlign w:val="center"/>
          </w:tcPr>
          <w:p w14:paraId="1B7C1509">
            <w:pPr>
              <w:pStyle w:val="246"/>
              <w:spacing w:before="156" w:after="156"/>
              <w:rPr>
                <w:sz w:val="21"/>
                <w:szCs w:val="21"/>
              </w:rPr>
            </w:pPr>
            <w:r>
              <w:rPr>
                <w:sz w:val="21"/>
                <w:szCs w:val="21"/>
              </w:rPr>
              <w:t>3</w:t>
            </w:r>
          </w:p>
        </w:tc>
        <w:tc>
          <w:tcPr>
            <w:tcW w:w="976" w:type="pct"/>
            <w:vAlign w:val="center"/>
          </w:tcPr>
          <w:p w14:paraId="023FA848">
            <w:pPr>
              <w:pStyle w:val="246"/>
              <w:spacing w:before="156" w:after="156"/>
              <w:rPr>
                <w:sz w:val="21"/>
                <w:szCs w:val="21"/>
              </w:rPr>
            </w:pPr>
            <w:r>
              <w:rPr>
                <w:sz w:val="21"/>
                <w:szCs w:val="21"/>
              </w:rPr>
              <w:t>水面率</w:t>
            </w:r>
          </w:p>
        </w:tc>
        <w:tc>
          <w:tcPr>
            <w:tcW w:w="865" w:type="pct"/>
            <w:vAlign w:val="center"/>
          </w:tcPr>
          <w:p w14:paraId="5F27737F">
            <w:pPr>
              <w:pStyle w:val="246"/>
              <w:spacing w:before="156" w:after="156"/>
              <w:rPr>
                <w:sz w:val="21"/>
                <w:szCs w:val="21"/>
                <w:lang w:eastAsia="zh-CN"/>
              </w:rPr>
            </w:pPr>
            <w:r>
              <w:rPr>
                <w:rFonts w:hint="eastAsia"/>
                <w:sz w:val="21"/>
                <w:szCs w:val="21"/>
                <w:lang w:eastAsia="zh-CN"/>
              </w:rPr>
              <w:t>中心城区全域：2</w:t>
            </w:r>
            <w:r>
              <w:rPr>
                <w:sz w:val="21"/>
                <w:szCs w:val="21"/>
                <w:lang w:eastAsia="zh-CN"/>
              </w:rPr>
              <w:t>.0</w:t>
            </w:r>
            <w:r>
              <w:rPr>
                <w:rFonts w:hint="eastAsia"/>
                <w:sz w:val="21"/>
                <w:szCs w:val="21"/>
                <w:lang w:eastAsia="zh-CN"/>
              </w:rPr>
              <w:t>%</w:t>
            </w:r>
          </w:p>
          <w:p w14:paraId="0786C8D4">
            <w:pPr>
              <w:pStyle w:val="246"/>
              <w:spacing w:before="156" w:after="156"/>
              <w:ind w:leftChars="-36" w:right="-109" w:rightChars="-39" w:hanging="100" w:hangingChars="48"/>
              <w:rPr>
                <w:sz w:val="21"/>
                <w:szCs w:val="21"/>
                <w:lang w:eastAsia="zh-CN"/>
              </w:rPr>
            </w:pPr>
            <w:r>
              <w:rPr>
                <w:rFonts w:hint="eastAsia"/>
                <w:sz w:val="21"/>
                <w:szCs w:val="21"/>
                <w:lang w:eastAsia="zh-CN"/>
              </w:rPr>
              <w:t>城镇集中建设区及2</w:t>
            </w:r>
            <w:r>
              <w:rPr>
                <w:sz w:val="21"/>
                <w:szCs w:val="21"/>
                <w:lang w:eastAsia="zh-CN"/>
              </w:rPr>
              <w:t>00m</w:t>
            </w:r>
            <w:r>
              <w:rPr>
                <w:rFonts w:hint="eastAsia"/>
                <w:sz w:val="21"/>
                <w:szCs w:val="21"/>
                <w:lang w:eastAsia="zh-CN"/>
              </w:rPr>
              <w:t>缓冲区：</w:t>
            </w:r>
            <w:r>
              <w:rPr>
                <w:sz w:val="21"/>
                <w:szCs w:val="21"/>
                <w:lang w:eastAsia="zh-CN"/>
              </w:rPr>
              <w:t>6.17%</w:t>
            </w:r>
          </w:p>
        </w:tc>
        <w:tc>
          <w:tcPr>
            <w:tcW w:w="1444" w:type="pct"/>
            <w:gridSpan w:val="3"/>
            <w:vAlign w:val="center"/>
          </w:tcPr>
          <w:p w14:paraId="58D31088">
            <w:pPr>
              <w:pStyle w:val="246"/>
              <w:spacing w:before="156" w:after="156"/>
              <w:rPr>
                <w:sz w:val="21"/>
                <w:szCs w:val="21"/>
                <w:lang w:eastAsia="zh-CN"/>
              </w:rPr>
            </w:pPr>
            <w:r>
              <w:rPr>
                <w:rFonts w:hint="eastAsia"/>
                <w:sz w:val="21"/>
                <w:szCs w:val="21"/>
                <w:lang w:eastAsia="zh-CN"/>
              </w:rPr>
              <w:t>中心城区全域：不低于2</w:t>
            </w:r>
            <w:r>
              <w:rPr>
                <w:sz w:val="21"/>
                <w:szCs w:val="21"/>
                <w:lang w:eastAsia="zh-CN"/>
              </w:rPr>
              <w:t>.0</w:t>
            </w:r>
            <w:r>
              <w:rPr>
                <w:rFonts w:hint="eastAsia"/>
                <w:sz w:val="21"/>
                <w:szCs w:val="21"/>
                <w:lang w:eastAsia="zh-CN"/>
              </w:rPr>
              <w:t>%</w:t>
            </w:r>
          </w:p>
          <w:p w14:paraId="342E0EFE">
            <w:pPr>
              <w:pStyle w:val="246"/>
              <w:spacing w:before="156" w:after="156"/>
              <w:rPr>
                <w:sz w:val="21"/>
                <w:szCs w:val="21"/>
                <w:lang w:eastAsia="zh-CN"/>
              </w:rPr>
            </w:pPr>
            <w:r>
              <w:rPr>
                <w:rFonts w:hint="eastAsia"/>
                <w:sz w:val="21"/>
                <w:szCs w:val="21"/>
                <w:lang w:eastAsia="zh-CN"/>
              </w:rPr>
              <w:t>城镇集中建设区及2</w:t>
            </w:r>
            <w:r>
              <w:rPr>
                <w:sz w:val="21"/>
                <w:szCs w:val="21"/>
                <w:lang w:eastAsia="zh-CN"/>
              </w:rPr>
              <w:t>00m</w:t>
            </w:r>
            <w:r>
              <w:rPr>
                <w:rFonts w:hint="eastAsia"/>
                <w:sz w:val="21"/>
                <w:szCs w:val="21"/>
                <w:lang w:eastAsia="zh-CN"/>
              </w:rPr>
              <w:t>缓冲区：不低于</w:t>
            </w:r>
            <w:r>
              <w:rPr>
                <w:sz w:val="21"/>
                <w:szCs w:val="21"/>
                <w:lang w:eastAsia="zh-CN"/>
              </w:rPr>
              <w:t>6.17%</w:t>
            </w:r>
          </w:p>
        </w:tc>
        <w:tc>
          <w:tcPr>
            <w:tcW w:w="895" w:type="pct"/>
            <w:vAlign w:val="center"/>
          </w:tcPr>
          <w:p w14:paraId="6601FB17">
            <w:pPr>
              <w:pStyle w:val="246"/>
              <w:spacing w:before="156" w:after="156"/>
              <w:rPr>
                <w:sz w:val="21"/>
                <w:szCs w:val="21"/>
              </w:rPr>
            </w:pPr>
            <w:r>
              <w:rPr>
                <w:rFonts w:hint="eastAsia"/>
                <w:sz w:val="21"/>
                <w:szCs w:val="21"/>
                <w:lang w:eastAsia="zh-CN"/>
              </w:rPr>
              <w:t>定量（约束性）</w:t>
            </w:r>
          </w:p>
        </w:tc>
      </w:tr>
      <w:tr w14:paraId="5A0D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31B155F8">
            <w:pPr>
              <w:pStyle w:val="246"/>
              <w:spacing w:before="156" w:after="156"/>
              <w:rPr>
                <w:sz w:val="21"/>
                <w:szCs w:val="21"/>
              </w:rPr>
            </w:pPr>
          </w:p>
        </w:tc>
        <w:tc>
          <w:tcPr>
            <w:tcW w:w="367" w:type="pct"/>
            <w:vAlign w:val="center"/>
          </w:tcPr>
          <w:p w14:paraId="7B3BE6BA">
            <w:pPr>
              <w:pStyle w:val="246"/>
              <w:spacing w:before="156" w:after="156"/>
              <w:rPr>
                <w:sz w:val="21"/>
                <w:szCs w:val="21"/>
              </w:rPr>
            </w:pPr>
            <w:r>
              <w:rPr>
                <w:sz w:val="21"/>
                <w:szCs w:val="21"/>
              </w:rPr>
              <w:t>4</w:t>
            </w:r>
          </w:p>
        </w:tc>
        <w:tc>
          <w:tcPr>
            <w:tcW w:w="976" w:type="pct"/>
            <w:vAlign w:val="center"/>
          </w:tcPr>
          <w:p w14:paraId="440F7364">
            <w:pPr>
              <w:pStyle w:val="246"/>
              <w:spacing w:before="156" w:after="156"/>
              <w:rPr>
                <w:sz w:val="21"/>
                <w:szCs w:val="21"/>
              </w:rPr>
            </w:pPr>
            <w:r>
              <w:rPr>
                <w:sz w:val="21"/>
                <w:szCs w:val="21"/>
              </w:rPr>
              <w:t>城市热岛效应</w:t>
            </w:r>
          </w:p>
        </w:tc>
        <w:tc>
          <w:tcPr>
            <w:tcW w:w="865" w:type="pct"/>
            <w:vAlign w:val="center"/>
          </w:tcPr>
          <w:p w14:paraId="1FCAAD0E">
            <w:pPr>
              <w:pStyle w:val="246"/>
              <w:spacing w:before="156" w:after="156"/>
              <w:rPr>
                <w:sz w:val="21"/>
                <w:szCs w:val="21"/>
              </w:rPr>
            </w:pPr>
            <w:r>
              <w:rPr>
                <w:sz w:val="21"/>
                <w:szCs w:val="21"/>
              </w:rPr>
              <w:t>缓解</w:t>
            </w:r>
          </w:p>
        </w:tc>
        <w:tc>
          <w:tcPr>
            <w:tcW w:w="697" w:type="pct"/>
            <w:vAlign w:val="center"/>
          </w:tcPr>
          <w:p w14:paraId="3D5DB0E0">
            <w:pPr>
              <w:pStyle w:val="246"/>
              <w:spacing w:before="156" w:after="156"/>
              <w:rPr>
                <w:sz w:val="21"/>
                <w:szCs w:val="21"/>
              </w:rPr>
            </w:pPr>
            <w:r>
              <w:rPr>
                <w:sz w:val="21"/>
                <w:szCs w:val="21"/>
              </w:rPr>
              <w:t>明显缓解</w:t>
            </w:r>
          </w:p>
        </w:tc>
        <w:tc>
          <w:tcPr>
            <w:tcW w:w="747" w:type="pct"/>
            <w:gridSpan w:val="2"/>
            <w:vAlign w:val="center"/>
          </w:tcPr>
          <w:p w14:paraId="4E576375">
            <w:pPr>
              <w:pStyle w:val="246"/>
              <w:spacing w:before="156" w:after="156"/>
              <w:rPr>
                <w:sz w:val="21"/>
                <w:szCs w:val="21"/>
              </w:rPr>
            </w:pPr>
            <w:r>
              <w:rPr>
                <w:sz w:val="21"/>
                <w:szCs w:val="21"/>
              </w:rPr>
              <w:t>明显缓解</w:t>
            </w:r>
          </w:p>
        </w:tc>
        <w:tc>
          <w:tcPr>
            <w:tcW w:w="895" w:type="pct"/>
            <w:vAlign w:val="center"/>
          </w:tcPr>
          <w:p w14:paraId="098F506E">
            <w:pPr>
              <w:pStyle w:val="246"/>
              <w:spacing w:before="156" w:after="156"/>
              <w:rPr>
                <w:sz w:val="21"/>
                <w:szCs w:val="21"/>
              </w:rPr>
            </w:pPr>
            <w:r>
              <w:rPr>
                <w:rFonts w:hint="eastAsia"/>
                <w:sz w:val="21"/>
                <w:szCs w:val="21"/>
                <w:lang w:eastAsia="zh-CN"/>
              </w:rPr>
              <w:t>定量（鼓励性）</w:t>
            </w:r>
          </w:p>
        </w:tc>
      </w:tr>
      <w:tr w14:paraId="1731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620FC98F">
            <w:pPr>
              <w:pStyle w:val="246"/>
              <w:spacing w:before="156" w:after="156"/>
              <w:rPr>
                <w:sz w:val="21"/>
                <w:szCs w:val="21"/>
              </w:rPr>
            </w:pPr>
          </w:p>
        </w:tc>
        <w:tc>
          <w:tcPr>
            <w:tcW w:w="367" w:type="pct"/>
            <w:vAlign w:val="center"/>
          </w:tcPr>
          <w:p w14:paraId="12B46538">
            <w:pPr>
              <w:pStyle w:val="246"/>
              <w:spacing w:before="156" w:after="156"/>
              <w:rPr>
                <w:rFonts w:hint="eastAsia"/>
                <w:sz w:val="21"/>
                <w:szCs w:val="21"/>
                <w:lang w:eastAsia="zh-CN"/>
              </w:rPr>
            </w:pPr>
            <w:r>
              <w:rPr>
                <w:rFonts w:hint="eastAsia"/>
                <w:sz w:val="21"/>
                <w:szCs w:val="21"/>
                <w:lang w:eastAsia="zh-CN"/>
              </w:rPr>
              <w:t>5</w:t>
            </w:r>
          </w:p>
        </w:tc>
        <w:tc>
          <w:tcPr>
            <w:tcW w:w="976" w:type="pct"/>
            <w:vAlign w:val="center"/>
          </w:tcPr>
          <w:p w14:paraId="2D9BC8E5">
            <w:pPr>
              <w:pStyle w:val="246"/>
              <w:spacing w:before="156" w:after="156"/>
              <w:rPr>
                <w:sz w:val="21"/>
                <w:szCs w:val="21"/>
              </w:rPr>
            </w:pPr>
            <w:r>
              <w:rPr>
                <w:rFonts w:hint="eastAsia"/>
                <w:sz w:val="21"/>
                <w:szCs w:val="21"/>
                <w:lang w:eastAsia="zh-CN"/>
              </w:rPr>
              <w:t>可透水地面比例</w:t>
            </w:r>
          </w:p>
        </w:tc>
        <w:tc>
          <w:tcPr>
            <w:tcW w:w="865" w:type="pct"/>
            <w:vAlign w:val="center"/>
          </w:tcPr>
          <w:p w14:paraId="4C76D1D5">
            <w:pPr>
              <w:pStyle w:val="246"/>
              <w:spacing w:before="156" w:after="156"/>
              <w:rPr>
                <w:rFonts w:hint="eastAsia"/>
                <w:sz w:val="21"/>
                <w:szCs w:val="21"/>
                <w:lang w:eastAsia="zh-CN"/>
              </w:rPr>
            </w:pPr>
            <w:r>
              <w:rPr>
                <w:rFonts w:hint="eastAsia"/>
                <w:sz w:val="21"/>
                <w:szCs w:val="21"/>
                <w:lang w:eastAsia="zh-CN"/>
              </w:rPr>
              <w:t>4</w:t>
            </w:r>
            <w:r>
              <w:rPr>
                <w:sz w:val="21"/>
                <w:szCs w:val="21"/>
                <w:lang w:eastAsia="zh-CN"/>
              </w:rPr>
              <w:t>0</w:t>
            </w:r>
            <w:r>
              <w:rPr>
                <w:rFonts w:hint="eastAsia"/>
                <w:sz w:val="21"/>
                <w:szCs w:val="21"/>
                <w:lang w:eastAsia="zh-CN"/>
              </w:rPr>
              <w:t>%</w:t>
            </w:r>
          </w:p>
        </w:tc>
        <w:tc>
          <w:tcPr>
            <w:tcW w:w="697" w:type="pct"/>
            <w:vAlign w:val="center"/>
          </w:tcPr>
          <w:p w14:paraId="055CADA7">
            <w:pPr>
              <w:pStyle w:val="246"/>
              <w:spacing w:before="156" w:after="156"/>
              <w:rPr>
                <w:rFonts w:hint="eastAsia"/>
                <w:sz w:val="21"/>
                <w:szCs w:val="21"/>
                <w:lang w:eastAsia="zh-CN"/>
              </w:rPr>
            </w:pPr>
            <w:r>
              <w:rPr>
                <w:rFonts w:hint="eastAsia"/>
                <w:sz w:val="21"/>
                <w:szCs w:val="21"/>
                <w:lang w:eastAsia="zh-CN"/>
              </w:rPr>
              <w:t>4</w:t>
            </w:r>
            <w:r>
              <w:rPr>
                <w:sz w:val="21"/>
                <w:szCs w:val="21"/>
                <w:lang w:eastAsia="zh-CN"/>
              </w:rPr>
              <w:t>5</w:t>
            </w:r>
            <w:r>
              <w:rPr>
                <w:rFonts w:hint="eastAsia"/>
                <w:sz w:val="21"/>
                <w:szCs w:val="21"/>
                <w:lang w:eastAsia="zh-CN"/>
              </w:rPr>
              <w:t>%</w:t>
            </w:r>
          </w:p>
        </w:tc>
        <w:tc>
          <w:tcPr>
            <w:tcW w:w="747" w:type="pct"/>
            <w:gridSpan w:val="2"/>
            <w:vAlign w:val="center"/>
          </w:tcPr>
          <w:p w14:paraId="4F7E87E7">
            <w:pPr>
              <w:pStyle w:val="246"/>
              <w:spacing w:before="156" w:after="156"/>
              <w:rPr>
                <w:sz w:val="21"/>
                <w:szCs w:val="21"/>
              </w:rPr>
            </w:pPr>
            <w:r>
              <w:rPr>
                <w:rFonts w:hint="eastAsia"/>
                <w:sz w:val="21"/>
                <w:szCs w:val="21"/>
                <w:lang w:eastAsia="zh-CN"/>
              </w:rPr>
              <w:t>4</w:t>
            </w:r>
            <w:r>
              <w:rPr>
                <w:sz w:val="21"/>
                <w:szCs w:val="21"/>
                <w:lang w:eastAsia="zh-CN"/>
              </w:rPr>
              <w:t>5</w:t>
            </w:r>
            <w:r>
              <w:rPr>
                <w:rFonts w:hint="eastAsia"/>
                <w:sz w:val="21"/>
                <w:szCs w:val="21"/>
                <w:lang w:eastAsia="zh-CN"/>
              </w:rPr>
              <w:t>%</w:t>
            </w:r>
          </w:p>
        </w:tc>
        <w:tc>
          <w:tcPr>
            <w:tcW w:w="895" w:type="pct"/>
            <w:vAlign w:val="center"/>
          </w:tcPr>
          <w:p w14:paraId="44309783">
            <w:pPr>
              <w:pStyle w:val="246"/>
              <w:spacing w:before="156" w:after="156"/>
              <w:rPr>
                <w:rFonts w:hint="eastAsia"/>
                <w:sz w:val="21"/>
                <w:szCs w:val="21"/>
                <w:lang w:eastAsia="zh-CN"/>
              </w:rPr>
            </w:pPr>
            <w:r>
              <w:rPr>
                <w:rFonts w:hint="eastAsia"/>
                <w:sz w:val="21"/>
                <w:szCs w:val="21"/>
                <w:lang w:eastAsia="zh-CN"/>
              </w:rPr>
              <w:t>定量（约束性）</w:t>
            </w:r>
          </w:p>
        </w:tc>
      </w:tr>
      <w:tr w14:paraId="48FD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restart"/>
            <w:vAlign w:val="center"/>
          </w:tcPr>
          <w:p w14:paraId="4A4471FA">
            <w:pPr>
              <w:pStyle w:val="246"/>
              <w:spacing w:before="156" w:after="156"/>
              <w:rPr>
                <w:sz w:val="21"/>
                <w:szCs w:val="21"/>
              </w:rPr>
            </w:pPr>
            <w:r>
              <w:rPr>
                <w:rFonts w:hint="eastAsia"/>
                <w:sz w:val="21"/>
                <w:szCs w:val="21"/>
                <w:lang w:eastAsia="zh-CN"/>
              </w:rPr>
              <w:t>水</w:t>
            </w:r>
            <w:r>
              <w:rPr>
                <w:sz w:val="21"/>
                <w:szCs w:val="21"/>
              </w:rPr>
              <w:t>安全</w:t>
            </w:r>
          </w:p>
        </w:tc>
        <w:tc>
          <w:tcPr>
            <w:tcW w:w="367" w:type="pct"/>
            <w:vAlign w:val="center"/>
          </w:tcPr>
          <w:p w14:paraId="3ED57231">
            <w:pPr>
              <w:pStyle w:val="246"/>
              <w:spacing w:before="156" w:after="156"/>
              <w:rPr>
                <w:sz w:val="21"/>
                <w:szCs w:val="21"/>
              </w:rPr>
            </w:pPr>
            <w:r>
              <w:rPr>
                <w:sz w:val="21"/>
                <w:szCs w:val="21"/>
              </w:rPr>
              <w:t>6</w:t>
            </w:r>
          </w:p>
        </w:tc>
        <w:tc>
          <w:tcPr>
            <w:tcW w:w="976" w:type="pct"/>
            <w:vAlign w:val="center"/>
          </w:tcPr>
          <w:p w14:paraId="1D8A8AA2">
            <w:pPr>
              <w:pStyle w:val="246"/>
              <w:spacing w:before="156" w:after="156"/>
              <w:rPr>
                <w:sz w:val="21"/>
                <w:szCs w:val="21"/>
                <w:lang w:eastAsia="zh-CN"/>
              </w:rPr>
            </w:pPr>
            <w:r>
              <w:rPr>
                <w:sz w:val="21"/>
                <w:szCs w:val="21"/>
                <w:lang w:eastAsia="zh-CN"/>
              </w:rPr>
              <w:t>防洪标准</w:t>
            </w:r>
            <w:r>
              <w:rPr>
                <w:rFonts w:hint="eastAsia"/>
                <w:sz w:val="21"/>
                <w:szCs w:val="21"/>
                <w:lang w:eastAsia="zh-CN"/>
              </w:rPr>
              <w:t>及防山洪标准</w:t>
            </w:r>
          </w:p>
        </w:tc>
        <w:tc>
          <w:tcPr>
            <w:tcW w:w="865" w:type="pct"/>
            <w:vAlign w:val="center"/>
          </w:tcPr>
          <w:p w14:paraId="66F5319B">
            <w:pPr>
              <w:pStyle w:val="246"/>
              <w:spacing w:before="156" w:after="156"/>
              <w:rPr>
                <w:sz w:val="21"/>
                <w:szCs w:val="21"/>
                <w:lang w:eastAsia="zh-CN"/>
              </w:rPr>
            </w:pPr>
            <w:r>
              <w:rPr>
                <w:rFonts w:hint="eastAsia"/>
                <w:sz w:val="21"/>
                <w:szCs w:val="21"/>
                <w:lang w:eastAsia="zh-CN"/>
              </w:rPr>
              <w:t>城区沙溪干流防洪标准3</w:t>
            </w:r>
            <w:r>
              <w:rPr>
                <w:sz w:val="21"/>
                <w:szCs w:val="21"/>
                <w:lang w:eastAsia="zh-CN"/>
              </w:rPr>
              <w:t>0</w:t>
            </w:r>
            <w:r>
              <w:rPr>
                <w:rFonts w:hint="eastAsia"/>
                <w:sz w:val="21"/>
                <w:szCs w:val="21"/>
                <w:lang w:eastAsia="zh-CN"/>
              </w:rPr>
              <w:t>年一遇；城区防山洪2</w:t>
            </w:r>
            <w:r>
              <w:rPr>
                <w:sz w:val="21"/>
                <w:szCs w:val="21"/>
                <w:lang w:eastAsia="zh-CN"/>
              </w:rPr>
              <w:t>0</w:t>
            </w:r>
            <w:r>
              <w:rPr>
                <w:rFonts w:hint="eastAsia"/>
                <w:sz w:val="21"/>
                <w:szCs w:val="21"/>
                <w:lang w:eastAsia="zh-CN"/>
              </w:rPr>
              <w:t>年一遇。</w:t>
            </w:r>
          </w:p>
        </w:tc>
        <w:tc>
          <w:tcPr>
            <w:tcW w:w="1444" w:type="pct"/>
            <w:gridSpan w:val="3"/>
            <w:vAlign w:val="center"/>
          </w:tcPr>
          <w:p w14:paraId="677CEF75">
            <w:pPr>
              <w:pStyle w:val="246"/>
              <w:spacing w:before="156" w:after="156"/>
              <w:rPr>
                <w:sz w:val="21"/>
                <w:szCs w:val="21"/>
                <w:lang w:eastAsia="zh-CN"/>
              </w:rPr>
            </w:pPr>
            <w:r>
              <w:rPr>
                <w:rFonts w:hint="eastAsia"/>
                <w:sz w:val="21"/>
                <w:szCs w:val="21"/>
                <w:lang w:eastAsia="zh-CN"/>
              </w:rPr>
              <w:t>结合区域调度，城区沙溪干流防洪标准提高至</w:t>
            </w:r>
            <w:r>
              <w:rPr>
                <w:sz w:val="21"/>
                <w:szCs w:val="21"/>
                <w:lang w:eastAsia="zh-CN"/>
              </w:rPr>
              <w:t>50</w:t>
            </w:r>
            <w:r>
              <w:rPr>
                <w:rFonts w:hint="eastAsia"/>
                <w:sz w:val="21"/>
                <w:szCs w:val="21"/>
                <w:lang w:eastAsia="zh-CN"/>
              </w:rPr>
              <w:t>年一遇；城区防山洪2</w:t>
            </w:r>
            <w:r>
              <w:rPr>
                <w:sz w:val="21"/>
                <w:szCs w:val="21"/>
                <w:lang w:eastAsia="zh-CN"/>
              </w:rPr>
              <w:t>0</w:t>
            </w:r>
            <w:r>
              <w:rPr>
                <w:rFonts w:hint="eastAsia"/>
                <w:sz w:val="21"/>
                <w:szCs w:val="21"/>
                <w:lang w:eastAsia="zh-CN"/>
              </w:rPr>
              <w:t>年一遇。</w:t>
            </w:r>
          </w:p>
        </w:tc>
        <w:tc>
          <w:tcPr>
            <w:tcW w:w="895" w:type="pct"/>
            <w:vAlign w:val="center"/>
          </w:tcPr>
          <w:p w14:paraId="3EFB47C7">
            <w:pPr>
              <w:pStyle w:val="246"/>
              <w:spacing w:before="156" w:after="156"/>
              <w:rPr>
                <w:sz w:val="21"/>
                <w:szCs w:val="21"/>
              </w:rPr>
            </w:pPr>
            <w:r>
              <w:rPr>
                <w:rFonts w:hint="eastAsia"/>
                <w:sz w:val="21"/>
                <w:szCs w:val="21"/>
                <w:lang w:eastAsia="zh-CN"/>
              </w:rPr>
              <w:t>定量（约束性）</w:t>
            </w:r>
          </w:p>
        </w:tc>
      </w:tr>
      <w:tr w14:paraId="64E9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3BC52812">
            <w:pPr>
              <w:pStyle w:val="246"/>
              <w:spacing w:before="156" w:after="156"/>
              <w:rPr>
                <w:sz w:val="21"/>
                <w:szCs w:val="21"/>
              </w:rPr>
            </w:pPr>
          </w:p>
        </w:tc>
        <w:tc>
          <w:tcPr>
            <w:tcW w:w="367" w:type="pct"/>
            <w:vAlign w:val="center"/>
          </w:tcPr>
          <w:p w14:paraId="159F1834">
            <w:pPr>
              <w:pStyle w:val="246"/>
              <w:spacing w:before="156" w:after="156"/>
              <w:rPr>
                <w:sz w:val="21"/>
                <w:szCs w:val="21"/>
              </w:rPr>
            </w:pPr>
            <w:r>
              <w:rPr>
                <w:sz w:val="21"/>
                <w:szCs w:val="21"/>
              </w:rPr>
              <w:t>7</w:t>
            </w:r>
          </w:p>
        </w:tc>
        <w:tc>
          <w:tcPr>
            <w:tcW w:w="976" w:type="pct"/>
            <w:vAlign w:val="center"/>
          </w:tcPr>
          <w:p w14:paraId="13703851">
            <w:pPr>
              <w:pStyle w:val="246"/>
              <w:spacing w:before="156" w:after="156"/>
              <w:rPr>
                <w:sz w:val="21"/>
                <w:szCs w:val="21"/>
              </w:rPr>
            </w:pPr>
            <w:r>
              <w:rPr>
                <w:sz w:val="21"/>
                <w:szCs w:val="21"/>
              </w:rPr>
              <w:t>城市内涝防治标准</w:t>
            </w:r>
          </w:p>
        </w:tc>
        <w:tc>
          <w:tcPr>
            <w:tcW w:w="865" w:type="pct"/>
            <w:vAlign w:val="center"/>
          </w:tcPr>
          <w:p w14:paraId="532D4275">
            <w:pPr>
              <w:pStyle w:val="246"/>
              <w:spacing w:before="156" w:after="156"/>
              <w:rPr>
                <w:sz w:val="21"/>
                <w:szCs w:val="21"/>
                <w:lang w:eastAsia="zh-CN"/>
              </w:rPr>
            </w:pPr>
            <w:r>
              <w:rPr>
                <w:rFonts w:hint="eastAsia"/>
                <w:sz w:val="21"/>
                <w:szCs w:val="21"/>
                <w:lang w:eastAsia="zh-CN"/>
              </w:rPr>
              <w:t>三元区2</w:t>
            </w:r>
            <w:r>
              <w:rPr>
                <w:sz w:val="21"/>
                <w:szCs w:val="21"/>
                <w:lang w:eastAsia="zh-CN"/>
              </w:rPr>
              <w:t>0</w:t>
            </w:r>
            <w:r>
              <w:rPr>
                <w:rFonts w:hint="eastAsia"/>
                <w:sz w:val="21"/>
                <w:szCs w:val="21"/>
                <w:lang w:eastAsia="zh-CN"/>
              </w:rPr>
              <w:t>年一遇；</w:t>
            </w:r>
          </w:p>
          <w:p w14:paraId="0A5B63D7">
            <w:pPr>
              <w:pStyle w:val="246"/>
              <w:spacing w:before="156" w:after="156"/>
              <w:rPr>
                <w:sz w:val="21"/>
                <w:szCs w:val="21"/>
                <w:lang w:eastAsia="zh-CN"/>
              </w:rPr>
            </w:pPr>
            <w:r>
              <w:rPr>
                <w:rFonts w:hint="eastAsia"/>
                <w:sz w:val="21"/>
                <w:szCs w:val="21"/>
                <w:lang w:eastAsia="zh-CN"/>
              </w:rPr>
              <w:t>沙县区1</w:t>
            </w:r>
            <w:r>
              <w:rPr>
                <w:sz w:val="21"/>
                <w:szCs w:val="21"/>
                <w:lang w:eastAsia="zh-CN"/>
              </w:rPr>
              <w:t>0</w:t>
            </w:r>
            <w:r>
              <w:rPr>
                <w:rFonts w:hint="eastAsia"/>
                <w:sz w:val="21"/>
                <w:szCs w:val="21"/>
                <w:lang w:eastAsia="zh-CN"/>
              </w:rPr>
              <w:t>年一遇。</w:t>
            </w:r>
          </w:p>
        </w:tc>
        <w:tc>
          <w:tcPr>
            <w:tcW w:w="1444" w:type="pct"/>
            <w:gridSpan w:val="3"/>
            <w:vAlign w:val="center"/>
          </w:tcPr>
          <w:p w14:paraId="6F11E0B5">
            <w:pPr>
              <w:pStyle w:val="246"/>
              <w:spacing w:before="156" w:after="156"/>
              <w:rPr>
                <w:sz w:val="21"/>
                <w:szCs w:val="21"/>
                <w:lang w:eastAsia="zh-CN"/>
              </w:rPr>
            </w:pPr>
            <w:r>
              <w:rPr>
                <w:rFonts w:hint="eastAsia"/>
                <w:sz w:val="21"/>
                <w:szCs w:val="21"/>
                <w:lang w:eastAsia="zh-CN"/>
              </w:rPr>
              <w:t>三元区提高到</w:t>
            </w:r>
            <w:r>
              <w:rPr>
                <w:sz w:val="21"/>
                <w:szCs w:val="21"/>
                <w:lang w:eastAsia="zh-CN"/>
              </w:rPr>
              <w:t>30</w:t>
            </w:r>
            <w:r>
              <w:rPr>
                <w:rFonts w:hint="eastAsia"/>
                <w:sz w:val="21"/>
                <w:szCs w:val="21"/>
                <w:lang w:eastAsia="zh-CN"/>
              </w:rPr>
              <w:t>年一遇；</w:t>
            </w:r>
          </w:p>
          <w:p w14:paraId="1BE66309">
            <w:pPr>
              <w:pStyle w:val="246"/>
              <w:spacing w:before="156" w:after="156"/>
              <w:rPr>
                <w:sz w:val="21"/>
                <w:szCs w:val="21"/>
                <w:lang w:eastAsia="zh-CN"/>
              </w:rPr>
            </w:pPr>
            <w:r>
              <w:rPr>
                <w:rFonts w:hint="eastAsia"/>
                <w:sz w:val="21"/>
                <w:szCs w:val="21"/>
                <w:lang w:eastAsia="zh-CN"/>
              </w:rPr>
              <w:t>沙县区提高到</w:t>
            </w:r>
            <w:r>
              <w:rPr>
                <w:sz w:val="21"/>
                <w:szCs w:val="21"/>
                <w:lang w:eastAsia="zh-CN"/>
              </w:rPr>
              <w:t>20</w:t>
            </w:r>
            <w:r>
              <w:rPr>
                <w:rFonts w:hint="eastAsia"/>
                <w:sz w:val="21"/>
                <w:szCs w:val="21"/>
                <w:lang w:eastAsia="zh-CN"/>
              </w:rPr>
              <w:t>年一遇。</w:t>
            </w:r>
          </w:p>
        </w:tc>
        <w:tc>
          <w:tcPr>
            <w:tcW w:w="895" w:type="pct"/>
            <w:vAlign w:val="center"/>
          </w:tcPr>
          <w:p w14:paraId="70721DAB">
            <w:pPr>
              <w:pStyle w:val="246"/>
              <w:spacing w:before="156" w:after="156"/>
              <w:rPr>
                <w:sz w:val="21"/>
                <w:szCs w:val="21"/>
                <w:lang w:eastAsia="zh-CN"/>
              </w:rPr>
            </w:pPr>
            <w:r>
              <w:rPr>
                <w:rFonts w:hint="eastAsia"/>
                <w:sz w:val="21"/>
                <w:szCs w:val="21"/>
                <w:lang w:eastAsia="zh-CN"/>
              </w:rPr>
              <w:t>定量（约束性）</w:t>
            </w:r>
          </w:p>
        </w:tc>
      </w:tr>
      <w:tr w14:paraId="3063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75210D43">
            <w:pPr>
              <w:pStyle w:val="246"/>
              <w:spacing w:before="156" w:after="156"/>
              <w:rPr>
                <w:sz w:val="21"/>
                <w:szCs w:val="21"/>
              </w:rPr>
            </w:pPr>
          </w:p>
        </w:tc>
        <w:tc>
          <w:tcPr>
            <w:tcW w:w="367" w:type="pct"/>
            <w:vAlign w:val="center"/>
          </w:tcPr>
          <w:p w14:paraId="1006CC03">
            <w:pPr>
              <w:pStyle w:val="246"/>
              <w:spacing w:before="156" w:after="156"/>
              <w:rPr>
                <w:rFonts w:hint="eastAsia"/>
                <w:sz w:val="21"/>
                <w:szCs w:val="21"/>
                <w:lang w:eastAsia="zh-CN"/>
              </w:rPr>
            </w:pPr>
            <w:r>
              <w:rPr>
                <w:sz w:val="21"/>
                <w:szCs w:val="21"/>
                <w:lang w:eastAsia="zh-CN"/>
              </w:rPr>
              <w:t>8</w:t>
            </w:r>
          </w:p>
        </w:tc>
        <w:tc>
          <w:tcPr>
            <w:tcW w:w="976" w:type="pct"/>
            <w:vAlign w:val="center"/>
          </w:tcPr>
          <w:p w14:paraId="6FCD4E8D">
            <w:pPr>
              <w:pStyle w:val="246"/>
              <w:spacing w:before="156" w:after="156"/>
              <w:rPr>
                <w:rFonts w:hint="eastAsia"/>
                <w:sz w:val="21"/>
                <w:szCs w:val="21"/>
                <w:lang w:eastAsia="zh-CN"/>
              </w:rPr>
            </w:pPr>
            <w:r>
              <w:rPr>
                <w:rFonts w:hint="eastAsia"/>
                <w:sz w:val="21"/>
                <w:szCs w:val="21"/>
                <w:lang w:eastAsia="zh-CN"/>
              </w:rPr>
              <w:t>易涝点消除比例</w:t>
            </w:r>
          </w:p>
        </w:tc>
        <w:tc>
          <w:tcPr>
            <w:tcW w:w="865" w:type="pct"/>
            <w:vAlign w:val="center"/>
          </w:tcPr>
          <w:p w14:paraId="324B71A8">
            <w:pPr>
              <w:pStyle w:val="246"/>
              <w:spacing w:before="156" w:after="156"/>
              <w:rPr>
                <w:rFonts w:hint="eastAsia"/>
                <w:sz w:val="21"/>
                <w:szCs w:val="21"/>
                <w:lang w:eastAsia="zh-CN"/>
              </w:rPr>
            </w:pPr>
            <w:r>
              <w:rPr>
                <w:rFonts w:hint="eastAsia"/>
                <w:sz w:val="21"/>
                <w:szCs w:val="21"/>
                <w:lang w:eastAsia="zh-CN"/>
              </w:rPr>
              <w:t>1</w:t>
            </w:r>
            <w:r>
              <w:rPr>
                <w:sz w:val="21"/>
                <w:szCs w:val="21"/>
                <w:lang w:eastAsia="zh-CN"/>
              </w:rPr>
              <w:t>00</w:t>
            </w:r>
            <w:r>
              <w:rPr>
                <w:rFonts w:hint="eastAsia"/>
                <w:sz w:val="21"/>
                <w:szCs w:val="21"/>
                <w:lang w:eastAsia="zh-CN"/>
              </w:rPr>
              <w:t>%</w:t>
            </w:r>
          </w:p>
        </w:tc>
        <w:tc>
          <w:tcPr>
            <w:tcW w:w="722" w:type="pct"/>
            <w:gridSpan w:val="2"/>
            <w:vAlign w:val="center"/>
          </w:tcPr>
          <w:p w14:paraId="4AE2C39E">
            <w:pPr>
              <w:pStyle w:val="246"/>
              <w:spacing w:before="156" w:after="156"/>
              <w:rPr>
                <w:rFonts w:hint="eastAsia"/>
                <w:sz w:val="21"/>
                <w:szCs w:val="21"/>
                <w:lang w:eastAsia="zh-CN"/>
              </w:rPr>
            </w:pPr>
            <w:r>
              <w:rPr>
                <w:rFonts w:hint="eastAsia"/>
                <w:sz w:val="21"/>
                <w:szCs w:val="21"/>
                <w:lang w:eastAsia="zh-CN"/>
              </w:rPr>
              <w:t>1</w:t>
            </w:r>
            <w:r>
              <w:rPr>
                <w:sz w:val="21"/>
                <w:szCs w:val="21"/>
                <w:lang w:eastAsia="zh-CN"/>
              </w:rPr>
              <w:t>00</w:t>
            </w:r>
            <w:r>
              <w:rPr>
                <w:rFonts w:hint="eastAsia"/>
                <w:sz w:val="21"/>
                <w:szCs w:val="21"/>
                <w:lang w:eastAsia="zh-CN"/>
              </w:rPr>
              <w:t>%</w:t>
            </w:r>
          </w:p>
        </w:tc>
        <w:tc>
          <w:tcPr>
            <w:tcW w:w="722" w:type="pct"/>
            <w:vAlign w:val="center"/>
          </w:tcPr>
          <w:p w14:paraId="13540C61">
            <w:pPr>
              <w:pStyle w:val="246"/>
              <w:spacing w:before="156" w:after="156"/>
              <w:rPr>
                <w:rFonts w:hint="eastAsia"/>
                <w:sz w:val="21"/>
                <w:szCs w:val="21"/>
                <w:lang w:eastAsia="zh-CN"/>
              </w:rPr>
            </w:pPr>
            <w:r>
              <w:rPr>
                <w:rFonts w:hint="eastAsia"/>
                <w:sz w:val="21"/>
                <w:szCs w:val="21"/>
                <w:lang w:eastAsia="zh-CN"/>
              </w:rPr>
              <w:t>1</w:t>
            </w:r>
            <w:r>
              <w:rPr>
                <w:sz w:val="21"/>
                <w:szCs w:val="21"/>
                <w:lang w:eastAsia="zh-CN"/>
              </w:rPr>
              <w:t>00</w:t>
            </w:r>
            <w:r>
              <w:rPr>
                <w:rFonts w:hint="eastAsia"/>
                <w:sz w:val="21"/>
                <w:szCs w:val="21"/>
                <w:lang w:eastAsia="zh-CN"/>
              </w:rPr>
              <w:t>%</w:t>
            </w:r>
          </w:p>
        </w:tc>
        <w:tc>
          <w:tcPr>
            <w:tcW w:w="895" w:type="pct"/>
            <w:vAlign w:val="center"/>
          </w:tcPr>
          <w:p w14:paraId="1A6BB09E">
            <w:pPr>
              <w:pStyle w:val="246"/>
              <w:spacing w:before="156" w:after="156"/>
              <w:rPr>
                <w:rFonts w:hint="eastAsia"/>
                <w:sz w:val="21"/>
                <w:szCs w:val="21"/>
                <w:lang w:eastAsia="zh-CN"/>
              </w:rPr>
            </w:pPr>
            <w:r>
              <w:rPr>
                <w:rFonts w:hint="eastAsia"/>
                <w:sz w:val="21"/>
                <w:szCs w:val="21"/>
                <w:lang w:eastAsia="zh-CN"/>
              </w:rPr>
              <w:t>定量（约束性）</w:t>
            </w:r>
          </w:p>
        </w:tc>
      </w:tr>
      <w:tr w14:paraId="2C2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5DC99F02">
            <w:pPr>
              <w:pStyle w:val="246"/>
              <w:spacing w:before="156" w:after="156"/>
              <w:rPr>
                <w:sz w:val="21"/>
                <w:szCs w:val="21"/>
                <w:lang w:eastAsia="zh-CN"/>
              </w:rPr>
            </w:pPr>
          </w:p>
        </w:tc>
        <w:tc>
          <w:tcPr>
            <w:tcW w:w="367" w:type="pct"/>
            <w:vAlign w:val="center"/>
          </w:tcPr>
          <w:p w14:paraId="1AE5EC7E">
            <w:pPr>
              <w:pStyle w:val="246"/>
              <w:spacing w:before="156" w:after="156"/>
              <w:rPr>
                <w:sz w:val="21"/>
                <w:szCs w:val="21"/>
              </w:rPr>
            </w:pPr>
            <w:r>
              <w:rPr>
                <w:sz w:val="21"/>
                <w:szCs w:val="21"/>
              </w:rPr>
              <w:t>9</w:t>
            </w:r>
          </w:p>
        </w:tc>
        <w:tc>
          <w:tcPr>
            <w:tcW w:w="976" w:type="pct"/>
            <w:vAlign w:val="center"/>
          </w:tcPr>
          <w:p w14:paraId="01AE4C4F">
            <w:pPr>
              <w:pStyle w:val="246"/>
              <w:spacing w:before="156" w:after="156"/>
              <w:rPr>
                <w:sz w:val="21"/>
                <w:szCs w:val="21"/>
                <w:lang w:eastAsia="zh-CN"/>
              </w:rPr>
            </w:pPr>
            <w:r>
              <w:rPr>
                <w:rFonts w:hint="eastAsia"/>
                <w:sz w:val="21"/>
                <w:szCs w:val="21"/>
                <w:lang w:eastAsia="zh-CN"/>
              </w:rPr>
              <w:t>雨水管渠设计标准</w:t>
            </w:r>
          </w:p>
        </w:tc>
        <w:tc>
          <w:tcPr>
            <w:tcW w:w="2309" w:type="pct"/>
            <w:gridSpan w:val="4"/>
            <w:vAlign w:val="center"/>
          </w:tcPr>
          <w:p w14:paraId="16B21E76">
            <w:pPr>
              <w:pStyle w:val="246"/>
              <w:spacing w:before="156" w:after="156"/>
              <w:jc w:val="both"/>
              <w:rPr>
                <w:sz w:val="21"/>
                <w:szCs w:val="21"/>
                <w:lang w:eastAsia="zh-CN"/>
              </w:rPr>
            </w:pPr>
            <w:r>
              <w:rPr>
                <w:rFonts w:hint="eastAsia"/>
                <w:sz w:val="21"/>
                <w:szCs w:val="21"/>
                <w:lang w:eastAsia="zh-CN"/>
              </w:rPr>
              <w:t>一般城区采用2~3年，重要地区采用3~5年，地下通道和下沉式广场等采用10~20年一遇；大面积的山洪水重现期采用10~20年一遇。</w:t>
            </w:r>
          </w:p>
        </w:tc>
        <w:tc>
          <w:tcPr>
            <w:tcW w:w="895" w:type="pct"/>
            <w:vAlign w:val="center"/>
          </w:tcPr>
          <w:p w14:paraId="4A474B58">
            <w:pPr>
              <w:pStyle w:val="246"/>
              <w:spacing w:before="156" w:after="156"/>
              <w:rPr>
                <w:sz w:val="21"/>
                <w:szCs w:val="21"/>
              </w:rPr>
            </w:pPr>
            <w:r>
              <w:rPr>
                <w:rFonts w:hint="eastAsia"/>
                <w:sz w:val="21"/>
                <w:szCs w:val="21"/>
                <w:lang w:eastAsia="zh-CN"/>
              </w:rPr>
              <w:t>定量（约束性）</w:t>
            </w:r>
          </w:p>
        </w:tc>
      </w:tr>
      <w:tr w14:paraId="1AAA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restart"/>
            <w:vAlign w:val="center"/>
          </w:tcPr>
          <w:p w14:paraId="385055E4">
            <w:pPr>
              <w:pStyle w:val="246"/>
              <w:spacing w:before="156" w:after="156"/>
              <w:rPr>
                <w:sz w:val="21"/>
                <w:szCs w:val="21"/>
              </w:rPr>
            </w:pPr>
            <w:r>
              <w:rPr>
                <w:sz w:val="21"/>
                <w:szCs w:val="21"/>
              </w:rPr>
              <w:t>水环境</w:t>
            </w:r>
          </w:p>
        </w:tc>
        <w:tc>
          <w:tcPr>
            <w:tcW w:w="367" w:type="pct"/>
            <w:vAlign w:val="center"/>
          </w:tcPr>
          <w:p w14:paraId="7CFBE9DC">
            <w:pPr>
              <w:pStyle w:val="246"/>
              <w:spacing w:before="156" w:after="156"/>
              <w:rPr>
                <w:sz w:val="21"/>
                <w:szCs w:val="21"/>
              </w:rPr>
            </w:pPr>
            <w:r>
              <w:rPr>
                <w:sz w:val="21"/>
                <w:szCs w:val="21"/>
              </w:rPr>
              <w:t>10</w:t>
            </w:r>
          </w:p>
        </w:tc>
        <w:tc>
          <w:tcPr>
            <w:tcW w:w="976" w:type="pct"/>
            <w:vAlign w:val="center"/>
          </w:tcPr>
          <w:p w14:paraId="67479B8C">
            <w:pPr>
              <w:pStyle w:val="246"/>
              <w:spacing w:before="156" w:after="156"/>
              <w:rPr>
                <w:sz w:val="21"/>
                <w:szCs w:val="21"/>
              </w:rPr>
            </w:pPr>
            <w:r>
              <w:rPr>
                <w:sz w:val="21"/>
                <w:szCs w:val="21"/>
              </w:rPr>
              <w:t>地表水体水质</w:t>
            </w:r>
            <w:r>
              <w:rPr>
                <w:rFonts w:hint="eastAsia"/>
                <w:sz w:val="21"/>
                <w:szCs w:val="21"/>
                <w:lang w:eastAsia="zh-CN"/>
              </w:rPr>
              <w:t>达标率</w:t>
            </w:r>
          </w:p>
        </w:tc>
        <w:tc>
          <w:tcPr>
            <w:tcW w:w="865" w:type="pct"/>
            <w:vAlign w:val="center"/>
          </w:tcPr>
          <w:p w14:paraId="4127492A">
            <w:pPr>
              <w:pStyle w:val="246"/>
              <w:spacing w:before="156" w:after="156"/>
              <w:rPr>
                <w:sz w:val="21"/>
                <w:szCs w:val="21"/>
                <w:lang w:eastAsia="zh-CN"/>
              </w:rPr>
            </w:pPr>
            <w:r>
              <w:rPr>
                <w:rFonts w:hint="eastAsia"/>
                <w:sz w:val="21"/>
                <w:szCs w:val="21"/>
                <w:lang w:eastAsia="zh-CN"/>
              </w:rPr>
              <w:t>1</w:t>
            </w:r>
            <w:r>
              <w:rPr>
                <w:sz w:val="21"/>
                <w:szCs w:val="21"/>
                <w:lang w:eastAsia="zh-CN"/>
              </w:rPr>
              <w:t>00</w:t>
            </w:r>
            <w:r>
              <w:rPr>
                <w:rFonts w:hint="eastAsia"/>
                <w:sz w:val="21"/>
                <w:szCs w:val="21"/>
                <w:lang w:eastAsia="zh-CN"/>
              </w:rPr>
              <w:t>%</w:t>
            </w:r>
          </w:p>
        </w:tc>
        <w:tc>
          <w:tcPr>
            <w:tcW w:w="697" w:type="pct"/>
            <w:vAlign w:val="center"/>
          </w:tcPr>
          <w:p w14:paraId="1B2E9B0A">
            <w:pPr>
              <w:pStyle w:val="246"/>
              <w:spacing w:before="156" w:after="156"/>
              <w:rPr>
                <w:sz w:val="21"/>
                <w:szCs w:val="21"/>
                <w:lang w:eastAsia="zh-CN"/>
              </w:rPr>
            </w:pPr>
            <w:r>
              <w:rPr>
                <w:rFonts w:hint="eastAsia"/>
                <w:sz w:val="21"/>
                <w:szCs w:val="21"/>
                <w:lang w:eastAsia="zh-CN"/>
              </w:rPr>
              <w:t>1</w:t>
            </w:r>
            <w:r>
              <w:rPr>
                <w:sz w:val="21"/>
                <w:szCs w:val="21"/>
                <w:lang w:eastAsia="zh-CN"/>
              </w:rPr>
              <w:t>00</w:t>
            </w:r>
            <w:r>
              <w:rPr>
                <w:rFonts w:hint="eastAsia"/>
                <w:sz w:val="21"/>
                <w:szCs w:val="21"/>
                <w:lang w:eastAsia="zh-CN"/>
              </w:rPr>
              <w:t>%</w:t>
            </w:r>
          </w:p>
        </w:tc>
        <w:tc>
          <w:tcPr>
            <w:tcW w:w="747" w:type="pct"/>
            <w:gridSpan w:val="2"/>
            <w:vAlign w:val="center"/>
          </w:tcPr>
          <w:p w14:paraId="65FE8CBF">
            <w:pPr>
              <w:pStyle w:val="246"/>
              <w:spacing w:before="156" w:after="156"/>
              <w:rPr>
                <w:sz w:val="21"/>
                <w:szCs w:val="21"/>
                <w:lang w:eastAsia="zh-CN"/>
              </w:rPr>
            </w:pPr>
            <w:r>
              <w:rPr>
                <w:rFonts w:hint="eastAsia"/>
                <w:sz w:val="21"/>
                <w:szCs w:val="21"/>
                <w:lang w:eastAsia="zh-CN"/>
              </w:rPr>
              <w:t>1</w:t>
            </w:r>
            <w:r>
              <w:rPr>
                <w:sz w:val="21"/>
                <w:szCs w:val="21"/>
                <w:lang w:eastAsia="zh-CN"/>
              </w:rPr>
              <w:t>00</w:t>
            </w:r>
            <w:r>
              <w:rPr>
                <w:rFonts w:hint="eastAsia"/>
                <w:sz w:val="21"/>
                <w:szCs w:val="21"/>
                <w:lang w:eastAsia="zh-CN"/>
              </w:rPr>
              <w:t>%</w:t>
            </w:r>
          </w:p>
        </w:tc>
        <w:tc>
          <w:tcPr>
            <w:tcW w:w="895" w:type="pct"/>
            <w:vAlign w:val="center"/>
          </w:tcPr>
          <w:p w14:paraId="716A6B7A">
            <w:pPr>
              <w:pStyle w:val="246"/>
              <w:spacing w:before="156" w:after="156"/>
              <w:rPr>
                <w:sz w:val="21"/>
                <w:szCs w:val="21"/>
              </w:rPr>
            </w:pPr>
            <w:r>
              <w:rPr>
                <w:rFonts w:hint="eastAsia"/>
                <w:sz w:val="21"/>
                <w:szCs w:val="21"/>
                <w:lang w:eastAsia="zh-CN"/>
              </w:rPr>
              <w:t>定量（约束性）</w:t>
            </w:r>
          </w:p>
        </w:tc>
      </w:tr>
      <w:tr w14:paraId="5FD8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0B342305">
            <w:pPr>
              <w:pStyle w:val="246"/>
              <w:spacing w:before="156" w:after="156"/>
              <w:rPr>
                <w:sz w:val="21"/>
                <w:szCs w:val="21"/>
              </w:rPr>
            </w:pPr>
          </w:p>
        </w:tc>
        <w:tc>
          <w:tcPr>
            <w:tcW w:w="367" w:type="pct"/>
            <w:vAlign w:val="center"/>
          </w:tcPr>
          <w:p w14:paraId="6A3021D3">
            <w:pPr>
              <w:pStyle w:val="246"/>
              <w:spacing w:before="156" w:after="156"/>
              <w:rPr>
                <w:sz w:val="21"/>
                <w:szCs w:val="21"/>
              </w:rPr>
            </w:pPr>
            <w:r>
              <w:rPr>
                <w:sz w:val="21"/>
                <w:szCs w:val="21"/>
              </w:rPr>
              <w:t>11</w:t>
            </w:r>
          </w:p>
        </w:tc>
        <w:tc>
          <w:tcPr>
            <w:tcW w:w="976" w:type="pct"/>
            <w:vAlign w:val="center"/>
          </w:tcPr>
          <w:p w14:paraId="538E7F88">
            <w:pPr>
              <w:pStyle w:val="246"/>
              <w:spacing w:before="156" w:after="156"/>
              <w:ind w:left="1" w:leftChars="-43" w:right="-104" w:rightChars="-37" w:hanging="121" w:hangingChars="58"/>
              <w:rPr>
                <w:sz w:val="21"/>
                <w:szCs w:val="21"/>
              </w:rPr>
            </w:pPr>
            <w:r>
              <w:rPr>
                <w:sz w:val="21"/>
                <w:szCs w:val="21"/>
              </w:rPr>
              <w:t>城市</w:t>
            </w:r>
            <w:r>
              <w:rPr>
                <w:rFonts w:hint="eastAsia"/>
                <w:sz w:val="21"/>
                <w:szCs w:val="21"/>
                <w:lang w:eastAsia="zh-CN"/>
              </w:rPr>
              <w:t>生活</w:t>
            </w:r>
            <w:r>
              <w:rPr>
                <w:sz w:val="21"/>
                <w:szCs w:val="21"/>
              </w:rPr>
              <w:t>污水</w:t>
            </w:r>
            <w:r>
              <w:rPr>
                <w:rFonts w:hint="eastAsia"/>
                <w:sz w:val="21"/>
                <w:szCs w:val="21"/>
                <w:lang w:eastAsia="zh-CN"/>
              </w:rPr>
              <w:t>集中收集</w:t>
            </w:r>
            <w:r>
              <w:rPr>
                <w:sz w:val="21"/>
                <w:szCs w:val="21"/>
              </w:rPr>
              <w:t>率</w:t>
            </w:r>
          </w:p>
        </w:tc>
        <w:tc>
          <w:tcPr>
            <w:tcW w:w="865" w:type="pct"/>
            <w:vAlign w:val="center"/>
          </w:tcPr>
          <w:p w14:paraId="1CBF631E">
            <w:pPr>
              <w:pStyle w:val="246"/>
              <w:spacing w:before="156" w:after="156"/>
              <w:rPr>
                <w:sz w:val="21"/>
                <w:szCs w:val="21"/>
              </w:rPr>
            </w:pPr>
            <w:r>
              <w:rPr>
                <w:sz w:val="21"/>
                <w:szCs w:val="21"/>
              </w:rPr>
              <w:t xml:space="preserve">≥70% </w:t>
            </w:r>
          </w:p>
        </w:tc>
        <w:tc>
          <w:tcPr>
            <w:tcW w:w="1444" w:type="pct"/>
            <w:gridSpan w:val="3"/>
            <w:vAlign w:val="center"/>
          </w:tcPr>
          <w:p w14:paraId="754A4026">
            <w:pPr>
              <w:pStyle w:val="246"/>
              <w:spacing w:before="156" w:after="156"/>
              <w:rPr>
                <w:sz w:val="21"/>
                <w:szCs w:val="21"/>
                <w:lang w:eastAsia="zh-CN"/>
              </w:rPr>
            </w:pPr>
            <w:r>
              <w:rPr>
                <w:rFonts w:hint="eastAsia"/>
                <w:sz w:val="21"/>
                <w:szCs w:val="21"/>
                <w:lang w:eastAsia="zh-CN"/>
              </w:rPr>
              <w:t>不低于上级下达的控制指标</w:t>
            </w:r>
          </w:p>
        </w:tc>
        <w:tc>
          <w:tcPr>
            <w:tcW w:w="895" w:type="pct"/>
            <w:vAlign w:val="center"/>
          </w:tcPr>
          <w:p w14:paraId="3C8BF23B">
            <w:pPr>
              <w:pStyle w:val="246"/>
              <w:spacing w:before="156" w:after="156"/>
              <w:rPr>
                <w:sz w:val="21"/>
                <w:szCs w:val="21"/>
              </w:rPr>
            </w:pPr>
            <w:r>
              <w:rPr>
                <w:rFonts w:hint="eastAsia"/>
                <w:sz w:val="21"/>
                <w:szCs w:val="21"/>
                <w:lang w:eastAsia="zh-CN"/>
              </w:rPr>
              <w:t>定量（约束性）</w:t>
            </w:r>
          </w:p>
        </w:tc>
      </w:tr>
      <w:tr w14:paraId="3803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28C9A62B">
            <w:pPr>
              <w:pStyle w:val="246"/>
              <w:spacing w:before="156" w:after="156"/>
              <w:rPr>
                <w:sz w:val="21"/>
                <w:szCs w:val="21"/>
              </w:rPr>
            </w:pPr>
          </w:p>
        </w:tc>
        <w:tc>
          <w:tcPr>
            <w:tcW w:w="367" w:type="pct"/>
            <w:vAlign w:val="center"/>
          </w:tcPr>
          <w:p w14:paraId="5AF89902">
            <w:pPr>
              <w:pStyle w:val="246"/>
              <w:spacing w:before="156" w:after="156"/>
              <w:rPr>
                <w:sz w:val="21"/>
                <w:szCs w:val="21"/>
                <w:lang w:eastAsia="zh-CN"/>
              </w:rPr>
            </w:pPr>
            <w:r>
              <w:rPr>
                <w:rFonts w:hint="eastAsia"/>
                <w:sz w:val="21"/>
                <w:szCs w:val="21"/>
                <w:lang w:eastAsia="zh-CN"/>
              </w:rPr>
              <w:t>1</w:t>
            </w:r>
            <w:r>
              <w:rPr>
                <w:sz w:val="21"/>
                <w:szCs w:val="21"/>
                <w:lang w:eastAsia="zh-CN"/>
              </w:rPr>
              <w:t>2</w:t>
            </w:r>
          </w:p>
        </w:tc>
        <w:tc>
          <w:tcPr>
            <w:tcW w:w="976" w:type="pct"/>
            <w:vAlign w:val="center"/>
          </w:tcPr>
          <w:p w14:paraId="0E12D651">
            <w:pPr>
              <w:pStyle w:val="246"/>
              <w:spacing w:before="156" w:after="156"/>
              <w:ind w:left="1" w:leftChars="-43" w:right="-104" w:rightChars="-37" w:hanging="121" w:hangingChars="58"/>
              <w:rPr>
                <w:sz w:val="21"/>
                <w:szCs w:val="21"/>
                <w:lang w:eastAsia="zh-CN"/>
              </w:rPr>
            </w:pPr>
            <w:r>
              <w:rPr>
                <w:rFonts w:hint="eastAsia"/>
                <w:sz w:val="21"/>
                <w:szCs w:val="21"/>
                <w:lang w:eastAsia="zh-CN"/>
              </w:rPr>
              <w:t>城市生活污水厂进水B</w:t>
            </w:r>
            <w:r>
              <w:rPr>
                <w:sz w:val="21"/>
                <w:szCs w:val="21"/>
                <w:lang w:eastAsia="zh-CN"/>
              </w:rPr>
              <w:t>OD</w:t>
            </w:r>
            <w:r>
              <w:rPr>
                <w:rFonts w:hint="eastAsia"/>
                <w:sz w:val="21"/>
                <w:szCs w:val="21"/>
                <w:lang w:eastAsia="zh-CN"/>
              </w:rPr>
              <w:t>平均浓度</w:t>
            </w:r>
          </w:p>
        </w:tc>
        <w:tc>
          <w:tcPr>
            <w:tcW w:w="865" w:type="pct"/>
            <w:vAlign w:val="center"/>
          </w:tcPr>
          <w:p w14:paraId="03B4AD2F">
            <w:pPr>
              <w:pStyle w:val="246"/>
              <w:spacing w:before="156" w:after="156"/>
              <w:rPr>
                <w:sz w:val="21"/>
                <w:szCs w:val="21"/>
                <w:lang w:eastAsia="zh-CN"/>
              </w:rPr>
            </w:pPr>
            <w:r>
              <w:rPr>
                <w:rFonts w:hint="eastAsia"/>
                <w:sz w:val="21"/>
                <w:szCs w:val="21"/>
                <w:lang w:eastAsia="zh-CN"/>
              </w:rPr>
              <w:t>1</w:t>
            </w:r>
            <w:r>
              <w:rPr>
                <w:sz w:val="21"/>
                <w:szCs w:val="21"/>
                <w:lang w:eastAsia="zh-CN"/>
              </w:rPr>
              <w:t>00</w:t>
            </w:r>
            <w:r>
              <w:rPr>
                <w:rFonts w:hint="eastAsia"/>
                <w:sz w:val="21"/>
                <w:szCs w:val="21"/>
                <w:lang w:eastAsia="zh-CN"/>
              </w:rPr>
              <w:t>mg</w:t>
            </w:r>
            <w:r>
              <w:rPr>
                <w:sz w:val="21"/>
                <w:szCs w:val="21"/>
                <w:lang w:eastAsia="zh-CN"/>
              </w:rPr>
              <w:t>/L</w:t>
            </w:r>
          </w:p>
        </w:tc>
        <w:tc>
          <w:tcPr>
            <w:tcW w:w="697" w:type="pct"/>
            <w:vAlign w:val="center"/>
          </w:tcPr>
          <w:p w14:paraId="1D1727B7">
            <w:pPr>
              <w:pStyle w:val="246"/>
              <w:spacing w:before="156" w:after="156"/>
              <w:rPr>
                <w:sz w:val="21"/>
                <w:szCs w:val="21"/>
                <w:lang w:eastAsia="zh-CN"/>
              </w:rPr>
            </w:pPr>
            <w:r>
              <w:rPr>
                <w:rFonts w:hint="eastAsia"/>
                <w:sz w:val="21"/>
                <w:szCs w:val="21"/>
                <w:lang w:eastAsia="zh-CN"/>
              </w:rPr>
              <w:t>1</w:t>
            </w:r>
            <w:r>
              <w:rPr>
                <w:sz w:val="21"/>
                <w:szCs w:val="21"/>
                <w:lang w:eastAsia="zh-CN"/>
              </w:rPr>
              <w:t>05</w:t>
            </w:r>
            <w:r>
              <w:rPr>
                <w:rFonts w:hint="eastAsia"/>
                <w:sz w:val="21"/>
                <w:szCs w:val="21"/>
                <w:lang w:eastAsia="zh-CN"/>
              </w:rPr>
              <w:t>mg</w:t>
            </w:r>
            <w:r>
              <w:rPr>
                <w:sz w:val="21"/>
                <w:szCs w:val="21"/>
                <w:lang w:eastAsia="zh-CN"/>
              </w:rPr>
              <w:t>/L</w:t>
            </w:r>
          </w:p>
        </w:tc>
        <w:tc>
          <w:tcPr>
            <w:tcW w:w="747" w:type="pct"/>
            <w:gridSpan w:val="2"/>
            <w:vAlign w:val="center"/>
          </w:tcPr>
          <w:p w14:paraId="456489B0">
            <w:pPr>
              <w:pStyle w:val="246"/>
              <w:spacing w:before="156" w:after="156"/>
              <w:rPr>
                <w:sz w:val="21"/>
                <w:szCs w:val="21"/>
                <w:lang w:eastAsia="zh-CN"/>
              </w:rPr>
            </w:pPr>
            <w:r>
              <w:rPr>
                <w:rFonts w:hint="eastAsia"/>
                <w:sz w:val="21"/>
                <w:szCs w:val="21"/>
                <w:lang w:eastAsia="zh-CN"/>
              </w:rPr>
              <w:t>1</w:t>
            </w:r>
            <w:r>
              <w:rPr>
                <w:sz w:val="21"/>
                <w:szCs w:val="21"/>
                <w:lang w:eastAsia="zh-CN"/>
              </w:rPr>
              <w:t>15</w:t>
            </w:r>
            <w:r>
              <w:rPr>
                <w:rFonts w:hint="eastAsia"/>
                <w:sz w:val="21"/>
                <w:szCs w:val="21"/>
                <w:lang w:eastAsia="zh-CN"/>
              </w:rPr>
              <w:t>mg</w:t>
            </w:r>
            <w:r>
              <w:rPr>
                <w:sz w:val="21"/>
                <w:szCs w:val="21"/>
                <w:lang w:eastAsia="zh-CN"/>
              </w:rPr>
              <w:t>/L</w:t>
            </w:r>
          </w:p>
        </w:tc>
        <w:tc>
          <w:tcPr>
            <w:tcW w:w="895" w:type="pct"/>
            <w:vAlign w:val="center"/>
          </w:tcPr>
          <w:p w14:paraId="3D0305D2">
            <w:pPr>
              <w:pStyle w:val="246"/>
              <w:spacing w:before="156" w:after="156"/>
              <w:rPr>
                <w:sz w:val="21"/>
                <w:szCs w:val="21"/>
                <w:lang w:eastAsia="zh-CN"/>
              </w:rPr>
            </w:pPr>
            <w:r>
              <w:rPr>
                <w:rFonts w:hint="eastAsia"/>
                <w:sz w:val="21"/>
                <w:szCs w:val="21"/>
                <w:lang w:eastAsia="zh-CN"/>
              </w:rPr>
              <w:t>定量（鼓励性）</w:t>
            </w:r>
          </w:p>
        </w:tc>
      </w:tr>
      <w:tr w14:paraId="4C07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15B807DC">
            <w:pPr>
              <w:pStyle w:val="246"/>
              <w:spacing w:before="156" w:after="156"/>
              <w:rPr>
                <w:sz w:val="21"/>
                <w:szCs w:val="21"/>
              </w:rPr>
            </w:pPr>
          </w:p>
        </w:tc>
        <w:tc>
          <w:tcPr>
            <w:tcW w:w="367" w:type="pct"/>
            <w:vAlign w:val="center"/>
          </w:tcPr>
          <w:p w14:paraId="50124A07">
            <w:pPr>
              <w:pStyle w:val="246"/>
              <w:spacing w:before="156" w:after="156"/>
              <w:rPr>
                <w:sz w:val="21"/>
                <w:szCs w:val="21"/>
              </w:rPr>
            </w:pPr>
            <w:r>
              <w:rPr>
                <w:sz w:val="21"/>
                <w:szCs w:val="21"/>
              </w:rPr>
              <w:t>13</w:t>
            </w:r>
          </w:p>
        </w:tc>
        <w:tc>
          <w:tcPr>
            <w:tcW w:w="976" w:type="pct"/>
            <w:vAlign w:val="center"/>
          </w:tcPr>
          <w:p w14:paraId="68AED6D7">
            <w:pPr>
              <w:pStyle w:val="246"/>
              <w:spacing w:before="156" w:after="156"/>
              <w:rPr>
                <w:sz w:val="21"/>
                <w:szCs w:val="21"/>
                <w:lang w:eastAsia="zh-CN"/>
              </w:rPr>
            </w:pPr>
            <w:r>
              <w:rPr>
                <w:rFonts w:hint="eastAsia"/>
                <w:sz w:val="21"/>
                <w:szCs w:val="21"/>
                <w:lang w:eastAsia="zh-CN"/>
              </w:rPr>
              <w:t>年径流污染物 削减率（以 SS 计）</w:t>
            </w:r>
          </w:p>
        </w:tc>
        <w:tc>
          <w:tcPr>
            <w:tcW w:w="865" w:type="pct"/>
            <w:vAlign w:val="center"/>
          </w:tcPr>
          <w:p w14:paraId="1674F051">
            <w:pPr>
              <w:pStyle w:val="246"/>
              <w:spacing w:before="156" w:after="156"/>
              <w:rPr>
                <w:sz w:val="21"/>
                <w:szCs w:val="21"/>
                <w:lang w:eastAsia="zh-CN"/>
              </w:rPr>
            </w:pPr>
            <w:r>
              <w:rPr>
                <w:rFonts w:hint="eastAsia"/>
                <w:sz w:val="21"/>
                <w:szCs w:val="21"/>
                <w:lang w:eastAsia="zh-CN"/>
              </w:rPr>
              <w:t>50%以上建成区面积达到管控目标要求</w:t>
            </w:r>
          </w:p>
        </w:tc>
        <w:tc>
          <w:tcPr>
            <w:tcW w:w="697" w:type="pct"/>
            <w:vAlign w:val="center"/>
          </w:tcPr>
          <w:p w14:paraId="1F3410B8">
            <w:pPr>
              <w:pStyle w:val="246"/>
              <w:spacing w:before="156" w:after="156"/>
              <w:rPr>
                <w:sz w:val="21"/>
                <w:szCs w:val="21"/>
                <w:lang w:eastAsia="zh-CN"/>
              </w:rPr>
            </w:pPr>
            <w:r>
              <w:rPr>
                <w:rFonts w:hint="eastAsia"/>
                <w:sz w:val="21"/>
                <w:szCs w:val="21"/>
                <w:lang w:eastAsia="zh-CN"/>
              </w:rPr>
              <w:t>80%以上建成区面积达到管控目标要求</w:t>
            </w:r>
          </w:p>
        </w:tc>
        <w:tc>
          <w:tcPr>
            <w:tcW w:w="747" w:type="pct"/>
            <w:gridSpan w:val="2"/>
            <w:vAlign w:val="center"/>
          </w:tcPr>
          <w:p w14:paraId="2B722CA6">
            <w:pPr>
              <w:pStyle w:val="246"/>
              <w:spacing w:before="156" w:after="156"/>
              <w:rPr>
                <w:sz w:val="21"/>
                <w:szCs w:val="21"/>
                <w:lang w:eastAsia="zh-CN"/>
              </w:rPr>
            </w:pPr>
            <w:r>
              <w:rPr>
                <w:rFonts w:hint="eastAsia"/>
                <w:sz w:val="21"/>
                <w:szCs w:val="21"/>
                <w:lang w:eastAsia="zh-CN"/>
              </w:rPr>
              <w:t>85%以上建成区面积达到管控目标要求</w:t>
            </w:r>
          </w:p>
        </w:tc>
        <w:tc>
          <w:tcPr>
            <w:tcW w:w="895" w:type="pct"/>
            <w:vAlign w:val="center"/>
          </w:tcPr>
          <w:p w14:paraId="5627B2EC">
            <w:pPr>
              <w:pStyle w:val="246"/>
              <w:spacing w:before="156" w:after="156"/>
              <w:rPr>
                <w:sz w:val="21"/>
                <w:szCs w:val="21"/>
              </w:rPr>
            </w:pPr>
            <w:r>
              <w:rPr>
                <w:rFonts w:hint="eastAsia"/>
                <w:sz w:val="21"/>
                <w:szCs w:val="21"/>
                <w:lang w:eastAsia="zh-CN"/>
              </w:rPr>
              <w:t>定量（鼓励性）</w:t>
            </w:r>
          </w:p>
        </w:tc>
      </w:tr>
      <w:tr w14:paraId="7A13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restart"/>
            <w:vAlign w:val="center"/>
          </w:tcPr>
          <w:p w14:paraId="654317A0">
            <w:pPr>
              <w:pStyle w:val="246"/>
              <w:spacing w:before="156" w:after="156"/>
              <w:rPr>
                <w:sz w:val="21"/>
                <w:szCs w:val="21"/>
              </w:rPr>
            </w:pPr>
            <w:r>
              <w:rPr>
                <w:sz w:val="21"/>
                <w:szCs w:val="21"/>
              </w:rPr>
              <w:t>水资源</w:t>
            </w:r>
          </w:p>
        </w:tc>
        <w:tc>
          <w:tcPr>
            <w:tcW w:w="367" w:type="pct"/>
            <w:vAlign w:val="center"/>
          </w:tcPr>
          <w:p w14:paraId="59EE399A">
            <w:pPr>
              <w:pStyle w:val="246"/>
              <w:spacing w:before="156" w:after="156"/>
              <w:rPr>
                <w:sz w:val="21"/>
                <w:szCs w:val="21"/>
              </w:rPr>
            </w:pPr>
            <w:r>
              <w:rPr>
                <w:sz w:val="21"/>
                <w:szCs w:val="21"/>
              </w:rPr>
              <w:t>14</w:t>
            </w:r>
          </w:p>
        </w:tc>
        <w:tc>
          <w:tcPr>
            <w:tcW w:w="976" w:type="pct"/>
            <w:vAlign w:val="center"/>
          </w:tcPr>
          <w:p w14:paraId="2324B90A">
            <w:pPr>
              <w:pStyle w:val="246"/>
              <w:spacing w:before="156" w:after="156"/>
              <w:rPr>
                <w:sz w:val="21"/>
                <w:szCs w:val="21"/>
              </w:rPr>
            </w:pPr>
            <w:r>
              <w:rPr>
                <w:sz w:val="21"/>
                <w:szCs w:val="21"/>
              </w:rPr>
              <w:t>污水再生利用率</w:t>
            </w:r>
          </w:p>
        </w:tc>
        <w:tc>
          <w:tcPr>
            <w:tcW w:w="865" w:type="pct"/>
            <w:vAlign w:val="center"/>
          </w:tcPr>
          <w:p w14:paraId="52DB8448">
            <w:pPr>
              <w:pStyle w:val="246"/>
              <w:spacing w:before="156" w:after="156"/>
              <w:rPr>
                <w:sz w:val="21"/>
                <w:szCs w:val="21"/>
              </w:rPr>
            </w:pPr>
            <w:r>
              <w:rPr>
                <w:sz w:val="21"/>
                <w:szCs w:val="21"/>
              </w:rPr>
              <w:t>6%</w:t>
            </w:r>
          </w:p>
        </w:tc>
        <w:tc>
          <w:tcPr>
            <w:tcW w:w="697" w:type="pct"/>
            <w:vAlign w:val="center"/>
          </w:tcPr>
          <w:p w14:paraId="4A6E9B38">
            <w:pPr>
              <w:pStyle w:val="246"/>
              <w:spacing w:before="156" w:after="156"/>
              <w:rPr>
                <w:sz w:val="21"/>
                <w:szCs w:val="21"/>
                <w:lang w:eastAsia="zh-CN"/>
              </w:rPr>
            </w:pPr>
            <w:r>
              <w:rPr>
                <w:rFonts w:hint="eastAsia"/>
                <w:sz w:val="21"/>
                <w:szCs w:val="21"/>
                <w:lang w:eastAsia="zh-CN"/>
              </w:rPr>
              <w:t>1</w:t>
            </w:r>
            <w:r>
              <w:rPr>
                <w:sz w:val="21"/>
                <w:szCs w:val="21"/>
                <w:lang w:eastAsia="zh-CN"/>
              </w:rPr>
              <w:t>0</w:t>
            </w:r>
            <w:r>
              <w:rPr>
                <w:sz w:val="21"/>
                <w:szCs w:val="21"/>
              </w:rPr>
              <w:t>%</w:t>
            </w:r>
          </w:p>
        </w:tc>
        <w:tc>
          <w:tcPr>
            <w:tcW w:w="747" w:type="pct"/>
            <w:gridSpan w:val="2"/>
            <w:vAlign w:val="center"/>
          </w:tcPr>
          <w:p w14:paraId="10457DC0">
            <w:pPr>
              <w:pStyle w:val="246"/>
              <w:spacing w:before="156" w:after="156"/>
              <w:rPr>
                <w:sz w:val="21"/>
                <w:szCs w:val="21"/>
              </w:rPr>
            </w:pPr>
            <w:r>
              <w:rPr>
                <w:sz w:val="21"/>
                <w:szCs w:val="21"/>
              </w:rPr>
              <w:t>15%</w:t>
            </w:r>
          </w:p>
        </w:tc>
        <w:tc>
          <w:tcPr>
            <w:tcW w:w="895" w:type="pct"/>
            <w:vAlign w:val="center"/>
          </w:tcPr>
          <w:p w14:paraId="54F5F063">
            <w:pPr>
              <w:pStyle w:val="246"/>
              <w:spacing w:before="156" w:after="156"/>
              <w:rPr>
                <w:sz w:val="21"/>
                <w:szCs w:val="21"/>
              </w:rPr>
            </w:pPr>
            <w:r>
              <w:rPr>
                <w:rFonts w:hint="eastAsia"/>
                <w:sz w:val="21"/>
                <w:szCs w:val="21"/>
                <w:lang w:eastAsia="zh-CN"/>
              </w:rPr>
              <w:t>定量（鼓励性）</w:t>
            </w:r>
          </w:p>
        </w:tc>
      </w:tr>
      <w:tr w14:paraId="65ED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682A2BBF">
            <w:pPr>
              <w:pStyle w:val="246"/>
              <w:spacing w:before="156" w:after="156"/>
              <w:rPr>
                <w:sz w:val="21"/>
                <w:szCs w:val="21"/>
              </w:rPr>
            </w:pPr>
          </w:p>
        </w:tc>
        <w:tc>
          <w:tcPr>
            <w:tcW w:w="367" w:type="pct"/>
            <w:vAlign w:val="center"/>
          </w:tcPr>
          <w:p w14:paraId="34DD2D35">
            <w:pPr>
              <w:pStyle w:val="246"/>
              <w:spacing w:before="156" w:after="156"/>
              <w:rPr>
                <w:sz w:val="21"/>
                <w:szCs w:val="21"/>
              </w:rPr>
            </w:pPr>
            <w:r>
              <w:rPr>
                <w:sz w:val="21"/>
                <w:szCs w:val="21"/>
              </w:rPr>
              <w:t>15</w:t>
            </w:r>
          </w:p>
        </w:tc>
        <w:tc>
          <w:tcPr>
            <w:tcW w:w="976" w:type="pct"/>
            <w:vAlign w:val="center"/>
          </w:tcPr>
          <w:p w14:paraId="241C1688">
            <w:pPr>
              <w:pStyle w:val="246"/>
              <w:spacing w:before="156" w:after="156"/>
              <w:rPr>
                <w:sz w:val="21"/>
                <w:szCs w:val="21"/>
              </w:rPr>
            </w:pPr>
            <w:r>
              <w:rPr>
                <w:sz w:val="21"/>
                <w:szCs w:val="21"/>
              </w:rPr>
              <w:t>雨水资源</w:t>
            </w:r>
            <w:r>
              <w:rPr>
                <w:rFonts w:hint="eastAsia"/>
                <w:sz w:val="21"/>
                <w:szCs w:val="21"/>
                <w:lang w:eastAsia="zh-CN"/>
              </w:rPr>
              <w:t>化利用</w:t>
            </w:r>
          </w:p>
        </w:tc>
        <w:tc>
          <w:tcPr>
            <w:tcW w:w="865" w:type="pct"/>
            <w:vAlign w:val="center"/>
          </w:tcPr>
          <w:p w14:paraId="649935CC">
            <w:pPr>
              <w:pStyle w:val="246"/>
              <w:spacing w:before="156" w:after="156"/>
              <w:rPr>
                <w:sz w:val="21"/>
                <w:szCs w:val="21"/>
              </w:rPr>
            </w:pPr>
            <w:r>
              <w:rPr>
                <w:rFonts w:hint="eastAsia"/>
                <w:sz w:val="21"/>
                <w:szCs w:val="21"/>
              </w:rPr>
              <w:t>5万吨/年</w:t>
            </w:r>
          </w:p>
        </w:tc>
        <w:tc>
          <w:tcPr>
            <w:tcW w:w="697" w:type="pct"/>
            <w:vAlign w:val="center"/>
          </w:tcPr>
          <w:p w14:paraId="64B1BD81">
            <w:pPr>
              <w:pStyle w:val="246"/>
              <w:spacing w:before="156" w:after="156"/>
              <w:rPr>
                <w:sz w:val="21"/>
                <w:szCs w:val="21"/>
                <w:lang w:eastAsia="zh-CN"/>
              </w:rPr>
            </w:pPr>
            <w:r>
              <w:rPr>
                <w:sz w:val="21"/>
                <w:szCs w:val="21"/>
              </w:rPr>
              <w:t>10</w:t>
            </w:r>
            <w:r>
              <w:rPr>
                <w:rFonts w:hint="eastAsia"/>
                <w:sz w:val="21"/>
                <w:szCs w:val="21"/>
              </w:rPr>
              <w:t>万吨/年</w:t>
            </w:r>
          </w:p>
        </w:tc>
        <w:tc>
          <w:tcPr>
            <w:tcW w:w="747" w:type="pct"/>
            <w:gridSpan w:val="2"/>
            <w:vAlign w:val="center"/>
          </w:tcPr>
          <w:p w14:paraId="11BFFB5F">
            <w:pPr>
              <w:pStyle w:val="246"/>
              <w:spacing w:before="156" w:after="156"/>
              <w:rPr>
                <w:sz w:val="21"/>
                <w:szCs w:val="21"/>
              </w:rPr>
            </w:pPr>
            <w:r>
              <w:rPr>
                <w:sz w:val="21"/>
                <w:szCs w:val="21"/>
              </w:rPr>
              <w:t>20</w:t>
            </w:r>
            <w:r>
              <w:rPr>
                <w:rFonts w:hint="eastAsia"/>
                <w:sz w:val="21"/>
                <w:szCs w:val="21"/>
              </w:rPr>
              <w:t>万吨/年</w:t>
            </w:r>
          </w:p>
        </w:tc>
        <w:tc>
          <w:tcPr>
            <w:tcW w:w="895" w:type="pct"/>
            <w:vAlign w:val="center"/>
          </w:tcPr>
          <w:p w14:paraId="0D1B2882">
            <w:pPr>
              <w:pStyle w:val="246"/>
              <w:spacing w:before="156" w:after="156"/>
              <w:rPr>
                <w:sz w:val="21"/>
                <w:szCs w:val="21"/>
              </w:rPr>
            </w:pPr>
            <w:r>
              <w:rPr>
                <w:rFonts w:hint="eastAsia"/>
                <w:sz w:val="21"/>
                <w:szCs w:val="21"/>
                <w:lang w:eastAsia="zh-CN"/>
              </w:rPr>
              <w:t>定量（鼓励性）</w:t>
            </w:r>
          </w:p>
        </w:tc>
      </w:tr>
      <w:tr w14:paraId="2EDE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Merge w:val="continue"/>
            <w:vAlign w:val="center"/>
          </w:tcPr>
          <w:p w14:paraId="6AB232A1">
            <w:pPr>
              <w:pStyle w:val="246"/>
              <w:spacing w:before="156" w:after="156"/>
              <w:rPr>
                <w:sz w:val="21"/>
                <w:szCs w:val="21"/>
              </w:rPr>
            </w:pPr>
          </w:p>
        </w:tc>
        <w:tc>
          <w:tcPr>
            <w:tcW w:w="367" w:type="pct"/>
            <w:vAlign w:val="center"/>
          </w:tcPr>
          <w:p w14:paraId="514D484B">
            <w:pPr>
              <w:pStyle w:val="246"/>
              <w:spacing w:before="156" w:after="156"/>
              <w:rPr>
                <w:sz w:val="21"/>
                <w:szCs w:val="21"/>
              </w:rPr>
            </w:pPr>
            <w:r>
              <w:rPr>
                <w:sz w:val="21"/>
                <w:szCs w:val="21"/>
              </w:rPr>
              <w:t>16</w:t>
            </w:r>
          </w:p>
        </w:tc>
        <w:tc>
          <w:tcPr>
            <w:tcW w:w="976" w:type="pct"/>
            <w:vAlign w:val="center"/>
          </w:tcPr>
          <w:p w14:paraId="21EAA259">
            <w:pPr>
              <w:pStyle w:val="246"/>
              <w:spacing w:before="0" w:beforeLines="0" w:after="0" w:afterLines="0"/>
              <w:rPr>
                <w:sz w:val="21"/>
                <w:szCs w:val="21"/>
                <w:lang w:eastAsia="zh-CN"/>
              </w:rPr>
            </w:pPr>
            <w:r>
              <w:rPr>
                <w:rFonts w:hint="eastAsia"/>
                <w:sz w:val="21"/>
                <w:szCs w:val="21"/>
                <w:lang w:eastAsia="zh-CN"/>
              </w:rPr>
              <w:t>城市公共供水管网漏损率</w:t>
            </w:r>
          </w:p>
        </w:tc>
        <w:tc>
          <w:tcPr>
            <w:tcW w:w="865" w:type="pct"/>
            <w:vAlign w:val="center"/>
          </w:tcPr>
          <w:p w14:paraId="4162F292">
            <w:pPr>
              <w:pStyle w:val="246"/>
              <w:spacing w:before="156" w:after="156"/>
              <w:rPr>
                <w:sz w:val="21"/>
                <w:szCs w:val="21"/>
              </w:rPr>
            </w:pPr>
            <w:r>
              <w:rPr>
                <w:sz w:val="21"/>
                <w:szCs w:val="21"/>
              </w:rPr>
              <w:t xml:space="preserve">≤8.5% </w:t>
            </w:r>
          </w:p>
        </w:tc>
        <w:tc>
          <w:tcPr>
            <w:tcW w:w="697" w:type="pct"/>
            <w:vAlign w:val="center"/>
          </w:tcPr>
          <w:p w14:paraId="0C009466">
            <w:pPr>
              <w:pStyle w:val="246"/>
              <w:spacing w:before="156" w:after="156"/>
              <w:rPr>
                <w:sz w:val="21"/>
                <w:szCs w:val="21"/>
              </w:rPr>
            </w:pPr>
            <w:r>
              <w:rPr>
                <w:sz w:val="21"/>
                <w:szCs w:val="21"/>
              </w:rPr>
              <w:t>≤8.0%</w:t>
            </w:r>
          </w:p>
        </w:tc>
        <w:tc>
          <w:tcPr>
            <w:tcW w:w="747" w:type="pct"/>
            <w:gridSpan w:val="2"/>
            <w:vAlign w:val="center"/>
          </w:tcPr>
          <w:p w14:paraId="0D49B9DD">
            <w:pPr>
              <w:pStyle w:val="246"/>
              <w:spacing w:before="156" w:after="156"/>
              <w:rPr>
                <w:sz w:val="21"/>
                <w:szCs w:val="21"/>
              </w:rPr>
            </w:pPr>
            <w:r>
              <w:rPr>
                <w:sz w:val="21"/>
                <w:szCs w:val="21"/>
              </w:rPr>
              <w:t xml:space="preserve">≤7.5% </w:t>
            </w:r>
          </w:p>
        </w:tc>
        <w:tc>
          <w:tcPr>
            <w:tcW w:w="895" w:type="pct"/>
            <w:vAlign w:val="center"/>
          </w:tcPr>
          <w:p w14:paraId="606C1E96">
            <w:pPr>
              <w:pStyle w:val="246"/>
              <w:spacing w:before="156" w:after="156"/>
              <w:jc w:val="both"/>
              <w:rPr>
                <w:sz w:val="21"/>
                <w:szCs w:val="21"/>
              </w:rPr>
            </w:pPr>
            <w:r>
              <w:rPr>
                <w:rFonts w:hint="eastAsia"/>
                <w:sz w:val="21"/>
                <w:szCs w:val="21"/>
                <w:lang w:eastAsia="zh-CN"/>
              </w:rPr>
              <w:t>定量（约束性）</w:t>
            </w:r>
          </w:p>
        </w:tc>
      </w:tr>
      <w:tr w14:paraId="4017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3" w:type="pct"/>
            <w:vAlign w:val="center"/>
          </w:tcPr>
          <w:p w14:paraId="4F0F084D">
            <w:pPr>
              <w:pStyle w:val="246"/>
              <w:spacing w:before="156" w:after="156"/>
              <w:rPr>
                <w:sz w:val="21"/>
                <w:szCs w:val="21"/>
              </w:rPr>
            </w:pPr>
            <w:r>
              <w:rPr>
                <w:rFonts w:hint="eastAsia"/>
                <w:sz w:val="21"/>
                <w:szCs w:val="21"/>
                <w:lang w:eastAsia="zh-CN"/>
              </w:rPr>
              <w:t>显示度</w:t>
            </w:r>
          </w:p>
        </w:tc>
        <w:tc>
          <w:tcPr>
            <w:tcW w:w="367" w:type="pct"/>
            <w:vAlign w:val="center"/>
          </w:tcPr>
          <w:p w14:paraId="0EBE5601">
            <w:pPr>
              <w:pStyle w:val="246"/>
              <w:spacing w:before="156" w:after="156"/>
              <w:rPr>
                <w:sz w:val="21"/>
                <w:szCs w:val="21"/>
              </w:rPr>
            </w:pPr>
            <w:r>
              <w:rPr>
                <w:sz w:val="21"/>
                <w:szCs w:val="21"/>
                <w:lang w:eastAsia="zh-CN"/>
              </w:rPr>
              <w:t>17</w:t>
            </w:r>
          </w:p>
        </w:tc>
        <w:tc>
          <w:tcPr>
            <w:tcW w:w="976" w:type="pct"/>
            <w:vAlign w:val="center"/>
          </w:tcPr>
          <w:p w14:paraId="36F62AA6">
            <w:pPr>
              <w:pStyle w:val="246"/>
              <w:spacing w:before="156" w:after="156"/>
              <w:rPr>
                <w:sz w:val="21"/>
                <w:szCs w:val="21"/>
              </w:rPr>
            </w:pPr>
            <w:r>
              <w:rPr>
                <w:rFonts w:hint="eastAsia"/>
                <w:sz w:val="21"/>
                <w:szCs w:val="21"/>
              </w:rPr>
              <w:t>连片示范效应</w:t>
            </w:r>
          </w:p>
        </w:tc>
        <w:tc>
          <w:tcPr>
            <w:tcW w:w="865" w:type="pct"/>
            <w:vAlign w:val="center"/>
          </w:tcPr>
          <w:p w14:paraId="1CCEE452">
            <w:pPr>
              <w:pStyle w:val="246"/>
              <w:spacing w:before="156" w:after="156"/>
              <w:rPr>
                <w:sz w:val="21"/>
                <w:szCs w:val="21"/>
                <w:lang w:eastAsia="zh-CN"/>
              </w:rPr>
            </w:pPr>
            <w:r>
              <w:rPr>
                <w:rFonts w:hint="eastAsia"/>
                <w:sz w:val="21"/>
                <w:szCs w:val="21"/>
                <w:lang w:eastAsia="zh-CN"/>
              </w:rPr>
              <w:t>50%以上建成区面积达到海绵城市建设要求</w:t>
            </w:r>
          </w:p>
        </w:tc>
        <w:tc>
          <w:tcPr>
            <w:tcW w:w="697" w:type="pct"/>
            <w:vAlign w:val="center"/>
          </w:tcPr>
          <w:p w14:paraId="4819D23D">
            <w:pPr>
              <w:pStyle w:val="246"/>
              <w:spacing w:before="156" w:after="156"/>
              <w:rPr>
                <w:sz w:val="21"/>
                <w:szCs w:val="21"/>
                <w:lang w:eastAsia="zh-CN"/>
              </w:rPr>
            </w:pPr>
            <w:r>
              <w:rPr>
                <w:sz w:val="21"/>
                <w:szCs w:val="21"/>
                <w:lang w:eastAsia="zh-CN"/>
              </w:rPr>
              <w:t>80</w:t>
            </w:r>
            <w:r>
              <w:rPr>
                <w:rFonts w:hint="eastAsia"/>
                <w:sz w:val="21"/>
                <w:szCs w:val="21"/>
                <w:lang w:eastAsia="zh-CN"/>
              </w:rPr>
              <w:t>%以上建成区面积达到海绵城市建设要求</w:t>
            </w:r>
          </w:p>
        </w:tc>
        <w:tc>
          <w:tcPr>
            <w:tcW w:w="747" w:type="pct"/>
            <w:gridSpan w:val="2"/>
            <w:vAlign w:val="center"/>
          </w:tcPr>
          <w:p w14:paraId="21A34DB2">
            <w:pPr>
              <w:pStyle w:val="246"/>
              <w:spacing w:before="156" w:after="156"/>
              <w:rPr>
                <w:sz w:val="21"/>
                <w:szCs w:val="21"/>
                <w:lang w:eastAsia="zh-CN"/>
              </w:rPr>
            </w:pPr>
            <w:r>
              <w:rPr>
                <w:sz w:val="21"/>
                <w:szCs w:val="21"/>
                <w:lang w:eastAsia="zh-CN"/>
              </w:rPr>
              <w:t>85</w:t>
            </w:r>
            <w:r>
              <w:rPr>
                <w:rFonts w:hint="eastAsia"/>
                <w:sz w:val="21"/>
                <w:szCs w:val="21"/>
                <w:lang w:eastAsia="zh-CN"/>
              </w:rPr>
              <w:t>%以上建成区面积达到海绵城市建设要求</w:t>
            </w:r>
          </w:p>
        </w:tc>
        <w:tc>
          <w:tcPr>
            <w:tcW w:w="895" w:type="pct"/>
            <w:vAlign w:val="center"/>
          </w:tcPr>
          <w:p w14:paraId="10E86FD9">
            <w:pPr>
              <w:pStyle w:val="246"/>
              <w:spacing w:before="156" w:after="156"/>
              <w:rPr>
                <w:sz w:val="21"/>
                <w:szCs w:val="21"/>
                <w:lang w:eastAsia="zh-CN"/>
              </w:rPr>
            </w:pPr>
            <w:r>
              <w:rPr>
                <w:rFonts w:hint="eastAsia"/>
                <w:sz w:val="21"/>
                <w:szCs w:val="21"/>
                <w:lang w:eastAsia="zh-CN"/>
              </w:rPr>
              <w:t>定性（约束性）</w:t>
            </w:r>
          </w:p>
        </w:tc>
      </w:tr>
      <w:bookmarkEnd w:id="16"/>
    </w:tbl>
    <w:p w14:paraId="145FFA1D">
      <w:pPr>
        <w:pStyle w:val="3"/>
      </w:pPr>
      <w:bookmarkStart w:id="19" w:name="_Toc205791779"/>
      <w:r>
        <w:rPr>
          <w:rFonts w:hint="eastAsia"/>
        </w:rPr>
        <w:t>四、</w:t>
      </w:r>
      <w:bookmarkEnd w:id="19"/>
      <w:r>
        <w:rPr>
          <w:rFonts w:hint="eastAsia"/>
        </w:rPr>
        <w:t>海绵城市自然生态空间格局及保护</w:t>
      </w:r>
    </w:p>
    <w:p w14:paraId="737354D6">
      <w:pPr>
        <w:ind w:firstLine="560"/>
      </w:pPr>
      <w:r>
        <w:rPr>
          <w:rFonts w:hint="eastAsia"/>
        </w:rPr>
        <w:t>规划依托山、水、林、田等自然生态资源搭建城市海绵空间基底，推动城市绿色空间、蓝色空间与区域自然生态要素的有机衔接，塑造生态托底、蓝绿清新的保护格局，构建三明市中心城区</w:t>
      </w:r>
      <w:r>
        <w:rPr>
          <w:rFonts w:hint="eastAsia"/>
          <w:b/>
        </w:rPr>
        <w:t>“一曲贯城，九脉交织；两翼环拥，千峰叠嶂；林海错落，园田星缀”</w:t>
      </w:r>
      <w:r>
        <w:rPr>
          <w:rFonts w:hint="eastAsia"/>
        </w:rPr>
        <w:t>的海绵城市自然生态空间格局。</w:t>
      </w:r>
    </w:p>
    <w:p w14:paraId="2A8A7B59">
      <w:pPr>
        <w:ind w:firstLine="562"/>
      </w:pPr>
      <w:r>
        <w:rPr>
          <w:rFonts w:hint="eastAsia"/>
          <w:b/>
        </w:rPr>
        <w:t>（</w:t>
      </w:r>
      <w:r>
        <w:rPr>
          <w:b/>
        </w:rPr>
        <w:t>1</w:t>
      </w:r>
      <w:r>
        <w:rPr>
          <w:rFonts w:hint="eastAsia"/>
          <w:b/>
        </w:rPr>
        <w:t>）一曲贯城，九脉交织</w:t>
      </w:r>
      <w:r>
        <w:rPr>
          <w:rFonts w:hint="eastAsia"/>
        </w:rPr>
        <w:t>——以沙溪为主轴，以中心城区九大支流水系及其他小河溪流为脉络，结合两岸滨河绿带，形成横纵交织的蓝绿生态廊道。</w:t>
      </w:r>
    </w:p>
    <w:p w14:paraId="3B411AB2">
      <w:pPr>
        <w:ind w:firstLine="562"/>
      </w:pPr>
      <w:r>
        <w:rPr>
          <w:rFonts w:hint="eastAsia"/>
          <w:b/>
        </w:rPr>
        <w:t>（</w:t>
      </w:r>
      <w:r>
        <w:rPr>
          <w:b/>
        </w:rPr>
        <w:t>2</w:t>
      </w:r>
      <w:r>
        <w:rPr>
          <w:rFonts w:hint="eastAsia"/>
          <w:b/>
        </w:rPr>
        <w:t>）两翼环拥，千峰叠嶂</w:t>
      </w:r>
      <w:r>
        <w:rPr>
          <w:rFonts w:hint="eastAsia"/>
        </w:rPr>
        <w:t>——以沙溪两岸群山带为城区生态护翼，以山脉绿楔为组团生态屏障，结合漫山郊野绿林，形成绿荫连绵的区域生态基底和安全屏障。</w:t>
      </w:r>
    </w:p>
    <w:p w14:paraId="54026F46">
      <w:pPr>
        <w:ind w:firstLine="562"/>
      </w:pPr>
      <w:r>
        <w:rPr>
          <w:rFonts w:hint="eastAsia"/>
          <w:b/>
        </w:rPr>
        <w:t>（3）林海错落，园田星缀</w:t>
      </w:r>
      <w:r>
        <w:rPr>
          <w:rFonts w:hint="eastAsia"/>
        </w:rPr>
        <w:t>——以自然保护区、森林公园、水源保护区等自然保护地为区域生态绿斑，以城区公园绿地城市绿心，结合绿道绿带及郊野农田生态要素，形成生态绿斑、绿点、绿带有机串联的绿色网络。</w:t>
      </w:r>
    </w:p>
    <w:p w14:paraId="22872422">
      <w:pPr>
        <w:pStyle w:val="3"/>
      </w:pPr>
      <w:bookmarkStart w:id="20" w:name="_Toc205791797"/>
      <w:r>
        <w:rPr>
          <w:rFonts w:hint="eastAsia"/>
        </w:rPr>
        <w:t>五、</w:t>
      </w:r>
      <w:bookmarkEnd w:id="20"/>
      <w:r>
        <w:rPr>
          <w:rFonts w:hint="eastAsia"/>
        </w:rPr>
        <w:t>海绵城市基础设施体系规划</w:t>
      </w:r>
    </w:p>
    <w:p w14:paraId="08AC8C63">
      <w:pPr>
        <w:ind w:firstLine="560"/>
        <w:rPr>
          <w:rFonts w:ascii="宋体" w:hAnsi="宋体"/>
          <w:szCs w:val="28"/>
        </w:rPr>
      </w:pPr>
      <w:r>
        <w:rPr>
          <w:rFonts w:hint="eastAsia" w:ascii="宋体" w:hAnsi="宋体"/>
          <w:szCs w:val="28"/>
        </w:rPr>
        <w:t>1</w:t>
      </w:r>
      <w:r>
        <w:rPr>
          <w:rFonts w:hint="eastAsia" w:ascii="宋体" w:hAnsi="宋体"/>
          <w:szCs w:val="28"/>
          <w:lang w:eastAsia="zh-CN"/>
        </w:rPr>
        <w:t>.</w:t>
      </w:r>
      <w:r>
        <w:rPr>
          <w:rFonts w:hint="eastAsia" w:ascii="宋体" w:hAnsi="宋体"/>
          <w:szCs w:val="28"/>
        </w:rPr>
        <w:t>水安全保障规划</w:t>
      </w:r>
    </w:p>
    <w:p w14:paraId="5E9257BA">
      <w:pPr>
        <w:ind w:firstLine="560"/>
        <w:rPr>
          <w:rFonts w:ascii="宋体" w:hAnsi="宋体"/>
          <w:szCs w:val="28"/>
        </w:rPr>
      </w:pPr>
      <w:r>
        <w:rPr>
          <w:rFonts w:hint="eastAsia" w:ascii="宋体" w:hAnsi="宋体"/>
          <w:szCs w:val="28"/>
        </w:rPr>
        <w:t>流域层面，通过安砂水库加高扩蓄、新建美坂水库、实施病险水库除险加固，以及</w:t>
      </w:r>
      <w:r>
        <w:rPr>
          <w:rFonts w:ascii="宋体" w:hAnsi="宋体"/>
          <w:szCs w:val="28"/>
        </w:rPr>
        <w:t>东牙溪</w:t>
      </w:r>
      <w:r>
        <w:rPr>
          <w:rFonts w:hint="eastAsia" w:ascii="宋体" w:hAnsi="宋体"/>
          <w:szCs w:val="28"/>
        </w:rPr>
        <w:t>、薯沙溪、豆士溪等主要支流的中小河流治理，完善流域防洪减灾体系。</w:t>
      </w:r>
    </w:p>
    <w:p w14:paraId="2F3C6964">
      <w:pPr>
        <w:ind w:firstLine="560"/>
        <w:rPr>
          <w:rFonts w:ascii="宋体" w:hAnsi="宋体"/>
          <w:szCs w:val="28"/>
        </w:rPr>
      </w:pPr>
      <w:r>
        <w:rPr>
          <w:rFonts w:hint="eastAsia" w:ascii="宋体" w:hAnsi="宋体"/>
          <w:szCs w:val="28"/>
        </w:rPr>
        <w:t>中心城区层面，针对三明“山地陡峭</w:t>
      </w:r>
      <w:r>
        <w:rPr>
          <w:rFonts w:ascii="宋体" w:hAnsi="宋体"/>
          <w:szCs w:val="28"/>
        </w:rPr>
        <w:t>+城区低洼+外江顶托”的复合型洪涝风险，</w:t>
      </w:r>
      <w:r>
        <w:rPr>
          <w:rFonts w:hint="eastAsia" w:ascii="宋体" w:hAnsi="宋体"/>
          <w:szCs w:val="28"/>
        </w:rPr>
        <w:t>通过实施沙溪干流治理、城市沟渠整治、排涝体系完善等措施，</w:t>
      </w:r>
      <w:r>
        <w:rPr>
          <w:rFonts w:ascii="宋体" w:hAnsi="宋体"/>
          <w:szCs w:val="28"/>
        </w:rPr>
        <w:t>构建“上拦—中疏—下排—外挡”四级协同防控网络，</w:t>
      </w:r>
      <w:r>
        <w:rPr>
          <w:rFonts w:hint="eastAsia" w:ascii="宋体" w:hAnsi="宋体"/>
          <w:szCs w:val="28"/>
        </w:rPr>
        <w:t>同时，结合生态植草沟、生物滞留设施、雨水花园、绿色屋顶、雨水调蓄池等措施，将</w:t>
      </w:r>
      <w:r>
        <w:rPr>
          <w:rFonts w:ascii="宋体" w:hAnsi="宋体"/>
          <w:szCs w:val="28"/>
        </w:rPr>
        <w:t>“韧性海绵”</w:t>
      </w:r>
      <w:r>
        <w:rPr>
          <w:rFonts w:hint="eastAsia" w:ascii="宋体" w:hAnsi="宋体"/>
          <w:szCs w:val="28"/>
        </w:rPr>
        <w:t>融合到城市水安全体系中</w:t>
      </w:r>
      <w:r>
        <w:rPr>
          <w:rFonts w:ascii="宋体" w:hAnsi="宋体"/>
          <w:szCs w:val="28"/>
        </w:rPr>
        <w:t>，实现“山洪</w:t>
      </w:r>
      <w:r>
        <w:rPr>
          <w:rFonts w:hint="eastAsia" w:ascii="宋体" w:hAnsi="宋体"/>
          <w:szCs w:val="28"/>
        </w:rPr>
        <w:t>少</w:t>
      </w:r>
      <w:r>
        <w:rPr>
          <w:rFonts w:ascii="宋体" w:hAnsi="宋体"/>
          <w:szCs w:val="28"/>
        </w:rPr>
        <w:t>进城、涝水不漫城、外水不压城”。</w:t>
      </w:r>
    </w:p>
    <w:p w14:paraId="3BA3ED9B">
      <w:pPr>
        <w:ind w:firstLine="560"/>
        <w:rPr>
          <w:rFonts w:ascii="宋体" w:hAnsi="宋体"/>
          <w:szCs w:val="28"/>
        </w:rPr>
      </w:pPr>
      <w:r>
        <w:rPr>
          <w:rFonts w:hint="eastAsia" w:ascii="宋体" w:hAnsi="宋体"/>
          <w:szCs w:val="28"/>
          <w:lang w:eastAsia="zh-CN"/>
        </w:rPr>
        <w:t>2.</w:t>
      </w:r>
      <w:r>
        <w:rPr>
          <w:rFonts w:hint="eastAsia" w:ascii="宋体" w:hAnsi="宋体"/>
          <w:szCs w:val="28"/>
        </w:rPr>
        <w:t>水环境保障规划</w:t>
      </w:r>
    </w:p>
    <w:p w14:paraId="1ADF29B4">
      <w:pPr>
        <w:ind w:firstLine="560"/>
        <w:rPr>
          <w:rFonts w:ascii="宋体" w:hAnsi="宋体"/>
          <w:szCs w:val="28"/>
        </w:rPr>
      </w:pPr>
      <w:r>
        <w:rPr>
          <w:rFonts w:hint="eastAsia" w:ascii="宋体" w:hAnsi="宋体"/>
          <w:szCs w:val="28"/>
        </w:rPr>
        <w:t>流域层面，以流域</w:t>
      </w:r>
      <w:r>
        <w:rPr>
          <w:rFonts w:ascii="宋体" w:hAnsi="宋体"/>
          <w:szCs w:val="28"/>
        </w:rPr>
        <w:t>国控断面为核心，分区施策：上游强化水土流失治理，中游优化水电站生态流量调度，下游修复河岸缓冲带及湿地。统筹推进农业面源拦截、工业截污和农村污水处理，同步落实水电站生态基流监管，全面提升流域生态韧性。</w:t>
      </w:r>
    </w:p>
    <w:p w14:paraId="7E4FA26C">
      <w:pPr>
        <w:ind w:firstLine="560"/>
        <w:rPr>
          <w:rFonts w:ascii="宋体" w:hAnsi="宋体"/>
          <w:szCs w:val="28"/>
        </w:rPr>
      </w:pPr>
      <w:r>
        <w:rPr>
          <w:rFonts w:hint="eastAsia" w:ascii="宋体" w:hAnsi="宋体"/>
          <w:szCs w:val="28"/>
        </w:rPr>
        <w:t>中心城区层面,以点源与面源协同治理为核心，系统推进水环境提质增效。强化点源管控，优先实施列西、三钢、白沙等片区雨污分流改造，完善污水管网并扩容污水处理厂，确保旱雨季处理能力双达标。针对面源污染，合流制区域通过海绵化改造削减初期雨水污染，同步提高截流倍数控制溢流；分流制区域采用“源头生物滞留设施</w:t>
      </w:r>
      <w:r>
        <w:rPr>
          <w:rFonts w:ascii="宋体" w:hAnsi="宋体"/>
          <w:szCs w:val="28"/>
        </w:rPr>
        <w:t>+末端人工湿地”分级净化，结合内河生态清淤与活水循环提升自净能力。建立雨污管网动态监测与智能调控体系，形成“截污-减排-净化”全链条防控。</w:t>
      </w:r>
    </w:p>
    <w:p w14:paraId="501706BD">
      <w:pPr>
        <w:ind w:firstLine="560"/>
        <w:rPr>
          <w:rFonts w:ascii="宋体" w:hAnsi="宋体"/>
          <w:szCs w:val="28"/>
        </w:rPr>
      </w:pPr>
      <w:r>
        <w:rPr>
          <w:rFonts w:hint="eastAsia" w:ascii="宋体" w:hAnsi="宋体"/>
          <w:szCs w:val="28"/>
          <w:lang w:eastAsia="zh-CN"/>
        </w:rPr>
        <w:t>3.</w:t>
      </w:r>
      <w:r>
        <w:rPr>
          <w:rFonts w:hint="eastAsia" w:ascii="宋体" w:hAnsi="宋体"/>
          <w:szCs w:val="28"/>
        </w:rPr>
        <w:t>水生态保障规划</w:t>
      </w:r>
    </w:p>
    <w:p w14:paraId="1E6A6418">
      <w:pPr>
        <w:ind w:firstLine="560"/>
        <w:rPr>
          <w:rFonts w:ascii="宋体" w:hAnsi="宋体"/>
          <w:szCs w:val="28"/>
        </w:rPr>
      </w:pPr>
      <w:r>
        <w:rPr>
          <w:rFonts w:hint="eastAsia" w:ascii="宋体" w:hAnsi="宋体"/>
          <w:szCs w:val="28"/>
        </w:rPr>
        <w:t>流域层面，依托良好的生态环境，统筹山水林田湖草生态要素，发挥自然保护区、森林公园、湿地、水源保护区等各类保护空间生态功能作用，构筑网络化的生态廊道体系。</w:t>
      </w:r>
    </w:p>
    <w:p w14:paraId="728EA19E">
      <w:pPr>
        <w:ind w:firstLine="560"/>
        <w:rPr>
          <w:rFonts w:ascii="宋体" w:hAnsi="宋体"/>
          <w:szCs w:val="28"/>
        </w:rPr>
      </w:pPr>
      <w:r>
        <w:rPr>
          <w:rFonts w:hint="eastAsia" w:ascii="宋体" w:hAnsi="宋体"/>
          <w:szCs w:val="28"/>
        </w:rPr>
        <w:t>中心城区层面,</w:t>
      </w:r>
      <w:r>
        <w:rPr>
          <w:rFonts w:ascii="宋体" w:hAnsi="宋体"/>
          <w:szCs w:val="28"/>
        </w:rPr>
        <w:t>以“自然修复+功能融合”为核心，系统推进滨水空间生态化提升。河道生态修复重点优化驳岸形态，采用阶梯式、人工湿地等多形式驳岸改造，增强亲水体验与生态连通性，在关键河段保留自然驳岸，形成“生态-景观-人文”协同的滨水活力带。绿道与绿地系统以“山-水-城”融合为导向，构建海绵型滨水绿道网络，串联山体</w:t>
      </w:r>
      <w:r>
        <w:rPr>
          <w:rFonts w:hint="eastAsia" w:ascii="宋体" w:hAnsi="宋体"/>
          <w:szCs w:val="28"/>
          <w:lang w:eastAsia="zh-CN"/>
        </w:rPr>
        <w:t>绿地</w:t>
      </w:r>
      <w:r>
        <w:rPr>
          <w:rFonts w:ascii="宋体" w:hAnsi="宋体"/>
          <w:szCs w:val="28"/>
        </w:rPr>
        <w:t>、湿地公园及社区绿地，结合生态滞留池、乡土植物群落打造特色休闲空间；同步优化城市绿地布局，通过“翡翠镶金”结构织补公园绿地缺口，开放附属绿地提升市民可达性。</w:t>
      </w:r>
    </w:p>
    <w:p w14:paraId="64DB0D60">
      <w:pPr>
        <w:ind w:firstLine="560"/>
        <w:rPr>
          <w:rFonts w:ascii="宋体" w:hAnsi="宋体"/>
          <w:szCs w:val="28"/>
        </w:rPr>
      </w:pPr>
      <w:r>
        <w:rPr>
          <w:rFonts w:hint="eastAsia" w:ascii="宋体" w:hAnsi="宋体"/>
          <w:szCs w:val="28"/>
          <w:lang w:eastAsia="zh-CN"/>
        </w:rPr>
        <w:t>4.</w:t>
      </w:r>
      <w:r>
        <w:rPr>
          <w:rFonts w:hint="eastAsia" w:ascii="宋体" w:hAnsi="宋体"/>
          <w:szCs w:val="28"/>
        </w:rPr>
        <w:t>水资源保障规划</w:t>
      </w:r>
    </w:p>
    <w:p w14:paraId="429D1A21">
      <w:pPr>
        <w:ind w:firstLine="560"/>
        <w:rPr>
          <w:rFonts w:ascii="宋体" w:hAnsi="宋体"/>
          <w:szCs w:val="28"/>
        </w:rPr>
      </w:pPr>
      <w:r>
        <w:rPr>
          <w:rFonts w:hint="eastAsia" w:ascii="宋体" w:hAnsi="宋体"/>
          <w:szCs w:val="28"/>
        </w:rPr>
        <w:t>流域层面，强化流域雨水利用，完善水资源配置骨干网络。以蓄水工程、引调水工程为支撑，加快推进重大水利工程建设，提高水资源水环境承载能力，保障水源安全，全面提高流域区域水资源配置能力，及应对突发水安全事件的能力。</w:t>
      </w:r>
    </w:p>
    <w:p w14:paraId="2000404D">
      <w:pPr>
        <w:ind w:firstLine="560"/>
        <w:rPr>
          <w:rFonts w:ascii="宋体" w:hAnsi="宋体"/>
          <w:szCs w:val="28"/>
        </w:rPr>
      </w:pPr>
      <w:r>
        <w:rPr>
          <w:rFonts w:hint="eastAsia" w:ascii="宋体" w:hAnsi="宋体"/>
          <w:szCs w:val="28"/>
        </w:rPr>
        <w:t>中心城区层面,</w:t>
      </w:r>
      <w:r>
        <w:rPr>
          <w:rFonts w:ascii="宋体" w:hAnsi="宋体"/>
          <w:szCs w:val="28"/>
        </w:rPr>
        <w:t>聚焦雨水资源化与再生水回用两大体系，构建可持续水循环系统。雨水利用遵循"多级利用-空间协调-经济高效"原则：源头采用雨水罐等设施收集净化，传输过程结合地形导引径流作景观用水，末端通过湿地、调蓄池存储净化。再生水体系</w:t>
      </w:r>
      <w:r>
        <w:rPr>
          <w:rFonts w:hint="eastAsia" w:ascii="宋体" w:hAnsi="宋体"/>
          <w:szCs w:val="28"/>
        </w:rPr>
        <w:t>结合规划区污水厂分布及周边用水情况，考虑将列西污水厂的尾水回用</w:t>
      </w:r>
      <w:r>
        <w:rPr>
          <w:rFonts w:hint="eastAsia" w:ascii="宋体" w:hAnsi="宋体"/>
          <w:szCs w:val="28"/>
          <w:lang w:val="en-US" w:eastAsia="zh-CN"/>
        </w:rPr>
        <w:t>于</w:t>
      </w:r>
      <w:r>
        <w:rPr>
          <w:rFonts w:hint="eastAsia" w:ascii="宋体" w:hAnsi="宋体"/>
          <w:szCs w:val="28"/>
        </w:rPr>
        <w:t>三钢厂区</w:t>
      </w:r>
      <w:r>
        <w:rPr>
          <w:rFonts w:ascii="宋体" w:hAnsi="宋体"/>
          <w:szCs w:val="28"/>
        </w:rPr>
        <w:t>。</w:t>
      </w:r>
    </w:p>
    <w:p w14:paraId="659B632B">
      <w:pPr>
        <w:pStyle w:val="3"/>
      </w:pPr>
      <w:bookmarkStart w:id="21" w:name="_Toc205791814"/>
      <w:r>
        <w:rPr>
          <w:rFonts w:hint="eastAsia"/>
        </w:rPr>
        <w:t>六、海绵城市建设管控规划</w:t>
      </w:r>
      <w:bookmarkEnd w:id="21"/>
    </w:p>
    <w:p w14:paraId="446C1DF1">
      <w:pPr>
        <w:spacing w:line="540" w:lineRule="atLeast"/>
        <w:ind w:firstLine="560"/>
      </w:pPr>
      <w:bookmarkStart w:id="22" w:name="_Toc116408179"/>
      <w:r>
        <w:rPr>
          <w:rFonts w:hint="eastAsia"/>
        </w:rPr>
        <w:t>规划从流域水安全水生态水环境统筹需求、海绵城市建设排水单元管控要求、城市规划组团管控需求三方面考虑，提出流域管控、排水单元管控、组团单元管控3类管控，相应划分3种管控分区。</w:t>
      </w:r>
    </w:p>
    <w:p w14:paraId="02C584BD">
      <w:pPr>
        <w:spacing w:line="540" w:lineRule="atLeast"/>
        <w:ind w:firstLine="560"/>
      </w:pPr>
      <w:r>
        <w:rPr>
          <w:rFonts w:hint="eastAsia"/>
        </w:rPr>
        <w:t>（1）流域管控：以流域规划排水分区为管控单元，以保护流域海绵自然生态空间格局为目标，重点统筹流域上下游的水安全、水生态环境，促进实现水的自然良性循环、可持续循环。流域管控分区不进行年径流总量控制率管控。</w:t>
      </w:r>
    </w:p>
    <w:p w14:paraId="194FC86A">
      <w:pPr>
        <w:spacing w:line="540" w:lineRule="atLeast"/>
        <w:ind w:firstLine="560"/>
      </w:pPr>
      <w:r>
        <w:rPr>
          <w:rFonts w:hint="eastAsia"/>
        </w:rPr>
        <w:t>（</w:t>
      </w:r>
      <w:r>
        <w:t>2</w:t>
      </w:r>
      <w:r>
        <w:rPr>
          <w:rFonts w:hint="eastAsia"/>
        </w:rPr>
        <w:t>）排水单元管控：基于城市雨水管渠布局划分城市雨水排水分区，并制定排水单元分区的年径流总量控制率目标。</w:t>
      </w:r>
    </w:p>
    <w:p w14:paraId="6E82067F">
      <w:pPr>
        <w:spacing w:line="540" w:lineRule="atLeast"/>
        <w:ind w:firstLine="560"/>
      </w:pPr>
      <w:r>
        <w:rPr>
          <w:rFonts w:hint="eastAsia"/>
        </w:rPr>
        <w:t>（</w:t>
      </w:r>
      <w:r>
        <w:t>3</w:t>
      </w:r>
      <w:r>
        <w:rPr>
          <w:rFonts w:hint="eastAsia"/>
        </w:rPr>
        <w:t>）组团单元管控：参照国土空间规划的城市单元划分组团管控单元，并制定组团单元的年径流总量控制率目标，为控规阶段的指标管控提供依据。</w:t>
      </w:r>
    </w:p>
    <w:p w14:paraId="639A855A">
      <w:pPr>
        <w:spacing w:line="540" w:lineRule="atLeast"/>
        <w:ind w:firstLine="560"/>
      </w:pPr>
      <w:r>
        <w:rPr>
          <w:rFonts w:hint="eastAsia"/>
        </w:rPr>
        <w:t>具体分区及年径流总量控制率结果如下：</w:t>
      </w:r>
    </w:p>
    <w:p w14:paraId="375A699E">
      <w:pPr>
        <w:ind w:firstLine="0" w:firstLineChars="0"/>
        <w:jc w:val="center"/>
      </w:pPr>
      <w:r>
        <w:rPr>
          <w:rFonts w:hint="eastAsia"/>
        </w:rPr>
        <w:t>表6</w:t>
      </w:r>
      <w:r>
        <w:t xml:space="preserve">-1  </w:t>
      </w:r>
      <w:r>
        <w:rPr>
          <w:rFonts w:hint="eastAsia"/>
        </w:rPr>
        <w:t>流域管控分区表一览表</w:t>
      </w:r>
    </w:p>
    <w:tbl>
      <w:tblPr>
        <w:tblStyle w:val="38"/>
        <w:tblW w:w="9493" w:type="dxa"/>
        <w:jc w:val="center"/>
        <w:tblLayout w:type="autofit"/>
        <w:tblCellMar>
          <w:top w:w="0" w:type="dxa"/>
          <w:left w:w="108" w:type="dxa"/>
          <w:bottom w:w="0" w:type="dxa"/>
          <w:right w:w="108" w:type="dxa"/>
        </w:tblCellMar>
      </w:tblPr>
      <w:tblGrid>
        <w:gridCol w:w="846"/>
        <w:gridCol w:w="2220"/>
        <w:gridCol w:w="1540"/>
        <w:gridCol w:w="4887"/>
      </w:tblGrid>
      <w:tr w14:paraId="20CF9000">
        <w:tblPrEx>
          <w:tblCellMar>
            <w:top w:w="0" w:type="dxa"/>
            <w:left w:w="108" w:type="dxa"/>
            <w:bottom w:w="0" w:type="dxa"/>
            <w:right w:w="108" w:type="dxa"/>
          </w:tblCellMar>
        </w:tblPrEx>
        <w:trPr>
          <w:trHeight w:val="340" w:hRule="exact"/>
          <w:jc w:val="center"/>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14:paraId="0C2BEA02">
            <w:pPr>
              <w:widowControl/>
              <w:ind w:firstLine="0" w:firstLineChars="0"/>
              <w:jc w:val="center"/>
              <w:rPr>
                <w:rFonts w:ascii="宋体" w:hAnsi="宋体" w:cs="宋体"/>
                <w:kern w:val="0"/>
                <w:sz w:val="24"/>
                <w:szCs w:val="24"/>
              </w:rPr>
            </w:pPr>
            <w:r>
              <w:rPr>
                <w:rFonts w:hint="eastAsia" w:ascii="宋体" w:hAnsi="宋体" w:cs="宋体"/>
                <w:kern w:val="0"/>
                <w:sz w:val="24"/>
                <w:szCs w:val="24"/>
              </w:rPr>
              <w:t>编号</w:t>
            </w:r>
          </w:p>
        </w:tc>
        <w:tc>
          <w:tcPr>
            <w:tcW w:w="2220" w:type="dxa"/>
            <w:vMerge w:val="restart"/>
            <w:tcBorders>
              <w:top w:val="single" w:color="auto" w:sz="4" w:space="0"/>
              <w:left w:val="single" w:color="auto" w:sz="4" w:space="0"/>
              <w:bottom w:val="single" w:color="auto" w:sz="4" w:space="0"/>
              <w:right w:val="single" w:color="auto" w:sz="4" w:space="0"/>
            </w:tcBorders>
            <w:noWrap/>
            <w:vAlign w:val="center"/>
          </w:tcPr>
          <w:p w14:paraId="0BBD1769">
            <w:pPr>
              <w:widowControl/>
              <w:ind w:firstLine="0" w:firstLineChars="0"/>
              <w:jc w:val="center"/>
              <w:rPr>
                <w:rFonts w:ascii="宋体" w:hAnsi="宋体" w:cs="宋体"/>
                <w:kern w:val="0"/>
                <w:sz w:val="24"/>
                <w:szCs w:val="24"/>
              </w:rPr>
            </w:pPr>
            <w:r>
              <w:rPr>
                <w:rFonts w:hint="eastAsia" w:ascii="宋体" w:hAnsi="宋体" w:cs="宋体"/>
                <w:kern w:val="0"/>
                <w:sz w:val="24"/>
                <w:szCs w:val="24"/>
              </w:rPr>
              <w:t>流域管控分区名称</w:t>
            </w:r>
          </w:p>
        </w:tc>
        <w:tc>
          <w:tcPr>
            <w:tcW w:w="1540" w:type="dxa"/>
            <w:vMerge w:val="restart"/>
            <w:tcBorders>
              <w:top w:val="single" w:color="auto" w:sz="4" w:space="0"/>
              <w:left w:val="single" w:color="auto" w:sz="4" w:space="0"/>
              <w:bottom w:val="single" w:color="000000" w:sz="4" w:space="0"/>
              <w:right w:val="single" w:color="auto" w:sz="4" w:space="0"/>
            </w:tcBorders>
            <w:noWrap/>
            <w:vAlign w:val="center"/>
          </w:tcPr>
          <w:p w14:paraId="7037D1F6">
            <w:pPr>
              <w:widowControl/>
              <w:ind w:firstLine="0" w:firstLineChars="0"/>
              <w:jc w:val="center"/>
              <w:rPr>
                <w:rFonts w:ascii="宋体" w:hAnsi="宋体" w:cs="宋体"/>
                <w:kern w:val="0"/>
                <w:sz w:val="24"/>
                <w:szCs w:val="24"/>
              </w:rPr>
            </w:pPr>
            <w:r>
              <w:rPr>
                <w:rFonts w:hint="eastAsia" w:ascii="宋体" w:hAnsi="宋体" w:cs="宋体"/>
                <w:kern w:val="0"/>
                <w:sz w:val="24"/>
                <w:szCs w:val="24"/>
              </w:rPr>
              <w:t>面积（km</w:t>
            </w:r>
            <w:r>
              <w:rPr>
                <w:rFonts w:hint="eastAsia" w:ascii="宋体" w:hAnsi="宋体" w:cs="宋体"/>
                <w:kern w:val="0"/>
                <w:sz w:val="24"/>
                <w:szCs w:val="24"/>
                <w:vertAlign w:val="superscript"/>
              </w:rPr>
              <w:t>2</w:t>
            </w:r>
            <w:r>
              <w:rPr>
                <w:rFonts w:hint="eastAsia" w:ascii="宋体" w:hAnsi="宋体" w:cs="宋体"/>
                <w:kern w:val="0"/>
                <w:sz w:val="24"/>
                <w:szCs w:val="24"/>
              </w:rPr>
              <w:t>）</w:t>
            </w:r>
          </w:p>
        </w:tc>
        <w:tc>
          <w:tcPr>
            <w:tcW w:w="4887" w:type="dxa"/>
            <w:vMerge w:val="restart"/>
            <w:tcBorders>
              <w:top w:val="single" w:color="auto" w:sz="4" w:space="0"/>
              <w:left w:val="single" w:color="auto" w:sz="4" w:space="0"/>
              <w:bottom w:val="single" w:color="000000" w:sz="4" w:space="0"/>
              <w:right w:val="single" w:color="auto" w:sz="4" w:space="0"/>
            </w:tcBorders>
            <w:noWrap/>
            <w:vAlign w:val="center"/>
          </w:tcPr>
          <w:p w14:paraId="287EBAC3">
            <w:pPr>
              <w:widowControl/>
              <w:ind w:firstLine="0" w:firstLineChars="0"/>
              <w:jc w:val="center"/>
              <w:rPr>
                <w:rFonts w:ascii="宋体" w:hAnsi="宋体" w:cs="宋体"/>
                <w:kern w:val="0"/>
                <w:sz w:val="24"/>
                <w:szCs w:val="24"/>
              </w:rPr>
            </w:pPr>
            <w:r>
              <w:rPr>
                <w:rFonts w:hint="eastAsia" w:ascii="宋体" w:hAnsi="宋体" w:cs="宋体"/>
                <w:kern w:val="0"/>
                <w:sz w:val="24"/>
                <w:szCs w:val="24"/>
              </w:rPr>
              <w:t>主要水系</w:t>
            </w:r>
          </w:p>
        </w:tc>
      </w:tr>
      <w:tr w14:paraId="488B0FEA">
        <w:tblPrEx>
          <w:tblCellMar>
            <w:top w:w="0" w:type="dxa"/>
            <w:left w:w="108" w:type="dxa"/>
            <w:bottom w:w="0" w:type="dxa"/>
            <w:right w:w="108" w:type="dxa"/>
          </w:tblCellMar>
        </w:tblPrEx>
        <w:trPr>
          <w:trHeight w:val="237" w:hRule="exac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55D41C93">
            <w:pPr>
              <w:widowControl/>
              <w:ind w:firstLine="0" w:firstLineChars="0"/>
              <w:jc w:val="left"/>
              <w:rPr>
                <w:rFonts w:ascii="宋体" w:hAnsi="宋体" w:cs="宋体"/>
                <w:kern w:val="0"/>
                <w:sz w:val="24"/>
                <w:szCs w:val="24"/>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14:paraId="455925AB">
            <w:pPr>
              <w:widowControl/>
              <w:ind w:firstLine="0" w:firstLineChars="0"/>
              <w:jc w:val="left"/>
              <w:rPr>
                <w:rFonts w:ascii="宋体" w:hAnsi="宋体" w:cs="宋体"/>
                <w:kern w:val="0"/>
                <w:sz w:val="24"/>
                <w:szCs w:val="24"/>
              </w:rPr>
            </w:pPr>
          </w:p>
        </w:tc>
        <w:tc>
          <w:tcPr>
            <w:tcW w:w="1540" w:type="dxa"/>
            <w:vMerge w:val="continue"/>
            <w:tcBorders>
              <w:top w:val="single" w:color="auto" w:sz="4" w:space="0"/>
              <w:left w:val="single" w:color="auto" w:sz="4" w:space="0"/>
              <w:bottom w:val="single" w:color="000000" w:sz="4" w:space="0"/>
              <w:right w:val="single" w:color="auto" w:sz="4" w:space="0"/>
            </w:tcBorders>
            <w:vAlign w:val="center"/>
          </w:tcPr>
          <w:p w14:paraId="0806EB0A">
            <w:pPr>
              <w:widowControl/>
              <w:ind w:firstLine="0" w:firstLineChars="0"/>
              <w:jc w:val="left"/>
              <w:rPr>
                <w:rFonts w:ascii="宋体" w:hAnsi="宋体" w:cs="宋体"/>
                <w:kern w:val="0"/>
                <w:sz w:val="24"/>
                <w:szCs w:val="24"/>
              </w:rPr>
            </w:pPr>
          </w:p>
        </w:tc>
        <w:tc>
          <w:tcPr>
            <w:tcW w:w="4887" w:type="dxa"/>
            <w:vMerge w:val="continue"/>
            <w:tcBorders>
              <w:top w:val="single" w:color="auto" w:sz="4" w:space="0"/>
              <w:left w:val="single" w:color="auto" w:sz="4" w:space="0"/>
              <w:bottom w:val="single" w:color="000000" w:sz="4" w:space="0"/>
              <w:right w:val="single" w:color="auto" w:sz="4" w:space="0"/>
            </w:tcBorders>
            <w:vAlign w:val="center"/>
          </w:tcPr>
          <w:p w14:paraId="0C7390EA">
            <w:pPr>
              <w:widowControl/>
              <w:ind w:firstLine="0" w:firstLineChars="0"/>
              <w:jc w:val="left"/>
              <w:rPr>
                <w:rFonts w:ascii="宋体" w:hAnsi="宋体" w:cs="宋体"/>
                <w:kern w:val="0"/>
                <w:sz w:val="24"/>
                <w:szCs w:val="24"/>
              </w:rPr>
            </w:pPr>
          </w:p>
        </w:tc>
      </w:tr>
      <w:tr w14:paraId="51130A82">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19EE529C">
            <w:pPr>
              <w:widowControl/>
              <w:ind w:firstLine="0" w:firstLineChars="0"/>
              <w:jc w:val="center"/>
              <w:rPr>
                <w:rFonts w:ascii="宋体" w:hAnsi="宋体" w:cs="宋体"/>
                <w:kern w:val="0"/>
                <w:sz w:val="24"/>
                <w:szCs w:val="24"/>
              </w:rPr>
            </w:pPr>
            <w:r>
              <w:rPr>
                <w:rFonts w:hint="eastAsia" w:ascii="宋体" w:hAnsi="宋体" w:cs="宋体"/>
                <w:kern w:val="0"/>
                <w:sz w:val="24"/>
                <w:szCs w:val="24"/>
              </w:rPr>
              <w:t>1</w:t>
            </w:r>
          </w:p>
        </w:tc>
        <w:tc>
          <w:tcPr>
            <w:tcW w:w="2220" w:type="dxa"/>
            <w:tcBorders>
              <w:top w:val="nil"/>
              <w:left w:val="nil"/>
              <w:bottom w:val="single" w:color="auto" w:sz="4" w:space="0"/>
              <w:right w:val="single" w:color="auto" w:sz="4" w:space="0"/>
            </w:tcBorders>
            <w:noWrap/>
            <w:vAlign w:val="center"/>
          </w:tcPr>
          <w:p w14:paraId="66E3F2E7">
            <w:pPr>
              <w:widowControl/>
              <w:ind w:firstLine="0" w:firstLineChars="0"/>
              <w:jc w:val="center"/>
              <w:rPr>
                <w:rFonts w:ascii="宋体" w:hAnsi="宋体" w:cs="宋体"/>
                <w:kern w:val="0"/>
                <w:sz w:val="24"/>
                <w:szCs w:val="24"/>
              </w:rPr>
            </w:pPr>
            <w:r>
              <w:rPr>
                <w:rFonts w:hint="eastAsia" w:ascii="宋体" w:hAnsi="宋体" w:cs="宋体"/>
                <w:kern w:val="0"/>
                <w:sz w:val="24"/>
                <w:szCs w:val="24"/>
              </w:rPr>
              <w:t>徐碧贵溪洋片区</w:t>
            </w:r>
          </w:p>
        </w:tc>
        <w:tc>
          <w:tcPr>
            <w:tcW w:w="1540" w:type="dxa"/>
            <w:tcBorders>
              <w:top w:val="nil"/>
              <w:left w:val="nil"/>
              <w:bottom w:val="single" w:color="auto" w:sz="4" w:space="0"/>
              <w:right w:val="single" w:color="auto" w:sz="4" w:space="0"/>
            </w:tcBorders>
            <w:noWrap/>
            <w:vAlign w:val="center"/>
          </w:tcPr>
          <w:p w14:paraId="51EA65A7">
            <w:pPr>
              <w:widowControl/>
              <w:ind w:firstLine="0" w:firstLineChars="0"/>
              <w:jc w:val="center"/>
              <w:rPr>
                <w:rFonts w:ascii="宋体" w:hAnsi="宋体" w:cs="宋体"/>
                <w:kern w:val="0"/>
                <w:sz w:val="24"/>
                <w:szCs w:val="24"/>
              </w:rPr>
            </w:pPr>
            <w:r>
              <w:rPr>
                <w:rFonts w:hint="eastAsia" w:ascii="宋体" w:hAnsi="宋体" w:cs="宋体"/>
                <w:kern w:val="0"/>
                <w:sz w:val="24"/>
                <w:szCs w:val="24"/>
              </w:rPr>
              <w:t>37.3</w:t>
            </w:r>
          </w:p>
        </w:tc>
        <w:tc>
          <w:tcPr>
            <w:tcW w:w="4887" w:type="dxa"/>
            <w:tcBorders>
              <w:top w:val="nil"/>
              <w:left w:val="nil"/>
              <w:bottom w:val="single" w:color="auto" w:sz="4" w:space="0"/>
              <w:right w:val="single" w:color="auto" w:sz="4" w:space="0"/>
            </w:tcBorders>
            <w:noWrap/>
            <w:vAlign w:val="center"/>
          </w:tcPr>
          <w:p w14:paraId="284A9A6D">
            <w:pPr>
              <w:widowControl/>
              <w:ind w:firstLine="0" w:firstLineChars="0"/>
              <w:rPr>
                <w:rFonts w:ascii="宋体" w:hAnsi="宋体" w:cs="宋体"/>
                <w:kern w:val="0"/>
                <w:sz w:val="24"/>
                <w:szCs w:val="24"/>
              </w:rPr>
            </w:pPr>
            <w:r>
              <w:rPr>
                <w:rFonts w:hint="eastAsia" w:ascii="宋体" w:hAnsi="宋体" w:cs="宋体"/>
                <w:kern w:val="0"/>
                <w:sz w:val="24"/>
                <w:szCs w:val="24"/>
              </w:rPr>
              <w:t>贵溪洋溪、小溪</w:t>
            </w:r>
          </w:p>
        </w:tc>
      </w:tr>
      <w:tr w14:paraId="1889F011">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6286FEEE">
            <w:pPr>
              <w:widowControl/>
              <w:ind w:firstLine="0" w:firstLineChars="0"/>
              <w:jc w:val="center"/>
              <w:rPr>
                <w:rFonts w:ascii="宋体" w:hAnsi="宋体" w:cs="宋体"/>
                <w:kern w:val="0"/>
                <w:sz w:val="24"/>
                <w:szCs w:val="24"/>
              </w:rPr>
            </w:pPr>
            <w:r>
              <w:rPr>
                <w:rFonts w:hint="eastAsia" w:ascii="宋体" w:hAnsi="宋体" w:cs="宋体"/>
                <w:kern w:val="0"/>
                <w:sz w:val="24"/>
                <w:szCs w:val="24"/>
              </w:rPr>
              <w:t>2</w:t>
            </w:r>
          </w:p>
        </w:tc>
        <w:tc>
          <w:tcPr>
            <w:tcW w:w="2220" w:type="dxa"/>
            <w:tcBorders>
              <w:top w:val="nil"/>
              <w:left w:val="nil"/>
              <w:bottom w:val="single" w:color="auto" w:sz="4" w:space="0"/>
              <w:right w:val="single" w:color="auto" w:sz="4" w:space="0"/>
            </w:tcBorders>
            <w:noWrap/>
            <w:vAlign w:val="center"/>
          </w:tcPr>
          <w:p w14:paraId="6FEEEB44">
            <w:pPr>
              <w:widowControl/>
              <w:ind w:firstLine="0" w:firstLineChars="0"/>
              <w:jc w:val="center"/>
              <w:rPr>
                <w:rFonts w:ascii="宋体" w:hAnsi="宋体" w:cs="宋体"/>
                <w:kern w:val="0"/>
                <w:sz w:val="24"/>
                <w:szCs w:val="24"/>
              </w:rPr>
            </w:pPr>
            <w:r>
              <w:rPr>
                <w:rFonts w:hint="eastAsia" w:ascii="宋体" w:hAnsi="宋体" w:cs="宋体"/>
                <w:kern w:val="0"/>
                <w:sz w:val="24"/>
                <w:szCs w:val="24"/>
              </w:rPr>
              <w:t>列东片区</w:t>
            </w:r>
          </w:p>
        </w:tc>
        <w:tc>
          <w:tcPr>
            <w:tcW w:w="1540" w:type="dxa"/>
            <w:tcBorders>
              <w:top w:val="nil"/>
              <w:left w:val="nil"/>
              <w:bottom w:val="single" w:color="auto" w:sz="4" w:space="0"/>
              <w:right w:val="single" w:color="auto" w:sz="4" w:space="0"/>
            </w:tcBorders>
            <w:noWrap/>
            <w:vAlign w:val="center"/>
          </w:tcPr>
          <w:p w14:paraId="3BC484BE">
            <w:pPr>
              <w:widowControl/>
              <w:ind w:firstLine="0" w:firstLineChars="0"/>
              <w:jc w:val="center"/>
              <w:rPr>
                <w:rFonts w:ascii="宋体" w:hAnsi="宋体" w:cs="宋体"/>
                <w:kern w:val="0"/>
                <w:sz w:val="24"/>
                <w:szCs w:val="24"/>
              </w:rPr>
            </w:pPr>
            <w:r>
              <w:rPr>
                <w:rFonts w:hint="eastAsia" w:ascii="宋体" w:hAnsi="宋体" w:cs="宋体"/>
                <w:kern w:val="0"/>
                <w:sz w:val="24"/>
                <w:szCs w:val="24"/>
              </w:rPr>
              <w:t>11</w:t>
            </w:r>
          </w:p>
        </w:tc>
        <w:tc>
          <w:tcPr>
            <w:tcW w:w="4887" w:type="dxa"/>
            <w:tcBorders>
              <w:top w:val="nil"/>
              <w:left w:val="nil"/>
              <w:bottom w:val="single" w:color="auto" w:sz="4" w:space="0"/>
              <w:right w:val="single" w:color="auto" w:sz="4" w:space="0"/>
            </w:tcBorders>
            <w:noWrap/>
            <w:vAlign w:val="center"/>
          </w:tcPr>
          <w:p w14:paraId="7D253C5E">
            <w:pPr>
              <w:widowControl/>
              <w:ind w:firstLine="0" w:firstLineChars="0"/>
              <w:rPr>
                <w:rFonts w:ascii="宋体" w:hAnsi="宋体" w:cs="宋体"/>
                <w:kern w:val="0"/>
                <w:sz w:val="24"/>
                <w:szCs w:val="24"/>
              </w:rPr>
            </w:pPr>
            <w:r>
              <w:rPr>
                <w:rFonts w:hint="eastAsia" w:ascii="宋体" w:hAnsi="宋体" w:cs="宋体"/>
                <w:kern w:val="0"/>
                <w:sz w:val="24"/>
                <w:szCs w:val="24"/>
              </w:rPr>
              <w:t>东新五路小溪、军分区小溪、后山小溪</w:t>
            </w:r>
          </w:p>
        </w:tc>
      </w:tr>
      <w:tr w14:paraId="3550F0B9">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7ECB70D9">
            <w:pPr>
              <w:widowControl/>
              <w:ind w:firstLine="0" w:firstLineChars="0"/>
              <w:jc w:val="center"/>
              <w:rPr>
                <w:rFonts w:ascii="宋体" w:hAnsi="宋体" w:cs="宋体"/>
                <w:kern w:val="0"/>
                <w:sz w:val="24"/>
                <w:szCs w:val="24"/>
              </w:rPr>
            </w:pPr>
            <w:r>
              <w:rPr>
                <w:rFonts w:hint="eastAsia" w:ascii="宋体" w:hAnsi="宋体" w:cs="宋体"/>
                <w:kern w:val="0"/>
                <w:sz w:val="24"/>
                <w:szCs w:val="24"/>
              </w:rPr>
              <w:t>3</w:t>
            </w:r>
          </w:p>
        </w:tc>
        <w:tc>
          <w:tcPr>
            <w:tcW w:w="2220" w:type="dxa"/>
            <w:tcBorders>
              <w:top w:val="nil"/>
              <w:left w:val="nil"/>
              <w:bottom w:val="single" w:color="auto" w:sz="4" w:space="0"/>
              <w:right w:val="single" w:color="auto" w:sz="4" w:space="0"/>
            </w:tcBorders>
            <w:noWrap/>
            <w:vAlign w:val="center"/>
          </w:tcPr>
          <w:p w14:paraId="5DB52945">
            <w:pPr>
              <w:widowControl/>
              <w:ind w:firstLine="0" w:firstLineChars="0"/>
              <w:jc w:val="center"/>
              <w:rPr>
                <w:rFonts w:ascii="宋体" w:hAnsi="宋体" w:cs="宋体"/>
                <w:kern w:val="0"/>
                <w:sz w:val="24"/>
                <w:szCs w:val="24"/>
              </w:rPr>
            </w:pPr>
            <w:r>
              <w:rPr>
                <w:rFonts w:hint="eastAsia" w:ascii="宋体" w:hAnsi="宋体" w:cs="宋体"/>
                <w:kern w:val="0"/>
                <w:sz w:val="24"/>
                <w:szCs w:val="24"/>
              </w:rPr>
              <w:t>城关片区</w:t>
            </w:r>
          </w:p>
        </w:tc>
        <w:tc>
          <w:tcPr>
            <w:tcW w:w="1540" w:type="dxa"/>
            <w:tcBorders>
              <w:top w:val="nil"/>
              <w:left w:val="nil"/>
              <w:bottom w:val="single" w:color="auto" w:sz="4" w:space="0"/>
              <w:right w:val="single" w:color="auto" w:sz="4" w:space="0"/>
            </w:tcBorders>
            <w:noWrap/>
            <w:vAlign w:val="center"/>
          </w:tcPr>
          <w:p w14:paraId="09FD2066">
            <w:pPr>
              <w:widowControl/>
              <w:ind w:firstLine="0" w:firstLineChars="0"/>
              <w:jc w:val="center"/>
              <w:rPr>
                <w:rFonts w:ascii="宋体" w:hAnsi="宋体" w:cs="宋体"/>
                <w:kern w:val="0"/>
                <w:sz w:val="24"/>
                <w:szCs w:val="24"/>
              </w:rPr>
            </w:pPr>
            <w:r>
              <w:rPr>
                <w:rFonts w:hint="eastAsia" w:ascii="宋体" w:hAnsi="宋体" w:cs="宋体"/>
                <w:kern w:val="0"/>
                <w:sz w:val="24"/>
                <w:szCs w:val="24"/>
              </w:rPr>
              <w:t>11.4</w:t>
            </w:r>
          </w:p>
        </w:tc>
        <w:tc>
          <w:tcPr>
            <w:tcW w:w="4887" w:type="dxa"/>
            <w:tcBorders>
              <w:top w:val="nil"/>
              <w:left w:val="nil"/>
              <w:bottom w:val="single" w:color="auto" w:sz="4" w:space="0"/>
              <w:right w:val="single" w:color="auto" w:sz="4" w:space="0"/>
            </w:tcBorders>
            <w:noWrap/>
            <w:vAlign w:val="center"/>
          </w:tcPr>
          <w:p w14:paraId="4ED0A4D9">
            <w:pPr>
              <w:widowControl/>
              <w:ind w:firstLine="0" w:firstLineChars="0"/>
              <w:rPr>
                <w:rFonts w:ascii="宋体" w:hAnsi="宋体" w:cs="宋体"/>
                <w:kern w:val="0"/>
                <w:sz w:val="24"/>
                <w:szCs w:val="24"/>
              </w:rPr>
            </w:pPr>
            <w:r>
              <w:rPr>
                <w:rFonts w:hint="eastAsia" w:ascii="宋体" w:hAnsi="宋体" w:cs="宋体"/>
                <w:kern w:val="0"/>
                <w:sz w:val="24"/>
                <w:szCs w:val="24"/>
              </w:rPr>
              <w:t>酒厂小溪、第四医院小溪、芙蓉新村小溪、凤岗小溪</w:t>
            </w:r>
          </w:p>
        </w:tc>
      </w:tr>
      <w:tr w14:paraId="5C4E8C90">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7D2FC584">
            <w:pPr>
              <w:widowControl/>
              <w:ind w:firstLine="0" w:firstLineChars="0"/>
              <w:jc w:val="center"/>
              <w:rPr>
                <w:rFonts w:ascii="宋体" w:hAnsi="宋体" w:cs="宋体"/>
                <w:kern w:val="0"/>
                <w:sz w:val="24"/>
                <w:szCs w:val="24"/>
              </w:rPr>
            </w:pPr>
            <w:r>
              <w:rPr>
                <w:rFonts w:hint="eastAsia" w:ascii="宋体" w:hAnsi="宋体" w:cs="宋体"/>
                <w:kern w:val="0"/>
                <w:sz w:val="24"/>
                <w:szCs w:val="24"/>
              </w:rPr>
              <w:t>4</w:t>
            </w:r>
          </w:p>
        </w:tc>
        <w:tc>
          <w:tcPr>
            <w:tcW w:w="2220" w:type="dxa"/>
            <w:tcBorders>
              <w:top w:val="nil"/>
              <w:left w:val="nil"/>
              <w:bottom w:val="single" w:color="auto" w:sz="4" w:space="0"/>
              <w:right w:val="single" w:color="auto" w:sz="4" w:space="0"/>
            </w:tcBorders>
            <w:noWrap/>
            <w:vAlign w:val="center"/>
          </w:tcPr>
          <w:p w14:paraId="2CB950C4">
            <w:pPr>
              <w:widowControl/>
              <w:ind w:firstLine="0" w:firstLineChars="0"/>
              <w:jc w:val="center"/>
              <w:rPr>
                <w:rFonts w:ascii="宋体" w:hAnsi="宋体" w:cs="宋体"/>
                <w:kern w:val="0"/>
                <w:sz w:val="24"/>
                <w:szCs w:val="24"/>
              </w:rPr>
            </w:pPr>
            <w:r>
              <w:rPr>
                <w:rFonts w:hint="eastAsia" w:ascii="宋体" w:hAnsi="宋体" w:cs="宋体"/>
                <w:kern w:val="0"/>
                <w:sz w:val="24"/>
                <w:szCs w:val="24"/>
              </w:rPr>
              <w:t>东牙溪流域</w:t>
            </w:r>
          </w:p>
        </w:tc>
        <w:tc>
          <w:tcPr>
            <w:tcW w:w="1540" w:type="dxa"/>
            <w:tcBorders>
              <w:top w:val="nil"/>
              <w:left w:val="nil"/>
              <w:bottom w:val="single" w:color="auto" w:sz="4" w:space="0"/>
              <w:right w:val="single" w:color="auto" w:sz="4" w:space="0"/>
            </w:tcBorders>
            <w:noWrap/>
            <w:vAlign w:val="center"/>
          </w:tcPr>
          <w:p w14:paraId="5C5C33C3">
            <w:pPr>
              <w:widowControl/>
              <w:ind w:firstLine="0" w:firstLineChars="0"/>
              <w:jc w:val="center"/>
              <w:rPr>
                <w:rFonts w:ascii="宋体" w:hAnsi="宋体" w:cs="宋体"/>
                <w:kern w:val="0"/>
                <w:sz w:val="24"/>
                <w:szCs w:val="24"/>
              </w:rPr>
            </w:pPr>
            <w:r>
              <w:rPr>
                <w:rFonts w:hint="eastAsia" w:ascii="宋体" w:hAnsi="宋体" w:cs="宋体"/>
                <w:kern w:val="0"/>
                <w:sz w:val="24"/>
                <w:szCs w:val="24"/>
              </w:rPr>
              <w:t>188.3</w:t>
            </w:r>
          </w:p>
        </w:tc>
        <w:tc>
          <w:tcPr>
            <w:tcW w:w="4887" w:type="dxa"/>
            <w:tcBorders>
              <w:top w:val="nil"/>
              <w:left w:val="nil"/>
              <w:bottom w:val="single" w:color="auto" w:sz="4" w:space="0"/>
              <w:right w:val="single" w:color="auto" w:sz="4" w:space="0"/>
            </w:tcBorders>
            <w:noWrap/>
            <w:vAlign w:val="center"/>
          </w:tcPr>
          <w:p w14:paraId="583AA165">
            <w:pPr>
              <w:widowControl/>
              <w:ind w:firstLine="0" w:firstLineChars="0"/>
              <w:rPr>
                <w:rFonts w:ascii="宋体" w:hAnsi="宋体" w:cs="宋体"/>
                <w:kern w:val="0"/>
                <w:sz w:val="24"/>
                <w:szCs w:val="24"/>
              </w:rPr>
            </w:pPr>
            <w:r>
              <w:rPr>
                <w:rFonts w:hint="eastAsia" w:ascii="宋体" w:hAnsi="宋体" w:cs="宋体"/>
                <w:kern w:val="0"/>
                <w:sz w:val="24"/>
                <w:szCs w:val="24"/>
              </w:rPr>
              <w:t>东牙溪</w:t>
            </w:r>
          </w:p>
        </w:tc>
      </w:tr>
      <w:tr w14:paraId="6B2E79E3">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4C73473B">
            <w:pPr>
              <w:widowControl/>
              <w:ind w:firstLine="0" w:firstLineChars="0"/>
              <w:jc w:val="center"/>
              <w:rPr>
                <w:rFonts w:ascii="宋体" w:hAnsi="宋体" w:cs="宋体"/>
                <w:kern w:val="0"/>
                <w:sz w:val="24"/>
                <w:szCs w:val="24"/>
              </w:rPr>
            </w:pPr>
            <w:r>
              <w:rPr>
                <w:rFonts w:hint="eastAsia" w:ascii="宋体" w:hAnsi="宋体" w:cs="宋体"/>
                <w:kern w:val="0"/>
                <w:sz w:val="24"/>
                <w:szCs w:val="24"/>
              </w:rPr>
              <w:t>5</w:t>
            </w:r>
          </w:p>
        </w:tc>
        <w:tc>
          <w:tcPr>
            <w:tcW w:w="2220" w:type="dxa"/>
            <w:tcBorders>
              <w:top w:val="nil"/>
              <w:left w:val="nil"/>
              <w:bottom w:val="single" w:color="auto" w:sz="4" w:space="0"/>
              <w:right w:val="single" w:color="auto" w:sz="4" w:space="0"/>
            </w:tcBorders>
            <w:noWrap/>
            <w:vAlign w:val="center"/>
          </w:tcPr>
          <w:p w14:paraId="7D8070E1">
            <w:pPr>
              <w:widowControl/>
              <w:ind w:firstLine="0" w:firstLineChars="0"/>
              <w:jc w:val="center"/>
              <w:rPr>
                <w:rFonts w:ascii="宋体" w:hAnsi="宋体" w:cs="宋体"/>
                <w:kern w:val="0"/>
                <w:sz w:val="24"/>
                <w:szCs w:val="24"/>
              </w:rPr>
            </w:pPr>
            <w:r>
              <w:rPr>
                <w:rFonts w:hint="eastAsia" w:ascii="宋体" w:hAnsi="宋体" w:cs="宋体"/>
                <w:kern w:val="0"/>
                <w:sz w:val="24"/>
                <w:szCs w:val="24"/>
              </w:rPr>
              <w:t>荆东片区</w:t>
            </w:r>
          </w:p>
        </w:tc>
        <w:tc>
          <w:tcPr>
            <w:tcW w:w="1540" w:type="dxa"/>
            <w:tcBorders>
              <w:top w:val="nil"/>
              <w:left w:val="nil"/>
              <w:bottom w:val="single" w:color="auto" w:sz="4" w:space="0"/>
              <w:right w:val="single" w:color="auto" w:sz="4" w:space="0"/>
            </w:tcBorders>
            <w:noWrap/>
            <w:vAlign w:val="center"/>
          </w:tcPr>
          <w:p w14:paraId="43776EC2">
            <w:pPr>
              <w:widowControl/>
              <w:ind w:firstLine="0" w:firstLineChars="0"/>
              <w:jc w:val="center"/>
              <w:rPr>
                <w:rFonts w:ascii="宋体" w:hAnsi="宋体" w:cs="宋体"/>
                <w:kern w:val="0"/>
                <w:sz w:val="24"/>
                <w:szCs w:val="24"/>
              </w:rPr>
            </w:pPr>
            <w:r>
              <w:rPr>
                <w:rFonts w:hint="eastAsia" w:ascii="宋体" w:hAnsi="宋体" w:cs="宋体"/>
                <w:kern w:val="0"/>
                <w:sz w:val="24"/>
                <w:szCs w:val="24"/>
              </w:rPr>
              <w:t>30.7</w:t>
            </w:r>
          </w:p>
        </w:tc>
        <w:tc>
          <w:tcPr>
            <w:tcW w:w="4887" w:type="dxa"/>
            <w:tcBorders>
              <w:top w:val="nil"/>
              <w:left w:val="nil"/>
              <w:bottom w:val="single" w:color="auto" w:sz="4" w:space="0"/>
              <w:right w:val="single" w:color="auto" w:sz="4" w:space="0"/>
            </w:tcBorders>
            <w:noWrap/>
            <w:vAlign w:val="center"/>
          </w:tcPr>
          <w:p w14:paraId="57E0EE9A">
            <w:pPr>
              <w:widowControl/>
              <w:ind w:firstLine="0" w:firstLineChars="0"/>
              <w:rPr>
                <w:rFonts w:ascii="宋体" w:hAnsi="宋体" w:cs="宋体"/>
                <w:kern w:val="0"/>
                <w:sz w:val="24"/>
                <w:szCs w:val="24"/>
              </w:rPr>
            </w:pPr>
            <w:r>
              <w:rPr>
                <w:rFonts w:hint="eastAsia" w:ascii="宋体" w:hAnsi="宋体" w:cs="宋体"/>
                <w:kern w:val="0"/>
                <w:sz w:val="24"/>
                <w:szCs w:val="24"/>
              </w:rPr>
              <w:t>荆东小溪、荆东工业园排洪沟</w:t>
            </w:r>
          </w:p>
        </w:tc>
      </w:tr>
      <w:tr w14:paraId="639DC594">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7106E18A">
            <w:pPr>
              <w:widowControl/>
              <w:ind w:firstLine="0" w:firstLineChars="0"/>
              <w:jc w:val="center"/>
              <w:rPr>
                <w:rFonts w:ascii="宋体" w:hAnsi="宋体" w:cs="宋体"/>
                <w:kern w:val="0"/>
                <w:sz w:val="24"/>
                <w:szCs w:val="24"/>
              </w:rPr>
            </w:pPr>
            <w:r>
              <w:rPr>
                <w:rFonts w:hint="eastAsia" w:ascii="宋体" w:hAnsi="宋体" w:cs="宋体"/>
                <w:kern w:val="0"/>
                <w:sz w:val="24"/>
                <w:szCs w:val="24"/>
              </w:rPr>
              <w:t>6</w:t>
            </w:r>
          </w:p>
        </w:tc>
        <w:tc>
          <w:tcPr>
            <w:tcW w:w="2220" w:type="dxa"/>
            <w:tcBorders>
              <w:top w:val="nil"/>
              <w:left w:val="nil"/>
              <w:bottom w:val="single" w:color="auto" w:sz="4" w:space="0"/>
              <w:right w:val="single" w:color="auto" w:sz="4" w:space="0"/>
            </w:tcBorders>
            <w:noWrap/>
            <w:vAlign w:val="center"/>
          </w:tcPr>
          <w:p w14:paraId="30075083">
            <w:pPr>
              <w:widowControl/>
              <w:ind w:firstLine="0" w:firstLineChars="0"/>
              <w:jc w:val="center"/>
              <w:rPr>
                <w:rFonts w:ascii="宋体" w:hAnsi="宋体" w:cs="宋体"/>
                <w:kern w:val="0"/>
                <w:sz w:val="24"/>
                <w:szCs w:val="24"/>
              </w:rPr>
            </w:pPr>
            <w:r>
              <w:rPr>
                <w:rFonts w:hint="eastAsia" w:ascii="宋体" w:hAnsi="宋体" w:cs="宋体"/>
                <w:kern w:val="0"/>
                <w:sz w:val="24"/>
                <w:szCs w:val="24"/>
              </w:rPr>
              <w:t>薯沙溪流域</w:t>
            </w:r>
          </w:p>
        </w:tc>
        <w:tc>
          <w:tcPr>
            <w:tcW w:w="1540" w:type="dxa"/>
            <w:tcBorders>
              <w:top w:val="nil"/>
              <w:left w:val="nil"/>
              <w:bottom w:val="single" w:color="auto" w:sz="4" w:space="0"/>
              <w:right w:val="single" w:color="auto" w:sz="4" w:space="0"/>
            </w:tcBorders>
            <w:noWrap/>
            <w:vAlign w:val="center"/>
          </w:tcPr>
          <w:p w14:paraId="23A8824A">
            <w:pPr>
              <w:widowControl/>
              <w:ind w:firstLine="0" w:firstLineChars="0"/>
              <w:jc w:val="center"/>
              <w:rPr>
                <w:rFonts w:ascii="宋体" w:hAnsi="宋体" w:cs="宋体"/>
                <w:kern w:val="0"/>
                <w:sz w:val="24"/>
                <w:szCs w:val="24"/>
              </w:rPr>
            </w:pPr>
            <w:r>
              <w:rPr>
                <w:rFonts w:hint="eastAsia" w:ascii="宋体" w:hAnsi="宋体" w:cs="宋体"/>
                <w:kern w:val="0"/>
                <w:sz w:val="24"/>
                <w:szCs w:val="24"/>
              </w:rPr>
              <w:t>199.5</w:t>
            </w:r>
          </w:p>
        </w:tc>
        <w:tc>
          <w:tcPr>
            <w:tcW w:w="4887" w:type="dxa"/>
            <w:tcBorders>
              <w:top w:val="nil"/>
              <w:left w:val="nil"/>
              <w:bottom w:val="single" w:color="auto" w:sz="4" w:space="0"/>
              <w:right w:val="single" w:color="auto" w:sz="4" w:space="0"/>
            </w:tcBorders>
            <w:noWrap/>
            <w:vAlign w:val="center"/>
          </w:tcPr>
          <w:p w14:paraId="129B1C6A">
            <w:pPr>
              <w:widowControl/>
              <w:ind w:firstLine="0" w:firstLineChars="0"/>
              <w:rPr>
                <w:rFonts w:ascii="宋体" w:hAnsi="宋体" w:cs="宋体"/>
                <w:kern w:val="0"/>
                <w:sz w:val="24"/>
                <w:szCs w:val="24"/>
              </w:rPr>
            </w:pPr>
            <w:r>
              <w:rPr>
                <w:rFonts w:hint="eastAsia" w:ascii="宋体" w:hAnsi="宋体" w:cs="宋体"/>
                <w:kern w:val="0"/>
                <w:sz w:val="24"/>
                <w:szCs w:val="24"/>
              </w:rPr>
              <w:t>薯沙溪</w:t>
            </w:r>
          </w:p>
        </w:tc>
      </w:tr>
      <w:tr w14:paraId="595226CF">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36B1AC03">
            <w:pPr>
              <w:widowControl/>
              <w:ind w:firstLine="0" w:firstLineChars="0"/>
              <w:jc w:val="center"/>
              <w:rPr>
                <w:rFonts w:ascii="宋体" w:hAnsi="宋体" w:cs="宋体"/>
                <w:kern w:val="0"/>
                <w:sz w:val="24"/>
                <w:szCs w:val="24"/>
              </w:rPr>
            </w:pPr>
            <w:r>
              <w:rPr>
                <w:rFonts w:hint="eastAsia" w:ascii="宋体" w:hAnsi="宋体" w:cs="宋体"/>
                <w:kern w:val="0"/>
                <w:sz w:val="24"/>
                <w:szCs w:val="24"/>
              </w:rPr>
              <w:t>7</w:t>
            </w:r>
          </w:p>
        </w:tc>
        <w:tc>
          <w:tcPr>
            <w:tcW w:w="2220" w:type="dxa"/>
            <w:tcBorders>
              <w:top w:val="nil"/>
              <w:left w:val="nil"/>
              <w:bottom w:val="single" w:color="auto" w:sz="4" w:space="0"/>
              <w:right w:val="single" w:color="auto" w:sz="4" w:space="0"/>
            </w:tcBorders>
            <w:noWrap/>
            <w:vAlign w:val="center"/>
          </w:tcPr>
          <w:p w14:paraId="5920C27C">
            <w:pPr>
              <w:widowControl/>
              <w:ind w:firstLine="0" w:firstLineChars="0"/>
              <w:jc w:val="center"/>
              <w:rPr>
                <w:rFonts w:ascii="宋体" w:hAnsi="宋体" w:cs="宋体"/>
                <w:kern w:val="0"/>
                <w:sz w:val="24"/>
                <w:szCs w:val="24"/>
              </w:rPr>
            </w:pPr>
            <w:r>
              <w:rPr>
                <w:rFonts w:hint="eastAsia" w:ascii="宋体" w:hAnsi="宋体" w:cs="宋体"/>
                <w:kern w:val="0"/>
                <w:sz w:val="24"/>
                <w:szCs w:val="24"/>
              </w:rPr>
              <w:t>溪口片区</w:t>
            </w:r>
          </w:p>
        </w:tc>
        <w:tc>
          <w:tcPr>
            <w:tcW w:w="1540" w:type="dxa"/>
            <w:tcBorders>
              <w:top w:val="nil"/>
              <w:left w:val="nil"/>
              <w:bottom w:val="single" w:color="auto" w:sz="4" w:space="0"/>
              <w:right w:val="single" w:color="auto" w:sz="4" w:space="0"/>
            </w:tcBorders>
            <w:noWrap/>
            <w:vAlign w:val="center"/>
          </w:tcPr>
          <w:p w14:paraId="58D1EF41">
            <w:pPr>
              <w:widowControl/>
              <w:ind w:firstLine="0" w:firstLineChars="0"/>
              <w:jc w:val="center"/>
              <w:rPr>
                <w:rFonts w:ascii="宋体" w:hAnsi="宋体" w:cs="宋体"/>
                <w:kern w:val="0"/>
                <w:sz w:val="24"/>
                <w:szCs w:val="24"/>
              </w:rPr>
            </w:pPr>
            <w:r>
              <w:rPr>
                <w:rFonts w:hint="eastAsia" w:ascii="宋体" w:hAnsi="宋体" w:cs="宋体"/>
                <w:kern w:val="0"/>
                <w:sz w:val="24"/>
                <w:szCs w:val="24"/>
              </w:rPr>
              <w:t>21.6</w:t>
            </w:r>
          </w:p>
        </w:tc>
        <w:tc>
          <w:tcPr>
            <w:tcW w:w="4887" w:type="dxa"/>
            <w:tcBorders>
              <w:top w:val="nil"/>
              <w:left w:val="nil"/>
              <w:bottom w:val="single" w:color="auto" w:sz="4" w:space="0"/>
              <w:right w:val="single" w:color="auto" w:sz="4" w:space="0"/>
            </w:tcBorders>
            <w:noWrap/>
            <w:vAlign w:val="center"/>
          </w:tcPr>
          <w:p w14:paraId="08D47326">
            <w:pPr>
              <w:widowControl/>
              <w:ind w:firstLine="0" w:firstLineChars="0"/>
              <w:rPr>
                <w:rFonts w:ascii="宋体" w:hAnsi="宋体" w:cs="宋体"/>
                <w:kern w:val="0"/>
                <w:sz w:val="24"/>
                <w:szCs w:val="24"/>
              </w:rPr>
            </w:pPr>
            <w:r>
              <w:rPr>
                <w:rFonts w:hint="eastAsia" w:ascii="宋体" w:hAnsi="宋体" w:cs="宋体"/>
                <w:kern w:val="0"/>
                <w:sz w:val="24"/>
                <w:szCs w:val="24"/>
              </w:rPr>
              <w:t>/</w:t>
            </w:r>
          </w:p>
        </w:tc>
      </w:tr>
      <w:tr w14:paraId="22BABF7E">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3FA7C145">
            <w:pPr>
              <w:widowControl/>
              <w:ind w:firstLine="0" w:firstLineChars="0"/>
              <w:jc w:val="center"/>
              <w:rPr>
                <w:rFonts w:ascii="宋体" w:hAnsi="宋体" w:cs="宋体"/>
                <w:kern w:val="0"/>
                <w:sz w:val="24"/>
                <w:szCs w:val="24"/>
              </w:rPr>
            </w:pPr>
            <w:r>
              <w:rPr>
                <w:rFonts w:hint="eastAsia" w:ascii="宋体" w:hAnsi="宋体" w:cs="宋体"/>
                <w:kern w:val="0"/>
                <w:sz w:val="24"/>
                <w:szCs w:val="24"/>
              </w:rPr>
              <w:t>8</w:t>
            </w:r>
          </w:p>
        </w:tc>
        <w:tc>
          <w:tcPr>
            <w:tcW w:w="2220" w:type="dxa"/>
            <w:tcBorders>
              <w:top w:val="nil"/>
              <w:left w:val="nil"/>
              <w:bottom w:val="single" w:color="auto" w:sz="4" w:space="0"/>
              <w:right w:val="single" w:color="auto" w:sz="4" w:space="0"/>
            </w:tcBorders>
            <w:noWrap/>
            <w:vAlign w:val="center"/>
          </w:tcPr>
          <w:p w14:paraId="21AE4764">
            <w:pPr>
              <w:widowControl/>
              <w:ind w:firstLine="0" w:firstLineChars="0"/>
              <w:jc w:val="center"/>
              <w:rPr>
                <w:rFonts w:ascii="宋体" w:hAnsi="宋体" w:cs="宋体"/>
                <w:kern w:val="0"/>
                <w:sz w:val="24"/>
                <w:szCs w:val="24"/>
              </w:rPr>
            </w:pPr>
            <w:r>
              <w:rPr>
                <w:rFonts w:hint="eastAsia" w:ascii="宋体" w:hAnsi="宋体" w:cs="宋体"/>
                <w:kern w:val="0"/>
                <w:sz w:val="24"/>
                <w:szCs w:val="24"/>
              </w:rPr>
              <w:t>溪源溪流域</w:t>
            </w:r>
          </w:p>
        </w:tc>
        <w:tc>
          <w:tcPr>
            <w:tcW w:w="1540" w:type="dxa"/>
            <w:tcBorders>
              <w:top w:val="nil"/>
              <w:left w:val="nil"/>
              <w:bottom w:val="single" w:color="auto" w:sz="4" w:space="0"/>
              <w:right w:val="single" w:color="auto" w:sz="4" w:space="0"/>
            </w:tcBorders>
            <w:noWrap/>
            <w:vAlign w:val="center"/>
          </w:tcPr>
          <w:p w14:paraId="35F57A35">
            <w:pPr>
              <w:widowControl/>
              <w:ind w:firstLine="0" w:firstLineChars="0"/>
              <w:jc w:val="center"/>
              <w:rPr>
                <w:rFonts w:ascii="宋体" w:hAnsi="宋体" w:cs="宋体"/>
                <w:kern w:val="0"/>
                <w:sz w:val="24"/>
                <w:szCs w:val="24"/>
              </w:rPr>
            </w:pPr>
            <w:r>
              <w:rPr>
                <w:rFonts w:hint="eastAsia" w:ascii="宋体" w:hAnsi="宋体" w:cs="宋体"/>
                <w:kern w:val="0"/>
                <w:sz w:val="24"/>
                <w:szCs w:val="24"/>
              </w:rPr>
              <w:t>210.4</w:t>
            </w:r>
          </w:p>
        </w:tc>
        <w:tc>
          <w:tcPr>
            <w:tcW w:w="4887" w:type="dxa"/>
            <w:tcBorders>
              <w:top w:val="nil"/>
              <w:left w:val="nil"/>
              <w:bottom w:val="single" w:color="auto" w:sz="4" w:space="0"/>
              <w:right w:val="single" w:color="auto" w:sz="4" w:space="0"/>
            </w:tcBorders>
            <w:noWrap/>
            <w:vAlign w:val="center"/>
          </w:tcPr>
          <w:p w14:paraId="255E038B">
            <w:pPr>
              <w:widowControl/>
              <w:ind w:firstLine="0" w:firstLineChars="0"/>
              <w:rPr>
                <w:rFonts w:ascii="宋体" w:hAnsi="宋体" w:cs="宋体"/>
                <w:kern w:val="0"/>
                <w:sz w:val="24"/>
                <w:szCs w:val="24"/>
              </w:rPr>
            </w:pPr>
            <w:r>
              <w:rPr>
                <w:rFonts w:hint="eastAsia" w:ascii="宋体" w:hAnsi="宋体" w:cs="宋体"/>
                <w:kern w:val="0"/>
                <w:sz w:val="24"/>
                <w:szCs w:val="24"/>
              </w:rPr>
              <w:t>溪源溪</w:t>
            </w:r>
          </w:p>
        </w:tc>
      </w:tr>
      <w:tr w14:paraId="02C1D4D0">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71511000">
            <w:pPr>
              <w:widowControl/>
              <w:ind w:firstLine="0" w:firstLineChars="0"/>
              <w:jc w:val="center"/>
              <w:rPr>
                <w:rFonts w:ascii="宋体" w:hAnsi="宋体" w:cs="宋体"/>
                <w:kern w:val="0"/>
                <w:sz w:val="24"/>
                <w:szCs w:val="24"/>
              </w:rPr>
            </w:pPr>
            <w:r>
              <w:rPr>
                <w:rFonts w:hint="eastAsia" w:ascii="宋体" w:hAnsi="宋体" w:cs="宋体"/>
                <w:kern w:val="0"/>
                <w:sz w:val="24"/>
                <w:szCs w:val="24"/>
              </w:rPr>
              <w:t>9</w:t>
            </w:r>
          </w:p>
        </w:tc>
        <w:tc>
          <w:tcPr>
            <w:tcW w:w="2220" w:type="dxa"/>
            <w:tcBorders>
              <w:top w:val="nil"/>
              <w:left w:val="nil"/>
              <w:bottom w:val="single" w:color="auto" w:sz="4" w:space="0"/>
              <w:right w:val="single" w:color="auto" w:sz="4" w:space="0"/>
            </w:tcBorders>
            <w:noWrap/>
            <w:vAlign w:val="center"/>
          </w:tcPr>
          <w:p w14:paraId="4DDFB7ED">
            <w:pPr>
              <w:widowControl/>
              <w:ind w:firstLine="0" w:firstLineChars="0"/>
              <w:jc w:val="center"/>
              <w:rPr>
                <w:rFonts w:ascii="宋体" w:hAnsi="宋体" w:cs="宋体"/>
                <w:kern w:val="0"/>
                <w:sz w:val="24"/>
                <w:szCs w:val="24"/>
              </w:rPr>
            </w:pPr>
            <w:r>
              <w:rPr>
                <w:rFonts w:hint="eastAsia" w:ascii="宋体" w:hAnsi="宋体" w:cs="宋体"/>
                <w:kern w:val="0"/>
                <w:sz w:val="24"/>
                <w:szCs w:val="24"/>
              </w:rPr>
              <w:t>渔潭溪流域</w:t>
            </w:r>
          </w:p>
        </w:tc>
        <w:tc>
          <w:tcPr>
            <w:tcW w:w="1540" w:type="dxa"/>
            <w:tcBorders>
              <w:top w:val="nil"/>
              <w:left w:val="nil"/>
              <w:bottom w:val="single" w:color="auto" w:sz="4" w:space="0"/>
              <w:right w:val="single" w:color="auto" w:sz="4" w:space="0"/>
            </w:tcBorders>
            <w:noWrap/>
            <w:vAlign w:val="center"/>
          </w:tcPr>
          <w:p w14:paraId="1A9FD68B">
            <w:pPr>
              <w:widowControl/>
              <w:ind w:firstLine="0" w:firstLineChars="0"/>
              <w:jc w:val="center"/>
              <w:rPr>
                <w:rFonts w:ascii="宋体" w:hAnsi="宋体" w:cs="宋体"/>
                <w:kern w:val="0"/>
                <w:sz w:val="24"/>
                <w:szCs w:val="24"/>
              </w:rPr>
            </w:pPr>
            <w:r>
              <w:rPr>
                <w:rFonts w:hint="eastAsia" w:ascii="宋体" w:hAnsi="宋体" w:cs="宋体"/>
                <w:kern w:val="0"/>
                <w:sz w:val="24"/>
                <w:szCs w:val="24"/>
              </w:rPr>
              <w:t>715.5</w:t>
            </w:r>
          </w:p>
        </w:tc>
        <w:tc>
          <w:tcPr>
            <w:tcW w:w="4887" w:type="dxa"/>
            <w:tcBorders>
              <w:top w:val="nil"/>
              <w:left w:val="nil"/>
              <w:bottom w:val="single" w:color="auto" w:sz="4" w:space="0"/>
              <w:right w:val="single" w:color="auto" w:sz="4" w:space="0"/>
            </w:tcBorders>
            <w:noWrap/>
            <w:vAlign w:val="center"/>
          </w:tcPr>
          <w:p w14:paraId="00F64500">
            <w:pPr>
              <w:widowControl/>
              <w:ind w:firstLine="0" w:firstLineChars="0"/>
              <w:rPr>
                <w:rFonts w:ascii="宋体" w:hAnsi="宋体" w:cs="宋体"/>
                <w:kern w:val="0"/>
                <w:sz w:val="24"/>
                <w:szCs w:val="24"/>
              </w:rPr>
            </w:pPr>
            <w:r>
              <w:rPr>
                <w:rFonts w:hint="eastAsia" w:ascii="宋体" w:hAnsi="宋体" w:cs="宋体"/>
                <w:kern w:val="0"/>
                <w:sz w:val="24"/>
                <w:szCs w:val="24"/>
              </w:rPr>
              <w:t>渔潭溪</w:t>
            </w:r>
          </w:p>
        </w:tc>
      </w:tr>
      <w:tr w14:paraId="16009B10">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610DF1CC">
            <w:pPr>
              <w:widowControl/>
              <w:ind w:firstLine="0" w:firstLineChars="0"/>
              <w:jc w:val="center"/>
              <w:rPr>
                <w:rFonts w:ascii="宋体" w:hAnsi="宋体" w:cs="宋体"/>
                <w:kern w:val="0"/>
                <w:sz w:val="24"/>
                <w:szCs w:val="24"/>
              </w:rPr>
            </w:pPr>
            <w:r>
              <w:rPr>
                <w:rFonts w:hint="eastAsia" w:ascii="宋体" w:hAnsi="宋体" w:cs="宋体"/>
                <w:kern w:val="0"/>
                <w:sz w:val="24"/>
                <w:szCs w:val="24"/>
              </w:rPr>
              <w:t>10</w:t>
            </w:r>
          </w:p>
        </w:tc>
        <w:tc>
          <w:tcPr>
            <w:tcW w:w="2220" w:type="dxa"/>
            <w:tcBorders>
              <w:top w:val="nil"/>
              <w:left w:val="nil"/>
              <w:bottom w:val="single" w:color="auto" w:sz="4" w:space="0"/>
              <w:right w:val="single" w:color="auto" w:sz="4" w:space="0"/>
            </w:tcBorders>
            <w:noWrap/>
            <w:vAlign w:val="center"/>
          </w:tcPr>
          <w:p w14:paraId="6F021A53">
            <w:pPr>
              <w:widowControl/>
              <w:ind w:firstLine="0" w:firstLineChars="0"/>
              <w:jc w:val="center"/>
              <w:rPr>
                <w:rFonts w:ascii="宋体" w:hAnsi="宋体" w:cs="宋体"/>
                <w:kern w:val="0"/>
                <w:sz w:val="24"/>
                <w:szCs w:val="24"/>
              </w:rPr>
            </w:pPr>
            <w:r>
              <w:rPr>
                <w:rFonts w:hint="eastAsia" w:ascii="宋体" w:hAnsi="宋体" w:cs="宋体"/>
                <w:kern w:val="0"/>
                <w:sz w:val="24"/>
                <w:szCs w:val="24"/>
              </w:rPr>
              <w:t>荆西片区</w:t>
            </w:r>
          </w:p>
        </w:tc>
        <w:tc>
          <w:tcPr>
            <w:tcW w:w="1540" w:type="dxa"/>
            <w:tcBorders>
              <w:top w:val="nil"/>
              <w:left w:val="nil"/>
              <w:bottom w:val="single" w:color="auto" w:sz="4" w:space="0"/>
              <w:right w:val="single" w:color="auto" w:sz="4" w:space="0"/>
            </w:tcBorders>
            <w:noWrap/>
            <w:vAlign w:val="center"/>
          </w:tcPr>
          <w:p w14:paraId="3EB8D35F">
            <w:pPr>
              <w:widowControl/>
              <w:ind w:firstLine="0" w:firstLineChars="0"/>
              <w:jc w:val="center"/>
              <w:rPr>
                <w:rFonts w:ascii="宋体" w:hAnsi="宋体" w:cs="宋体"/>
                <w:kern w:val="0"/>
                <w:sz w:val="24"/>
                <w:szCs w:val="24"/>
              </w:rPr>
            </w:pPr>
            <w:r>
              <w:rPr>
                <w:rFonts w:hint="eastAsia" w:ascii="宋体" w:hAnsi="宋体" w:cs="宋体"/>
                <w:kern w:val="0"/>
                <w:sz w:val="24"/>
                <w:szCs w:val="24"/>
              </w:rPr>
              <w:t>13.9</w:t>
            </w:r>
          </w:p>
        </w:tc>
        <w:tc>
          <w:tcPr>
            <w:tcW w:w="4887" w:type="dxa"/>
            <w:tcBorders>
              <w:top w:val="nil"/>
              <w:left w:val="nil"/>
              <w:bottom w:val="single" w:color="auto" w:sz="4" w:space="0"/>
              <w:right w:val="single" w:color="auto" w:sz="4" w:space="0"/>
            </w:tcBorders>
            <w:noWrap/>
            <w:vAlign w:val="center"/>
          </w:tcPr>
          <w:p w14:paraId="5391A8AB">
            <w:pPr>
              <w:widowControl/>
              <w:ind w:firstLine="0" w:firstLineChars="0"/>
              <w:rPr>
                <w:rFonts w:ascii="宋体" w:hAnsi="宋体" w:cs="宋体"/>
                <w:kern w:val="0"/>
                <w:sz w:val="24"/>
                <w:szCs w:val="24"/>
              </w:rPr>
            </w:pPr>
            <w:r>
              <w:rPr>
                <w:rFonts w:hint="eastAsia" w:ascii="宋体" w:hAnsi="宋体" w:cs="宋体"/>
                <w:kern w:val="0"/>
                <w:sz w:val="24"/>
                <w:szCs w:val="24"/>
              </w:rPr>
              <w:t>荆西排洪沟</w:t>
            </w:r>
          </w:p>
        </w:tc>
      </w:tr>
      <w:tr w14:paraId="244A7B68">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304980B7">
            <w:pPr>
              <w:widowControl/>
              <w:ind w:firstLine="0" w:firstLineChars="0"/>
              <w:jc w:val="center"/>
              <w:rPr>
                <w:rFonts w:ascii="宋体" w:hAnsi="宋体" w:cs="宋体"/>
                <w:kern w:val="0"/>
                <w:sz w:val="24"/>
                <w:szCs w:val="24"/>
              </w:rPr>
            </w:pPr>
            <w:r>
              <w:rPr>
                <w:rFonts w:hint="eastAsia" w:ascii="宋体" w:hAnsi="宋体" w:cs="宋体"/>
                <w:kern w:val="0"/>
                <w:sz w:val="24"/>
                <w:szCs w:val="24"/>
              </w:rPr>
              <w:t>11</w:t>
            </w:r>
          </w:p>
        </w:tc>
        <w:tc>
          <w:tcPr>
            <w:tcW w:w="2220" w:type="dxa"/>
            <w:tcBorders>
              <w:top w:val="nil"/>
              <w:left w:val="nil"/>
              <w:bottom w:val="single" w:color="auto" w:sz="4" w:space="0"/>
              <w:right w:val="single" w:color="auto" w:sz="4" w:space="0"/>
            </w:tcBorders>
            <w:noWrap/>
            <w:vAlign w:val="center"/>
          </w:tcPr>
          <w:p w14:paraId="0EDBC666">
            <w:pPr>
              <w:widowControl/>
              <w:ind w:firstLine="0" w:firstLineChars="0"/>
              <w:jc w:val="center"/>
              <w:rPr>
                <w:rFonts w:ascii="宋体" w:hAnsi="宋体" w:cs="宋体"/>
                <w:kern w:val="0"/>
                <w:sz w:val="24"/>
                <w:szCs w:val="24"/>
              </w:rPr>
            </w:pPr>
            <w:r>
              <w:rPr>
                <w:rFonts w:hint="eastAsia" w:ascii="宋体" w:hAnsi="宋体" w:cs="宋体"/>
                <w:kern w:val="0"/>
                <w:sz w:val="24"/>
                <w:szCs w:val="24"/>
              </w:rPr>
              <w:t>台溪流域</w:t>
            </w:r>
          </w:p>
        </w:tc>
        <w:tc>
          <w:tcPr>
            <w:tcW w:w="1540" w:type="dxa"/>
            <w:tcBorders>
              <w:top w:val="nil"/>
              <w:left w:val="nil"/>
              <w:bottom w:val="single" w:color="auto" w:sz="4" w:space="0"/>
              <w:right w:val="single" w:color="auto" w:sz="4" w:space="0"/>
            </w:tcBorders>
            <w:noWrap/>
            <w:vAlign w:val="center"/>
          </w:tcPr>
          <w:p w14:paraId="2056E955">
            <w:pPr>
              <w:widowControl/>
              <w:ind w:firstLine="0" w:firstLineChars="0"/>
              <w:jc w:val="center"/>
              <w:rPr>
                <w:rFonts w:ascii="宋体" w:hAnsi="宋体" w:cs="宋体"/>
                <w:kern w:val="0"/>
                <w:sz w:val="24"/>
                <w:szCs w:val="24"/>
              </w:rPr>
            </w:pPr>
            <w:r>
              <w:rPr>
                <w:rFonts w:hint="eastAsia" w:ascii="宋体" w:hAnsi="宋体" w:cs="宋体"/>
                <w:kern w:val="0"/>
                <w:sz w:val="24"/>
                <w:szCs w:val="24"/>
              </w:rPr>
              <w:t>120.4</w:t>
            </w:r>
          </w:p>
        </w:tc>
        <w:tc>
          <w:tcPr>
            <w:tcW w:w="4887" w:type="dxa"/>
            <w:tcBorders>
              <w:top w:val="nil"/>
              <w:left w:val="nil"/>
              <w:bottom w:val="single" w:color="auto" w:sz="4" w:space="0"/>
              <w:right w:val="single" w:color="auto" w:sz="4" w:space="0"/>
            </w:tcBorders>
            <w:noWrap/>
            <w:vAlign w:val="center"/>
          </w:tcPr>
          <w:p w14:paraId="41423726">
            <w:pPr>
              <w:widowControl/>
              <w:ind w:firstLine="0" w:firstLineChars="0"/>
              <w:rPr>
                <w:rFonts w:ascii="宋体" w:hAnsi="宋体" w:cs="宋体"/>
                <w:kern w:val="0"/>
                <w:sz w:val="24"/>
                <w:szCs w:val="24"/>
              </w:rPr>
            </w:pPr>
            <w:r>
              <w:rPr>
                <w:rFonts w:hint="eastAsia" w:ascii="宋体" w:hAnsi="宋体" w:cs="宋体"/>
                <w:kern w:val="0"/>
                <w:sz w:val="24"/>
                <w:szCs w:val="24"/>
              </w:rPr>
              <w:t>台溪</w:t>
            </w:r>
          </w:p>
        </w:tc>
      </w:tr>
      <w:tr w14:paraId="2E7693CB">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586D0D03">
            <w:pPr>
              <w:widowControl/>
              <w:ind w:firstLine="0" w:firstLineChars="0"/>
              <w:jc w:val="center"/>
              <w:rPr>
                <w:rFonts w:ascii="宋体" w:hAnsi="宋体" w:cs="宋体"/>
                <w:kern w:val="0"/>
                <w:sz w:val="24"/>
                <w:szCs w:val="24"/>
              </w:rPr>
            </w:pPr>
            <w:r>
              <w:rPr>
                <w:rFonts w:hint="eastAsia" w:ascii="宋体" w:hAnsi="宋体" w:cs="宋体"/>
                <w:kern w:val="0"/>
                <w:sz w:val="24"/>
                <w:szCs w:val="24"/>
              </w:rPr>
              <w:t>12</w:t>
            </w:r>
          </w:p>
        </w:tc>
        <w:tc>
          <w:tcPr>
            <w:tcW w:w="2220" w:type="dxa"/>
            <w:tcBorders>
              <w:top w:val="nil"/>
              <w:left w:val="nil"/>
              <w:bottom w:val="single" w:color="auto" w:sz="4" w:space="0"/>
              <w:right w:val="single" w:color="auto" w:sz="4" w:space="0"/>
            </w:tcBorders>
            <w:noWrap/>
            <w:vAlign w:val="center"/>
          </w:tcPr>
          <w:p w14:paraId="6A9909D3">
            <w:pPr>
              <w:widowControl/>
              <w:ind w:firstLine="0" w:firstLineChars="0"/>
              <w:jc w:val="center"/>
              <w:rPr>
                <w:rFonts w:ascii="宋体" w:hAnsi="宋体" w:cs="宋体"/>
                <w:kern w:val="0"/>
                <w:sz w:val="24"/>
                <w:szCs w:val="24"/>
              </w:rPr>
            </w:pPr>
            <w:r>
              <w:rPr>
                <w:rFonts w:hint="eastAsia" w:ascii="宋体" w:hAnsi="宋体" w:cs="宋体"/>
                <w:kern w:val="0"/>
                <w:sz w:val="24"/>
                <w:szCs w:val="24"/>
              </w:rPr>
              <w:t>蕉溪流域</w:t>
            </w:r>
          </w:p>
        </w:tc>
        <w:tc>
          <w:tcPr>
            <w:tcW w:w="1540" w:type="dxa"/>
            <w:tcBorders>
              <w:top w:val="nil"/>
              <w:left w:val="nil"/>
              <w:bottom w:val="single" w:color="auto" w:sz="4" w:space="0"/>
              <w:right w:val="single" w:color="auto" w:sz="4" w:space="0"/>
            </w:tcBorders>
            <w:noWrap/>
            <w:vAlign w:val="center"/>
          </w:tcPr>
          <w:p w14:paraId="0C1AC669">
            <w:pPr>
              <w:widowControl/>
              <w:ind w:firstLine="0" w:firstLineChars="0"/>
              <w:jc w:val="center"/>
              <w:rPr>
                <w:rFonts w:ascii="宋体" w:hAnsi="宋体" w:cs="宋体"/>
                <w:kern w:val="0"/>
                <w:sz w:val="24"/>
                <w:szCs w:val="24"/>
              </w:rPr>
            </w:pPr>
            <w:r>
              <w:rPr>
                <w:rFonts w:hint="eastAsia" w:ascii="宋体" w:hAnsi="宋体" w:cs="宋体"/>
                <w:kern w:val="0"/>
                <w:sz w:val="24"/>
                <w:szCs w:val="24"/>
              </w:rPr>
              <w:t>29.9</w:t>
            </w:r>
          </w:p>
        </w:tc>
        <w:tc>
          <w:tcPr>
            <w:tcW w:w="4887" w:type="dxa"/>
            <w:tcBorders>
              <w:top w:val="nil"/>
              <w:left w:val="nil"/>
              <w:bottom w:val="single" w:color="auto" w:sz="4" w:space="0"/>
              <w:right w:val="single" w:color="auto" w:sz="4" w:space="0"/>
            </w:tcBorders>
            <w:noWrap/>
            <w:vAlign w:val="center"/>
          </w:tcPr>
          <w:p w14:paraId="7A3A6D0D">
            <w:pPr>
              <w:widowControl/>
              <w:ind w:firstLine="0" w:firstLineChars="0"/>
              <w:rPr>
                <w:rFonts w:ascii="宋体" w:hAnsi="宋体" w:cs="宋体"/>
                <w:kern w:val="0"/>
                <w:sz w:val="24"/>
                <w:szCs w:val="24"/>
              </w:rPr>
            </w:pPr>
            <w:r>
              <w:rPr>
                <w:rFonts w:hint="eastAsia" w:ascii="宋体" w:hAnsi="宋体" w:cs="宋体"/>
                <w:kern w:val="0"/>
                <w:sz w:val="24"/>
                <w:szCs w:val="24"/>
              </w:rPr>
              <w:t>蕉溪</w:t>
            </w:r>
          </w:p>
        </w:tc>
      </w:tr>
      <w:tr w14:paraId="69E4FC97">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1610A731">
            <w:pPr>
              <w:widowControl/>
              <w:ind w:firstLine="0" w:firstLineChars="0"/>
              <w:jc w:val="center"/>
              <w:rPr>
                <w:rFonts w:ascii="宋体" w:hAnsi="宋体" w:cs="宋体"/>
                <w:kern w:val="0"/>
                <w:sz w:val="24"/>
                <w:szCs w:val="24"/>
              </w:rPr>
            </w:pPr>
            <w:r>
              <w:rPr>
                <w:rFonts w:hint="eastAsia" w:ascii="宋体" w:hAnsi="宋体" w:cs="宋体"/>
                <w:kern w:val="0"/>
                <w:sz w:val="24"/>
                <w:szCs w:val="24"/>
              </w:rPr>
              <w:t>13</w:t>
            </w:r>
          </w:p>
        </w:tc>
        <w:tc>
          <w:tcPr>
            <w:tcW w:w="2220" w:type="dxa"/>
            <w:tcBorders>
              <w:top w:val="nil"/>
              <w:left w:val="nil"/>
              <w:bottom w:val="single" w:color="auto" w:sz="4" w:space="0"/>
              <w:right w:val="single" w:color="auto" w:sz="4" w:space="0"/>
            </w:tcBorders>
            <w:noWrap/>
            <w:vAlign w:val="center"/>
          </w:tcPr>
          <w:p w14:paraId="17EAD17A">
            <w:pPr>
              <w:widowControl/>
              <w:ind w:firstLine="0" w:firstLineChars="0"/>
              <w:jc w:val="center"/>
              <w:rPr>
                <w:rFonts w:ascii="宋体" w:hAnsi="宋体" w:cs="宋体"/>
                <w:kern w:val="0"/>
                <w:sz w:val="24"/>
                <w:szCs w:val="24"/>
              </w:rPr>
            </w:pPr>
            <w:r>
              <w:rPr>
                <w:rFonts w:hint="eastAsia" w:ascii="宋体" w:hAnsi="宋体" w:cs="宋体"/>
                <w:kern w:val="0"/>
                <w:sz w:val="24"/>
                <w:szCs w:val="24"/>
              </w:rPr>
              <w:t>列西白沙片区</w:t>
            </w:r>
          </w:p>
        </w:tc>
        <w:tc>
          <w:tcPr>
            <w:tcW w:w="1540" w:type="dxa"/>
            <w:tcBorders>
              <w:top w:val="nil"/>
              <w:left w:val="nil"/>
              <w:bottom w:val="single" w:color="auto" w:sz="4" w:space="0"/>
              <w:right w:val="single" w:color="auto" w:sz="4" w:space="0"/>
            </w:tcBorders>
            <w:noWrap/>
            <w:vAlign w:val="center"/>
          </w:tcPr>
          <w:p w14:paraId="26730485">
            <w:pPr>
              <w:widowControl/>
              <w:ind w:firstLine="0" w:firstLineChars="0"/>
              <w:jc w:val="center"/>
              <w:rPr>
                <w:rFonts w:ascii="宋体" w:hAnsi="宋体" w:cs="宋体"/>
                <w:kern w:val="0"/>
                <w:sz w:val="24"/>
                <w:szCs w:val="24"/>
              </w:rPr>
            </w:pPr>
            <w:r>
              <w:rPr>
                <w:rFonts w:hint="eastAsia" w:ascii="宋体" w:hAnsi="宋体" w:cs="宋体"/>
                <w:kern w:val="0"/>
                <w:sz w:val="24"/>
                <w:szCs w:val="24"/>
              </w:rPr>
              <w:t>13.5</w:t>
            </w:r>
          </w:p>
        </w:tc>
        <w:tc>
          <w:tcPr>
            <w:tcW w:w="4887" w:type="dxa"/>
            <w:tcBorders>
              <w:top w:val="nil"/>
              <w:left w:val="nil"/>
              <w:bottom w:val="single" w:color="auto" w:sz="4" w:space="0"/>
              <w:right w:val="single" w:color="auto" w:sz="4" w:space="0"/>
            </w:tcBorders>
            <w:noWrap/>
            <w:vAlign w:val="center"/>
          </w:tcPr>
          <w:p w14:paraId="25813BEF">
            <w:pPr>
              <w:widowControl/>
              <w:ind w:firstLine="0" w:firstLineChars="0"/>
              <w:rPr>
                <w:rFonts w:ascii="宋体" w:hAnsi="宋体" w:cs="宋体"/>
                <w:kern w:val="0"/>
                <w:sz w:val="24"/>
                <w:szCs w:val="24"/>
              </w:rPr>
            </w:pPr>
            <w:r>
              <w:rPr>
                <w:rFonts w:hint="eastAsia" w:ascii="宋体" w:hAnsi="宋体" w:cs="宋体"/>
                <w:kern w:val="0"/>
                <w:sz w:val="24"/>
                <w:szCs w:val="24"/>
              </w:rPr>
              <w:t>台江小溪、列西小溪</w:t>
            </w:r>
          </w:p>
        </w:tc>
      </w:tr>
      <w:tr w14:paraId="05DC27B2">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10BB129C">
            <w:pPr>
              <w:widowControl/>
              <w:ind w:firstLine="0" w:firstLineChars="0"/>
              <w:jc w:val="center"/>
              <w:rPr>
                <w:rFonts w:ascii="宋体" w:hAnsi="宋体" w:cs="宋体"/>
                <w:kern w:val="0"/>
                <w:sz w:val="24"/>
                <w:szCs w:val="24"/>
              </w:rPr>
            </w:pPr>
            <w:r>
              <w:rPr>
                <w:rFonts w:hint="eastAsia" w:ascii="宋体" w:hAnsi="宋体" w:cs="宋体"/>
                <w:kern w:val="0"/>
                <w:sz w:val="24"/>
                <w:szCs w:val="24"/>
              </w:rPr>
              <w:t>14</w:t>
            </w:r>
          </w:p>
        </w:tc>
        <w:tc>
          <w:tcPr>
            <w:tcW w:w="2220" w:type="dxa"/>
            <w:tcBorders>
              <w:top w:val="nil"/>
              <w:left w:val="nil"/>
              <w:bottom w:val="single" w:color="auto" w:sz="4" w:space="0"/>
              <w:right w:val="single" w:color="auto" w:sz="4" w:space="0"/>
            </w:tcBorders>
            <w:noWrap/>
            <w:vAlign w:val="center"/>
          </w:tcPr>
          <w:p w14:paraId="73C5B7C5">
            <w:pPr>
              <w:widowControl/>
              <w:ind w:firstLine="0" w:firstLineChars="0"/>
              <w:jc w:val="center"/>
              <w:rPr>
                <w:rFonts w:ascii="宋体" w:hAnsi="宋体" w:cs="宋体"/>
                <w:kern w:val="0"/>
                <w:sz w:val="24"/>
                <w:szCs w:val="24"/>
              </w:rPr>
            </w:pPr>
            <w:r>
              <w:rPr>
                <w:rFonts w:hint="eastAsia" w:ascii="宋体" w:hAnsi="宋体" w:cs="宋体"/>
                <w:kern w:val="0"/>
                <w:sz w:val="24"/>
                <w:szCs w:val="24"/>
              </w:rPr>
              <w:t>下村洋流域</w:t>
            </w:r>
          </w:p>
        </w:tc>
        <w:tc>
          <w:tcPr>
            <w:tcW w:w="1540" w:type="dxa"/>
            <w:tcBorders>
              <w:top w:val="nil"/>
              <w:left w:val="nil"/>
              <w:bottom w:val="single" w:color="auto" w:sz="4" w:space="0"/>
              <w:right w:val="single" w:color="auto" w:sz="4" w:space="0"/>
            </w:tcBorders>
            <w:noWrap/>
            <w:vAlign w:val="center"/>
          </w:tcPr>
          <w:p w14:paraId="0327FD40">
            <w:pPr>
              <w:widowControl/>
              <w:ind w:firstLine="0" w:firstLineChars="0"/>
              <w:jc w:val="center"/>
              <w:rPr>
                <w:rFonts w:ascii="宋体" w:hAnsi="宋体" w:cs="宋体"/>
                <w:kern w:val="0"/>
                <w:sz w:val="24"/>
                <w:szCs w:val="24"/>
              </w:rPr>
            </w:pPr>
            <w:r>
              <w:rPr>
                <w:rFonts w:hint="eastAsia" w:ascii="宋体" w:hAnsi="宋体" w:cs="宋体"/>
                <w:kern w:val="0"/>
                <w:sz w:val="24"/>
                <w:szCs w:val="24"/>
              </w:rPr>
              <w:t>15.8</w:t>
            </w:r>
          </w:p>
        </w:tc>
        <w:tc>
          <w:tcPr>
            <w:tcW w:w="4887" w:type="dxa"/>
            <w:tcBorders>
              <w:top w:val="nil"/>
              <w:left w:val="nil"/>
              <w:bottom w:val="single" w:color="auto" w:sz="4" w:space="0"/>
              <w:right w:val="single" w:color="auto" w:sz="4" w:space="0"/>
            </w:tcBorders>
            <w:noWrap/>
            <w:vAlign w:val="center"/>
          </w:tcPr>
          <w:p w14:paraId="302B3D51">
            <w:pPr>
              <w:widowControl/>
              <w:ind w:firstLine="0" w:firstLineChars="0"/>
              <w:rPr>
                <w:rFonts w:ascii="宋体" w:hAnsi="宋体" w:cs="宋体"/>
                <w:kern w:val="0"/>
                <w:sz w:val="24"/>
                <w:szCs w:val="24"/>
              </w:rPr>
            </w:pPr>
            <w:r>
              <w:rPr>
                <w:rFonts w:hint="eastAsia" w:ascii="宋体" w:hAnsi="宋体" w:cs="宋体"/>
                <w:kern w:val="0"/>
                <w:sz w:val="24"/>
                <w:szCs w:val="24"/>
              </w:rPr>
              <w:t>下村洋溪</w:t>
            </w:r>
          </w:p>
        </w:tc>
      </w:tr>
      <w:tr w14:paraId="0EF68F77">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69EB84EB">
            <w:pPr>
              <w:widowControl/>
              <w:ind w:firstLine="0" w:firstLineChars="0"/>
              <w:jc w:val="center"/>
              <w:rPr>
                <w:rFonts w:ascii="宋体" w:hAnsi="宋体" w:cs="宋体"/>
                <w:kern w:val="0"/>
                <w:sz w:val="24"/>
                <w:szCs w:val="24"/>
              </w:rPr>
            </w:pPr>
            <w:r>
              <w:rPr>
                <w:rFonts w:hint="eastAsia" w:ascii="宋体" w:hAnsi="宋体" w:cs="宋体"/>
                <w:kern w:val="0"/>
                <w:sz w:val="24"/>
                <w:szCs w:val="24"/>
              </w:rPr>
              <w:t>15</w:t>
            </w:r>
          </w:p>
        </w:tc>
        <w:tc>
          <w:tcPr>
            <w:tcW w:w="2220" w:type="dxa"/>
            <w:tcBorders>
              <w:top w:val="nil"/>
              <w:left w:val="nil"/>
              <w:bottom w:val="single" w:color="auto" w:sz="4" w:space="0"/>
              <w:right w:val="single" w:color="auto" w:sz="4" w:space="0"/>
            </w:tcBorders>
            <w:noWrap/>
            <w:vAlign w:val="center"/>
          </w:tcPr>
          <w:p w14:paraId="0B57207D">
            <w:pPr>
              <w:widowControl/>
              <w:ind w:firstLine="0" w:firstLineChars="0"/>
              <w:jc w:val="center"/>
              <w:rPr>
                <w:rFonts w:ascii="宋体" w:hAnsi="宋体" w:cs="宋体"/>
                <w:kern w:val="0"/>
                <w:sz w:val="24"/>
                <w:szCs w:val="24"/>
              </w:rPr>
            </w:pPr>
            <w:r>
              <w:rPr>
                <w:rFonts w:hint="eastAsia" w:ascii="宋体" w:hAnsi="宋体" w:cs="宋体"/>
                <w:kern w:val="0"/>
                <w:sz w:val="24"/>
                <w:szCs w:val="24"/>
              </w:rPr>
              <w:t>滨江新城片区</w:t>
            </w:r>
          </w:p>
        </w:tc>
        <w:tc>
          <w:tcPr>
            <w:tcW w:w="1540" w:type="dxa"/>
            <w:tcBorders>
              <w:top w:val="nil"/>
              <w:left w:val="nil"/>
              <w:bottom w:val="single" w:color="auto" w:sz="4" w:space="0"/>
              <w:right w:val="single" w:color="auto" w:sz="4" w:space="0"/>
            </w:tcBorders>
            <w:noWrap/>
            <w:vAlign w:val="center"/>
          </w:tcPr>
          <w:p w14:paraId="28860B37">
            <w:pPr>
              <w:widowControl/>
              <w:ind w:firstLine="0" w:firstLineChars="0"/>
              <w:jc w:val="center"/>
              <w:rPr>
                <w:rFonts w:ascii="宋体" w:hAnsi="宋体" w:cs="宋体"/>
                <w:kern w:val="0"/>
                <w:sz w:val="24"/>
                <w:szCs w:val="24"/>
              </w:rPr>
            </w:pPr>
            <w:r>
              <w:rPr>
                <w:rFonts w:hint="eastAsia" w:ascii="宋体" w:hAnsi="宋体" w:cs="宋体"/>
                <w:kern w:val="0"/>
                <w:sz w:val="24"/>
                <w:szCs w:val="24"/>
              </w:rPr>
              <w:t>3.9</w:t>
            </w:r>
          </w:p>
        </w:tc>
        <w:tc>
          <w:tcPr>
            <w:tcW w:w="4887" w:type="dxa"/>
            <w:tcBorders>
              <w:top w:val="nil"/>
              <w:left w:val="nil"/>
              <w:bottom w:val="single" w:color="auto" w:sz="4" w:space="0"/>
              <w:right w:val="single" w:color="auto" w:sz="4" w:space="0"/>
            </w:tcBorders>
            <w:noWrap/>
            <w:vAlign w:val="center"/>
          </w:tcPr>
          <w:p w14:paraId="39691279">
            <w:pPr>
              <w:widowControl/>
              <w:ind w:firstLine="0" w:firstLineChars="0"/>
              <w:rPr>
                <w:rFonts w:ascii="宋体" w:hAnsi="宋体" w:cs="宋体"/>
                <w:kern w:val="0"/>
                <w:sz w:val="24"/>
                <w:szCs w:val="24"/>
              </w:rPr>
            </w:pPr>
            <w:r>
              <w:rPr>
                <w:rFonts w:hint="eastAsia" w:ascii="宋体" w:hAnsi="宋体" w:cs="宋体"/>
                <w:kern w:val="0"/>
                <w:sz w:val="24"/>
                <w:szCs w:val="24"/>
              </w:rPr>
              <w:t>粮库排洪沟、滨江新城排洪沟、油库排洪沟</w:t>
            </w:r>
          </w:p>
        </w:tc>
      </w:tr>
      <w:tr w14:paraId="7A0A39AA">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23EA841A">
            <w:pPr>
              <w:widowControl/>
              <w:ind w:firstLine="0" w:firstLineChars="0"/>
              <w:jc w:val="center"/>
              <w:rPr>
                <w:rFonts w:ascii="宋体" w:hAnsi="宋体" w:cs="宋体"/>
                <w:kern w:val="0"/>
                <w:sz w:val="24"/>
                <w:szCs w:val="24"/>
              </w:rPr>
            </w:pPr>
            <w:r>
              <w:rPr>
                <w:rFonts w:hint="eastAsia" w:ascii="宋体" w:hAnsi="宋体" w:cs="宋体"/>
                <w:kern w:val="0"/>
                <w:sz w:val="24"/>
                <w:szCs w:val="24"/>
              </w:rPr>
              <w:t>16</w:t>
            </w:r>
          </w:p>
        </w:tc>
        <w:tc>
          <w:tcPr>
            <w:tcW w:w="2220" w:type="dxa"/>
            <w:tcBorders>
              <w:top w:val="nil"/>
              <w:left w:val="nil"/>
              <w:bottom w:val="single" w:color="auto" w:sz="4" w:space="0"/>
              <w:right w:val="single" w:color="auto" w:sz="4" w:space="0"/>
            </w:tcBorders>
            <w:noWrap/>
            <w:vAlign w:val="center"/>
          </w:tcPr>
          <w:p w14:paraId="76DA91F0">
            <w:pPr>
              <w:widowControl/>
              <w:ind w:firstLine="0" w:firstLineChars="0"/>
              <w:jc w:val="center"/>
              <w:rPr>
                <w:rFonts w:ascii="宋体" w:hAnsi="宋体" w:cs="宋体"/>
                <w:kern w:val="0"/>
                <w:sz w:val="24"/>
                <w:szCs w:val="24"/>
              </w:rPr>
            </w:pPr>
            <w:r>
              <w:rPr>
                <w:rFonts w:hint="eastAsia" w:ascii="宋体" w:hAnsi="宋体" w:cs="宋体"/>
                <w:kern w:val="0"/>
                <w:sz w:val="24"/>
                <w:szCs w:val="24"/>
              </w:rPr>
              <w:t>碧溪流域</w:t>
            </w:r>
          </w:p>
        </w:tc>
        <w:tc>
          <w:tcPr>
            <w:tcW w:w="1540" w:type="dxa"/>
            <w:tcBorders>
              <w:top w:val="nil"/>
              <w:left w:val="nil"/>
              <w:bottom w:val="single" w:color="auto" w:sz="4" w:space="0"/>
              <w:right w:val="single" w:color="auto" w:sz="4" w:space="0"/>
            </w:tcBorders>
            <w:noWrap/>
            <w:vAlign w:val="center"/>
          </w:tcPr>
          <w:p w14:paraId="3A1DA2BE">
            <w:pPr>
              <w:widowControl/>
              <w:ind w:firstLine="0" w:firstLineChars="0"/>
              <w:jc w:val="center"/>
              <w:rPr>
                <w:rFonts w:ascii="宋体" w:hAnsi="宋体" w:cs="宋体"/>
                <w:kern w:val="0"/>
                <w:sz w:val="24"/>
                <w:szCs w:val="24"/>
              </w:rPr>
            </w:pPr>
            <w:r>
              <w:rPr>
                <w:rFonts w:hint="eastAsia" w:ascii="宋体" w:hAnsi="宋体" w:cs="宋体"/>
                <w:kern w:val="0"/>
                <w:sz w:val="24"/>
                <w:szCs w:val="24"/>
              </w:rPr>
              <w:t>144</w:t>
            </w:r>
          </w:p>
        </w:tc>
        <w:tc>
          <w:tcPr>
            <w:tcW w:w="4887" w:type="dxa"/>
            <w:tcBorders>
              <w:top w:val="nil"/>
              <w:left w:val="nil"/>
              <w:bottom w:val="single" w:color="auto" w:sz="4" w:space="0"/>
              <w:right w:val="single" w:color="auto" w:sz="4" w:space="0"/>
            </w:tcBorders>
            <w:noWrap/>
            <w:vAlign w:val="center"/>
          </w:tcPr>
          <w:p w14:paraId="1DF924EC">
            <w:pPr>
              <w:widowControl/>
              <w:ind w:firstLine="0" w:firstLineChars="0"/>
              <w:rPr>
                <w:rFonts w:ascii="宋体" w:hAnsi="宋体" w:cs="宋体"/>
                <w:kern w:val="0"/>
                <w:sz w:val="24"/>
                <w:szCs w:val="24"/>
              </w:rPr>
            </w:pPr>
            <w:r>
              <w:rPr>
                <w:rFonts w:hint="eastAsia" w:ascii="宋体" w:hAnsi="宋体" w:cs="宋体"/>
                <w:kern w:val="0"/>
                <w:sz w:val="24"/>
                <w:szCs w:val="24"/>
              </w:rPr>
              <w:t>碧溪</w:t>
            </w:r>
          </w:p>
        </w:tc>
      </w:tr>
      <w:tr w14:paraId="7368238C">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755316FB">
            <w:pPr>
              <w:widowControl/>
              <w:ind w:firstLine="0" w:firstLineChars="0"/>
              <w:jc w:val="center"/>
              <w:rPr>
                <w:rFonts w:ascii="宋体" w:hAnsi="宋体" w:cs="宋体"/>
                <w:kern w:val="0"/>
                <w:sz w:val="24"/>
                <w:szCs w:val="24"/>
              </w:rPr>
            </w:pPr>
            <w:r>
              <w:rPr>
                <w:rFonts w:hint="eastAsia" w:ascii="宋体" w:hAnsi="宋体" w:cs="宋体"/>
                <w:kern w:val="0"/>
                <w:sz w:val="24"/>
                <w:szCs w:val="24"/>
              </w:rPr>
              <w:t>17</w:t>
            </w:r>
          </w:p>
        </w:tc>
        <w:tc>
          <w:tcPr>
            <w:tcW w:w="2220" w:type="dxa"/>
            <w:tcBorders>
              <w:top w:val="nil"/>
              <w:left w:val="nil"/>
              <w:bottom w:val="single" w:color="auto" w:sz="4" w:space="0"/>
              <w:right w:val="single" w:color="auto" w:sz="4" w:space="0"/>
            </w:tcBorders>
            <w:noWrap/>
            <w:vAlign w:val="center"/>
          </w:tcPr>
          <w:p w14:paraId="0FA58E80">
            <w:pPr>
              <w:widowControl/>
              <w:ind w:firstLine="0" w:firstLineChars="0"/>
              <w:jc w:val="center"/>
              <w:rPr>
                <w:rFonts w:ascii="宋体" w:hAnsi="宋体" w:cs="宋体"/>
                <w:kern w:val="0"/>
                <w:sz w:val="24"/>
                <w:szCs w:val="24"/>
              </w:rPr>
            </w:pPr>
            <w:r>
              <w:rPr>
                <w:rFonts w:hint="eastAsia" w:ascii="宋体" w:hAnsi="宋体" w:cs="宋体"/>
                <w:kern w:val="0"/>
                <w:sz w:val="24"/>
                <w:szCs w:val="24"/>
              </w:rPr>
              <w:t>斑竹溪流域</w:t>
            </w:r>
          </w:p>
        </w:tc>
        <w:tc>
          <w:tcPr>
            <w:tcW w:w="1540" w:type="dxa"/>
            <w:tcBorders>
              <w:top w:val="nil"/>
              <w:left w:val="nil"/>
              <w:bottom w:val="single" w:color="auto" w:sz="4" w:space="0"/>
              <w:right w:val="single" w:color="auto" w:sz="4" w:space="0"/>
            </w:tcBorders>
            <w:noWrap/>
            <w:vAlign w:val="center"/>
          </w:tcPr>
          <w:p w14:paraId="5D588CF4">
            <w:pPr>
              <w:widowControl/>
              <w:ind w:firstLine="0" w:firstLineChars="0"/>
              <w:jc w:val="center"/>
              <w:rPr>
                <w:rFonts w:ascii="宋体" w:hAnsi="宋体" w:cs="宋体"/>
                <w:kern w:val="0"/>
                <w:sz w:val="24"/>
                <w:szCs w:val="24"/>
              </w:rPr>
            </w:pPr>
            <w:r>
              <w:rPr>
                <w:rFonts w:hint="eastAsia" w:ascii="宋体" w:hAnsi="宋体" w:cs="宋体"/>
                <w:kern w:val="0"/>
                <w:sz w:val="24"/>
                <w:szCs w:val="24"/>
              </w:rPr>
              <w:t>16.3</w:t>
            </w:r>
          </w:p>
        </w:tc>
        <w:tc>
          <w:tcPr>
            <w:tcW w:w="4887" w:type="dxa"/>
            <w:tcBorders>
              <w:top w:val="nil"/>
              <w:left w:val="nil"/>
              <w:bottom w:val="single" w:color="auto" w:sz="4" w:space="0"/>
              <w:right w:val="single" w:color="auto" w:sz="4" w:space="0"/>
            </w:tcBorders>
            <w:noWrap/>
            <w:vAlign w:val="center"/>
          </w:tcPr>
          <w:p w14:paraId="29245F48">
            <w:pPr>
              <w:widowControl/>
              <w:ind w:firstLine="0" w:firstLineChars="0"/>
              <w:rPr>
                <w:rFonts w:ascii="宋体" w:hAnsi="宋体" w:cs="宋体"/>
                <w:kern w:val="0"/>
                <w:sz w:val="24"/>
                <w:szCs w:val="24"/>
              </w:rPr>
            </w:pPr>
            <w:r>
              <w:rPr>
                <w:rFonts w:hint="eastAsia" w:ascii="宋体" w:hAnsi="宋体" w:cs="宋体"/>
                <w:kern w:val="0"/>
                <w:sz w:val="24"/>
                <w:szCs w:val="24"/>
              </w:rPr>
              <w:t>斑竹溪</w:t>
            </w:r>
          </w:p>
        </w:tc>
      </w:tr>
      <w:tr w14:paraId="5DA3B76C">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7D289C41">
            <w:pPr>
              <w:widowControl/>
              <w:ind w:firstLine="0" w:firstLineChars="0"/>
              <w:jc w:val="center"/>
              <w:rPr>
                <w:rFonts w:ascii="宋体" w:hAnsi="宋体" w:cs="宋体"/>
                <w:kern w:val="0"/>
                <w:sz w:val="24"/>
                <w:szCs w:val="24"/>
              </w:rPr>
            </w:pPr>
            <w:r>
              <w:rPr>
                <w:rFonts w:hint="eastAsia" w:ascii="宋体" w:hAnsi="宋体" w:cs="宋体"/>
                <w:kern w:val="0"/>
                <w:sz w:val="24"/>
                <w:szCs w:val="24"/>
              </w:rPr>
              <w:t>18</w:t>
            </w:r>
          </w:p>
        </w:tc>
        <w:tc>
          <w:tcPr>
            <w:tcW w:w="2220" w:type="dxa"/>
            <w:tcBorders>
              <w:top w:val="nil"/>
              <w:left w:val="nil"/>
              <w:bottom w:val="single" w:color="auto" w:sz="4" w:space="0"/>
              <w:right w:val="single" w:color="auto" w:sz="4" w:space="0"/>
            </w:tcBorders>
            <w:noWrap/>
            <w:vAlign w:val="center"/>
          </w:tcPr>
          <w:p w14:paraId="19FF671F">
            <w:pPr>
              <w:widowControl/>
              <w:ind w:firstLine="0" w:firstLineChars="0"/>
              <w:jc w:val="center"/>
              <w:rPr>
                <w:rFonts w:ascii="宋体" w:hAnsi="宋体" w:cs="宋体"/>
                <w:kern w:val="0"/>
                <w:sz w:val="24"/>
                <w:szCs w:val="24"/>
              </w:rPr>
            </w:pPr>
            <w:r>
              <w:rPr>
                <w:rFonts w:hint="eastAsia" w:ascii="宋体" w:hAnsi="宋体" w:cs="宋体"/>
                <w:kern w:val="0"/>
                <w:sz w:val="24"/>
                <w:szCs w:val="24"/>
              </w:rPr>
              <w:t>洋溪片区</w:t>
            </w:r>
          </w:p>
        </w:tc>
        <w:tc>
          <w:tcPr>
            <w:tcW w:w="1540" w:type="dxa"/>
            <w:tcBorders>
              <w:top w:val="nil"/>
              <w:left w:val="nil"/>
              <w:bottom w:val="single" w:color="auto" w:sz="4" w:space="0"/>
              <w:right w:val="single" w:color="auto" w:sz="4" w:space="0"/>
            </w:tcBorders>
            <w:noWrap/>
            <w:vAlign w:val="center"/>
          </w:tcPr>
          <w:p w14:paraId="7623CD53">
            <w:pPr>
              <w:widowControl/>
              <w:ind w:firstLine="0" w:firstLineChars="0"/>
              <w:jc w:val="center"/>
              <w:rPr>
                <w:rFonts w:ascii="宋体" w:hAnsi="宋体" w:cs="宋体"/>
                <w:kern w:val="0"/>
                <w:sz w:val="24"/>
                <w:szCs w:val="24"/>
              </w:rPr>
            </w:pPr>
            <w:r>
              <w:rPr>
                <w:rFonts w:hint="eastAsia" w:ascii="宋体" w:hAnsi="宋体" w:cs="宋体"/>
                <w:kern w:val="0"/>
                <w:sz w:val="24"/>
                <w:szCs w:val="24"/>
              </w:rPr>
              <w:t>62.3</w:t>
            </w:r>
          </w:p>
        </w:tc>
        <w:tc>
          <w:tcPr>
            <w:tcW w:w="4887" w:type="dxa"/>
            <w:tcBorders>
              <w:top w:val="nil"/>
              <w:left w:val="nil"/>
              <w:bottom w:val="single" w:color="auto" w:sz="4" w:space="0"/>
              <w:right w:val="single" w:color="auto" w:sz="4" w:space="0"/>
            </w:tcBorders>
            <w:noWrap/>
            <w:vAlign w:val="center"/>
          </w:tcPr>
          <w:p w14:paraId="5688EAC7">
            <w:pPr>
              <w:widowControl/>
              <w:ind w:firstLine="0" w:firstLineChars="0"/>
              <w:rPr>
                <w:rFonts w:ascii="宋体" w:hAnsi="宋体" w:cs="宋体"/>
                <w:kern w:val="0"/>
                <w:sz w:val="24"/>
                <w:szCs w:val="24"/>
              </w:rPr>
            </w:pPr>
            <w:r>
              <w:rPr>
                <w:rFonts w:hint="eastAsia" w:ascii="宋体" w:hAnsi="宋体" w:cs="宋体"/>
                <w:kern w:val="0"/>
                <w:sz w:val="24"/>
                <w:szCs w:val="24"/>
              </w:rPr>
              <w:t>洋溪、半路洋溪，孝坑溪</w:t>
            </w:r>
          </w:p>
        </w:tc>
      </w:tr>
      <w:tr w14:paraId="3EAFF4C5">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6CC08FFC">
            <w:pPr>
              <w:widowControl/>
              <w:ind w:firstLine="0" w:firstLineChars="0"/>
              <w:jc w:val="center"/>
              <w:rPr>
                <w:rFonts w:ascii="宋体" w:hAnsi="宋体" w:cs="宋体"/>
                <w:kern w:val="0"/>
                <w:sz w:val="24"/>
                <w:szCs w:val="24"/>
              </w:rPr>
            </w:pPr>
            <w:r>
              <w:rPr>
                <w:rFonts w:hint="eastAsia" w:ascii="宋体" w:hAnsi="宋体" w:cs="宋体"/>
                <w:kern w:val="0"/>
                <w:sz w:val="24"/>
                <w:szCs w:val="24"/>
              </w:rPr>
              <w:t>19</w:t>
            </w:r>
          </w:p>
        </w:tc>
        <w:tc>
          <w:tcPr>
            <w:tcW w:w="2220" w:type="dxa"/>
            <w:tcBorders>
              <w:top w:val="nil"/>
              <w:left w:val="nil"/>
              <w:bottom w:val="single" w:color="auto" w:sz="4" w:space="0"/>
              <w:right w:val="single" w:color="auto" w:sz="4" w:space="0"/>
            </w:tcBorders>
            <w:noWrap/>
            <w:vAlign w:val="center"/>
          </w:tcPr>
          <w:p w14:paraId="3260AA03">
            <w:pPr>
              <w:widowControl/>
              <w:ind w:firstLine="0" w:firstLineChars="0"/>
              <w:jc w:val="center"/>
              <w:rPr>
                <w:rFonts w:ascii="宋体" w:hAnsi="宋体" w:cs="宋体"/>
                <w:kern w:val="0"/>
                <w:sz w:val="24"/>
                <w:szCs w:val="24"/>
              </w:rPr>
            </w:pPr>
            <w:r>
              <w:rPr>
                <w:rFonts w:hint="eastAsia" w:ascii="宋体" w:hAnsi="宋体" w:cs="宋体"/>
                <w:kern w:val="0"/>
                <w:sz w:val="24"/>
                <w:szCs w:val="24"/>
              </w:rPr>
              <w:t>洋溪北片区</w:t>
            </w:r>
          </w:p>
        </w:tc>
        <w:tc>
          <w:tcPr>
            <w:tcW w:w="1540" w:type="dxa"/>
            <w:tcBorders>
              <w:top w:val="nil"/>
              <w:left w:val="nil"/>
              <w:bottom w:val="single" w:color="auto" w:sz="4" w:space="0"/>
              <w:right w:val="single" w:color="auto" w:sz="4" w:space="0"/>
            </w:tcBorders>
            <w:noWrap/>
            <w:vAlign w:val="center"/>
          </w:tcPr>
          <w:p w14:paraId="41670B7B">
            <w:pPr>
              <w:widowControl/>
              <w:ind w:firstLine="0" w:firstLineChars="0"/>
              <w:jc w:val="center"/>
              <w:rPr>
                <w:rFonts w:ascii="宋体" w:hAnsi="宋体" w:cs="宋体"/>
                <w:kern w:val="0"/>
                <w:sz w:val="24"/>
                <w:szCs w:val="24"/>
              </w:rPr>
            </w:pPr>
            <w:r>
              <w:rPr>
                <w:rFonts w:hint="eastAsia" w:ascii="宋体" w:hAnsi="宋体" w:cs="宋体"/>
                <w:kern w:val="0"/>
                <w:sz w:val="24"/>
                <w:szCs w:val="24"/>
              </w:rPr>
              <w:t>10.2</w:t>
            </w:r>
          </w:p>
        </w:tc>
        <w:tc>
          <w:tcPr>
            <w:tcW w:w="4887" w:type="dxa"/>
            <w:tcBorders>
              <w:top w:val="nil"/>
              <w:left w:val="nil"/>
              <w:bottom w:val="single" w:color="auto" w:sz="4" w:space="0"/>
              <w:right w:val="single" w:color="auto" w:sz="4" w:space="0"/>
            </w:tcBorders>
            <w:noWrap/>
            <w:vAlign w:val="center"/>
          </w:tcPr>
          <w:p w14:paraId="29305815">
            <w:pPr>
              <w:widowControl/>
              <w:ind w:firstLine="0" w:firstLineChars="0"/>
              <w:rPr>
                <w:rFonts w:ascii="宋体" w:hAnsi="宋体" w:cs="宋体"/>
                <w:kern w:val="0"/>
                <w:sz w:val="24"/>
                <w:szCs w:val="24"/>
              </w:rPr>
            </w:pPr>
            <w:r>
              <w:rPr>
                <w:rFonts w:hint="eastAsia" w:ascii="宋体" w:hAnsi="宋体" w:cs="宋体"/>
                <w:kern w:val="0"/>
                <w:sz w:val="24"/>
                <w:szCs w:val="24"/>
              </w:rPr>
              <w:t>/</w:t>
            </w:r>
          </w:p>
        </w:tc>
      </w:tr>
      <w:tr w14:paraId="0B78103B">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7F4E0CEB">
            <w:pPr>
              <w:widowControl/>
              <w:ind w:firstLine="0" w:firstLineChars="0"/>
              <w:jc w:val="center"/>
              <w:rPr>
                <w:rFonts w:ascii="宋体" w:hAnsi="宋体" w:cs="宋体"/>
                <w:kern w:val="0"/>
                <w:sz w:val="24"/>
                <w:szCs w:val="24"/>
              </w:rPr>
            </w:pPr>
            <w:r>
              <w:rPr>
                <w:rFonts w:hint="eastAsia" w:ascii="宋体" w:hAnsi="宋体" w:cs="宋体"/>
                <w:kern w:val="0"/>
                <w:sz w:val="24"/>
                <w:szCs w:val="24"/>
              </w:rPr>
              <w:t>20</w:t>
            </w:r>
          </w:p>
        </w:tc>
        <w:tc>
          <w:tcPr>
            <w:tcW w:w="2220" w:type="dxa"/>
            <w:tcBorders>
              <w:top w:val="nil"/>
              <w:left w:val="nil"/>
              <w:bottom w:val="single" w:color="auto" w:sz="4" w:space="0"/>
              <w:right w:val="single" w:color="auto" w:sz="4" w:space="0"/>
            </w:tcBorders>
            <w:noWrap/>
            <w:vAlign w:val="center"/>
          </w:tcPr>
          <w:p w14:paraId="70528E07">
            <w:pPr>
              <w:widowControl/>
              <w:ind w:firstLine="0" w:firstLineChars="0"/>
              <w:jc w:val="center"/>
              <w:rPr>
                <w:rFonts w:ascii="宋体" w:hAnsi="宋体" w:cs="宋体"/>
                <w:kern w:val="0"/>
                <w:sz w:val="24"/>
                <w:szCs w:val="24"/>
              </w:rPr>
            </w:pPr>
            <w:r>
              <w:rPr>
                <w:rFonts w:hint="eastAsia" w:ascii="宋体" w:hAnsi="宋体" w:cs="宋体"/>
                <w:kern w:val="0"/>
                <w:sz w:val="24"/>
                <w:szCs w:val="24"/>
              </w:rPr>
              <w:t>墩头溪流域</w:t>
            </w:r>
          </w:p>
        </w:tc>
        <w:tc>
          <w:tcPr>
            <w:tcW w:w="1540" w:type="dxa"/>
            <w:tcBorders>
              <w:top w:val="nil"/>
              <w:left w:val="nil"/>
              <w:bottom w:val="single" w:color="auto" w:sz="4" w:space="0"/>
              <w:right w:val="single" w:color="auto" w:sz="4" w:space="0"/>
            </w:tcBorders>
            <w:noWrap/>
            <w:vAlign w:val="center"/>
          </w:tcPr>
          <w:p w14:paraId="2A1F89B9">
            <w:pPr>
              <w:widowControl/>
              <w:ind w:firstLine="0" w:firstLineChars="0"/>
              <w:jc w:val="center"/>
              <w:rPr>
                <w:rFonts w:ascii="宋体" w:hAnsi="宋体" w:cs="宋体"/>
                <w:kern w:val="0"/>
                <w:sz w:val="24"/>
                <w:szCs w:val="24"/>
              </w:rPr>
            </w:pPr>
            <w:r>
              <w:rPr>
                <w:rFonts w:hint="eastAsia" w:ascii="宋体" w:hAnsi="宋体" w:cs="宋体"/>
                <w:kern w:val="0"/>
                <w:sz w:val="24"/>
                <w:szCs w:val="24"/>
              </w:rPr>
              <w:t>23.2</w:t>
            </w:r>
          </w:p>
        </w:tc>
        <w:tc>
          <w:tcPr>
            <w:tcW w:w="4887" w:type="dxa"/>
            <w:tcBorders>
              <w:top w:val="nil"/>
              <w:left w:val="nil"/>
              <w:bottom w:val="single" w:color="auto" w:sz="4" w:space="0"/>
              <w:right w:val="single" w:color="auto" w:sz="4" w:space="0"/>
            </w:tcBorders>
            <w:noWrap/>
            <w:vAlign w:val="center"/>
          </w:tcPr>
          <w:p w14:paraId="16F33655">
            <w:pPr>
              <w:widowControl/>
              <w:ind w:firstLine="0" w:firstLineChars="0"/>
              <w:rPr>
                <w:rFonts w:ascii="宋体" w:hAnsi="宋体" w:cs="宋体"/>
                <w:kern w:val="0"/>
                <w:sz w:val="24"/>
                <w:szCs w:val="24"/>
              </w:rPr>
            </w:pPr>
            <w:r>
              <w:rPr>
                <w:rFonts w:hint="eastAsia" w:ascii="宋体" w:hAnsi="宋体" w:cs="宋体"/>
                <w:kern w:val="0"/>
                <w:sz w:val="24"/>
                <w:szCs w:val="24"/>
              </w:rPr>
              <w:t>墩头溪</w:t>
            </w:r>
          </w:p>
        </w:tc>
      </w:tr>
      <w:tr w14:paraId="14E29BEA">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18136780">
            <w:pPr>
              <w:widowControl/>
              <w:ind w:firstLine="0" w:firstLineChars="0"/>
              <w:jc w:val="center"/>
              <w:rPr>
                <w:rFonts w:ascii="宋体" w:hAnsi="宋体" w:cs="宋体"/>
                <w:kern w:val="0"/>
                <w:sz w:val="24"/>
                <w:szCs w:val="24"/>
              </w:rPr>
            </w:pPr>
            <w:r>
              <w:rPr>
                <w:rFonts w:hint="eastAsia" w:ascii="宋体" w:hAnsi="宋体" w:cs="宋体"/>
                <w:kern w:val="0"/>
                <w:sz w:val="24"/>
                <w:szCs w:val="24"/>
              </w:rPr>
              <w:t>21</w:t>
            </w:r>
          </w:p>
        </w:tc>
        <w:tc>
          <w:tcPr>
            <w:tcW w:w="2220" w:type="dxa"/>
            <w:tcBorders>
              <w:top w:val="nil"/>
              <w:left w:val="nil"/>
              <w:bottom w:val="single" w:color="auto" w:sz="4" w:space="0"/>
              <w:right w:val="single" w:color="auto" w:sz="4" w:space="0"/>
            </w:tcBorders>
            <w:noWrap/>
            <w:vAlign w:val="center"/>
          </w:tcPr>
          <w:p w14:paraId="3B765897">
            <w:pPr>
              <w:widowControl/>
              <w:ind w:firstLine="0" w:firstLineChars="0"/>
              <w:jc w:val="center"/>
              <w:rPr>
                <w:rFonts w:ascii="宋体" w:hAnsi="宋体" w:cs="宋体"/>
                <w:kern w:val="0"/>
                <w:sz w:val="24"/>
                <w:szCs w:val="24"/>
              </w:rPr>
            </w:pPr>
            <w:r>
              <w:rPr>
                <w:rFonts w:hint="eastAsia" w:ascii="宋体" w:hAnsi="宋体" w:cs="宋体"/>
                <w:kern w:val="0"/>
                <w:sz w:val="24"/>
                <w:szCs w:val="24"/>
              </w:rPr>
              <w:t>城南片区</w:t>
            </w:r>
          </w:p>
        </w:tc>
        <w:tc>
          <w:tcPr>
            <w:tcW w:w="1540" w:type="dxa"/>
            <w:tcBorders>
              <w:top w:val="nil"/>
              <w:left w:val="nil"/>
              <w:bottom w:val="single" w:color="auto" w:sz="4" w:space="0"/>
              <w:right w:val="single" w:color="auto" w:sz="4" w:space="0"/>
            </w:tcBorders>
            <w:noWrap/>
            <w:vAlign w:val="center"/>
          </w:tcPr>
          <w:p w14:paraId="46317072">
            <w:pPr>
              <w:widowControl/>
              <w:ind w:firstLine="0" w:firstLineChars="0"/>
              <w:jc w:val="center"/>
              <w:rPr>
                <w:rFonts w:ascii="宋体" w:hAnsi="宋体" w:cs="宋体"/>
                <w:kern w:val="0"/>
                <w:sz w:val="24"/>
                <w:szCs w:val="24"/>
              </w:rPr>
            </w:pPr>
            <w:r>
              <w:rPr>
                <w:rFonts w:hint="eastAsia" w:ascii="宋体" w:hAnsi="宋体" w:cs="宋体"/>
                <w:kern w:val="0"/>
                <w:sz w:val="24"/>
                <w:szCs w:val="24"/>
              </w:rPr>
              <w:t>13.9</w:t>
            </w:r>
          </w:p>
        </w:tc>
        <w:tc>
          <w:tcPr>
            <w:tcW w:w="4887" w:type="dxa"/>
            <w:tcBorders>
              <w:top w:val="nil"/>
              <w:left w:val="nil"/>
              <w:bottom w:val="single" w:color="auto" w:sz="4" w:space="0"/>
              <w:right w:val="single" w:color="auto" w:sz="4" w:space="0"/>
            </w:tcBorders>
            <w:noWrap/>
            <w:vAlign w:val="center"/>
          </w:tcPr>
          <w:p w14:paraId="71B3AC37">
            <w:pPr>
              <w:widowControl/>
              <w:ind w:firstLine="0" w:firstLineChars="0"/>
              <w:rPr>
                <w:rFonts w:ascii="宋体" w:hAnsi="宋体" w:cs="宋体"/>
                <w:kern w:val="0"/>
                <w:sz w:val="24"/>
                <w:szCs w:val="24"/>
              </w:rPr>
            </w:pPr>
            <w:r>
              <w:rPr>
                <w:rFonts w:hint="eastAsia" w:ascii="宋体" w:hAnsi="宋体" w:cs="宋体"/>
                <w:kern w:val="0"/>
                <w:sz w:val="24"/>
                <w:szCs w:val="24"/>
              </w:rPr>
              <w:t>外家溪、林业溪</w:t>
            </w:r>
          </w:p>
        </w:tc>
      </w:tr>
      <w:tr w14:paraId="7430F78D">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54842311">
            <w:pPr>
              <w:widowControl/>
              <w:ind w:firstLine="0" w:firstLineChars="0"/>
              <w:jc w:val="center"/>
              <w:rPr>
                <w:rFonts w:ascii="宋体" w:hAnsi="宋体" w:cs="宋体"/>
                <w:kern w:val="0"/>
                <w:sz w:val="24"/>
                <w:szCs w:val="24"/>
              </w:rPr>
            </w:pPr>
            <w:r>
              <w:rPr>
                <w:rFonts w:hint="eastAsia" w:ascii="宋体" w:hAnsi="宋体" w:cs="宋体"/>
                <w:kern w:val="0"/>
                <w:sz w:val="24"/>
                <w:szCs w:val="24"/>
              </w:rPr>
              <w:t>22</w:t>
            </w:r>
          </w:p>
        </w:tc>
        <w:tc>
          <w:tcPr>
            <w:tcW w:w="2220" w:type="dxa"/>
            <w:tcBorders>
              <w:top w:val="nil"/>
              <w:left w:val="nil"/>
              <w:bottom w:val="single" w:color="auto" w:sz="4" w:space="0"/>
              <w:right w:val="single" w:color="auto" w:sz="4" w:space="0"/>
            </w:tcBorders>
            <w:noWrap/>
            <w:vAlign w:val="center"/>
          </w:tcPr>
          <w:p w14:paraId="6C4232D1">
            <w:pPr>
              <w:widowControl/>
              <w:ind w:firstLine="0" w:firstLineChars="0"/>
              <w:jc w:val="center"/>
              <w:rPr>
                <w:rFonts w:ascii="宋体" w:hAnsi="宋体" w:cs="宋体"/>
                <w:kern w:val="0"/>
                <w:sz w:val="24"/>
                <w:szCs w:val="24"/>
              </w:rPr>
            </w:pPr>
            <w:r>
              <w:rPr>
                <w:rFonts w:hint="eastAsia" w:ascii="宋体" w:hAnsi="宋体" w:cs="宋体"/>
                <w:kern w:val="0"/>
                <w:sz w:val="24"/>
                <w:szCs w:val="24"/>
              </w:rPr>
              <w:t>豆士溪流域</w:t>
            </w:r>
          </w:p>
        </w:tc>
        <w:tc>
          <w:tcPr>
            <w:tcW w:w="1540" w:type="dxa"/>
            <w:tcBorders>
              <w:top w:val="nil"/>
              <w:left w:val="nil"/>
              <w:bottom w:val="single" w:color="auto" w:sz="4" w:space="0"/>
              <w:right w:val="single" w:color="auto" w:sz="4" w:space="0"/>
            </w:tcBorders>
            <w:noWrap/>
            <w:vAlign w:val="center"/>
          </w:tcPr>
          <w:p w14:paraId="42A46E7E">
            <w:pPr>
              <w:widowControl/>
              <w:ind w:firstLine="0" w:firstLineChars="0"/>
              <w:jc w:val="center"/>
              <w:rPr>
                <w:rFonts w:ascii="宋体" w:hAnsi="宋体" w:cs="宋体"/>
                <w:kern w:val="0"/>
                <w:sz w:val="24"/>
                <w:szCs w:val="24"/>
              </w:rPr>
            </w:pPr>
            <w:r>
              <w:rPr>
                <w:rFonts w:hint="eastAsia" w:ascii="宋体" w:hAnsi="宋体" w:cs="宋体"/>
                <w:kern w:val="0"/>
                <w:sz w:val="24"/>
                <w:szCs w:val="24"/>
              </w:rPr>
              <w:t>310.2</w:t>
            </w:r>
          </w:p>
        </w:tc>
        <w:tc>
          <w:tcPr>
            <w:tcW w:w="4887" w:type="dxa"/>
            <w:tcBorders>
              <w:top w:val="nil"/>
              <w:left w:val="nil"/>
              <w:bottom w:val="single" w:color="auto" w:sz="4" w:space="0"/>
              <w:right w:val="single" w:color="auto" w:sz="4" w:space="0"/>
            </w:tcBorders>
            <w:noWrap/>
            <w:vAlign w:val="center"/>
          </w:tcPr>
          <w:p w14:paraId="392FA746">
            <w:pPr>
              <w:widowControl/>
              <w:ind w:firstLine="0" w:firstLineChars="0"/>
              <w:rPr>
                <w:rFonts w:ascii="宋体" w:hAnsi="宋体" w:cs="宋体"/>
                <w:kern w:val="0"/>
                <w:sz w:val="24"/>
                <w:szCs w:val="24"/>
              </w:rPr>
            </w:pPr>
            <w:r>
              <w:rPr>
                <w:rFonts w:hint="eastAsia" w:ascii="宋体" w:hAnsi="宋体" w:cs="宋体"/>
                <w:kern w:val="0"/>
                <w:sz w:val="24"/>
                <w:szCs w:val="24"/>
              </w:rPr>
              <w:t>豆士溪</w:t>
            </w:r>
          </w:p>
        </w:tc>
      </w:tr>
      <w:tr w14:paraId="0E78AB78">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1595D53C">
            <w:pPr>
              <w:widowControl/>
              <w:ind w:firstLine="0" w:firstLineChars="0"/>
              <w:jc w:val="center"/>
              <w:rPr>
                <w:rFonts w:ascii="宋体" w:hAnsi="宋体" w:cs="宋体"/>
                <w:kern w:val="0"/>
                <w:sz w:val="24"/>
                <w:szCs w:val="24"/>
              </w:rPr>
            </w:pPr>
            <w:r>
              <w:rPr>
                <w:rFonts w:hint="eastAsia" w:ascii="宋体" w:hAnsi="宋体" w:cs="宋体"/>
                <w:kern w:val="0"/>
                <w:sz w:val="24"/>
                <w:szCs w:val="24"/>
              </w:rPr>
              <w:t>23</w:t>
            </w:r>
          </w:p>
        </w:tc>
        <w:tc>
          <w:tcPr>
            <w:tcW w:w="2220" w:type="dxa"/>
            <w:tcBorders>
              <w:top w:val="nil"/>
              <w:left w:val="nil"/>
              <w:bottom w:val="single" w:color="auto" w:sz="4" w:space="0"/>
              <w:right w:val="single" w:color="auto" w:sz="4" w:space="0"/>
            </w:tcBorders>
            <w:noWrap/>
            <w:vAlign w:val="center"/>
          </w:tcPr>
          <w:p w14:paraId="30221FC3">
            <w:pPr>
              <w:widowControl/>
              <w:ind w:firstLine="0" w:firstLineChars="0"/>
              <w:jc w:val="center"/>
              <w:rPr>
                <w:rFonts w:ascii="宋体" w:hAnsi="宋体" w:cs="宋体"/>
                <w:kern w:val="0"/>
                <w:sz w:val="24"/>
                <w:szCs w:val="24"/>
              </w:rPr>
            </w:pPr>
            <w:r>
              <w:rPr>
                <w:rFonts w:hint="eastAsia" w:ascii="宋体" w:hAnsi="宋体" w:cs="宋体"/>
                <w:kern w:val="0"/>
                <w:sz w:val="24"/>
                <w:szCs w:val="24"/>
              </w:rPr>
              <w:t>南溪流域</w:t>
            </w:r>
          </w:p>
        </w:tc>
        <w:tc>
          <w:tcPr>
            <w:tcW w:w="1540" w:type="dxa"/>
            <w:tcBorders>
              <w:top w:val="nil"/>
              <w:left w:val="nil"/>
              <w:bottom w:val="single" w:color="auto" w:sz="4" w:space="0"/>
              <w:right w:val="single" w:color="auto" w:sz="4" w:space="0"/>
            </w:tcBorders>
            <w:noWrap/>
            <w:vAlign w:val="center"/>
          </w:tcPr>
          <w:p w14:paraId="282941D3">
            <w:pPr>
              <w:widowControl/>
              <w:ind w:firstLine="0" w:firstLineChars="0"/>
              <w:jc w:val="center"/>
              <w:rPr>
                <w:rFonts w:ascii="宋体" w:hAnsi="宋体" w:cs="宋体"/>
                <w:kern w:val="0"/>
                <w:sz w:val="24"/>
                <w:szCs w:val="24"/>
              </w:rPr>
            </w:pPr>
            <w:r>
              <w:rPr>
                <w:rFonts w:hint="eastAsia" w:ascii="宋体" w:hAnsi="宋体" w:cs="宋体"/>
                <w:kern w:val="0"/>
                <w:sz w:val="24"/>
                <w:szCs w:val="24"/>
              </w:rPr>
              <w:t>110.6</w:t>
            </w:r>
          </w:p>
        </w:tc>
        <w:tc>
          <w:tcPr>
            <w:tcW w:w="4887" w:type="dxa"/>
            <w:tcBorders>
              <w:top w:val="nil"/>
              <w:left w:val="nil"/>
              <w:bottom w:val="single" w:color="auto" w:sz="4" w:space="0"/>
              <w:right w:val="single" w:color="auto" w:sz="4" w:space="0"/>
            </w:tcBorders>
            <w:noWrap/>
            <w:vAlign w:val="center"/>
          </w:tcPr>
          <w:p w14:paraId="51CF0827">
            <w:pPr>
              <w:widowControl/>
              <w:ind w:firstLine="0" w:firstLineChars="0"/>
              <w:rPr>
                <w:rFonts w:ascii="宋体" w:hAnsi="宋体" w:cs="宋体"/>
                <w:kern w:val="0"/>
                <w:sz w:val="24"/>
                <w:szCs w:val="24"/>
              </w:rPr>
            </w:pPr>
            <w:r>
              <w:rPr>
                <w:rFonts w:hint="eastAsia" w:ascii="宋体" w:hAnsi="宋体" w:cs="宋体"/>
                <w:kern w:val="0"/>
                <w:sz w:val="24"/>
                <w:szCs w:val="24"/>
              </w:rPr>
              <w:t>南溪</w:t>
            </w:r>
          </w:p>
        </w:tc>
      </w:tr>
      <w:tr w14:paraId="688AE60E">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4656D244">
            <w:pPr>
              <w:widowControl/>
              <w:ind w:firstLine="0" w:firstLineChars="0"/>
              <w:jc w:val="center"/>
              <w:rPr>
                <w:rFonts w:ascii="宋体" w:hAnsi="宋体" w:cs="宋体"/>
                <w:kern w:val="0"/>
                <w:sz w:val="24"/>
                <w:szCs w:val="24"/>
              </w:rPr>
            </w:pPr>
            <w:r>
              <w:rPr>
                <w:rFonts w:hint="eastAsia" w:ascii="宋体" w:hAnsi="宋体" w:cs="宋体"/>
                <w:kern w:val="0"/>
                <w:sz w:val="24"/>
                <w:szCs w:val="24"/>
              </w:rPr>
              <w:t>24</w:t>
            </w:r>
          </w:p>
        </w:tc>
        <w:tc>
          <w:tcPr>
            <w:tcW w:w="2220" w:type="dxa"/>
            <w:tcBorders>
              <w:top w:val="nil"/>
              <w:left w:val="nil"/>
              <w:bottom w:val="single" w:color="auto" w:sz="4" w:space="0"/>
              <w:right w:val="single" w:color="auto" w:sz="4" w:space="0"/>
            </w:tcBorders>
            <w:noWrap/>
            <w:vAlign w:val="center"/>
          </w:tcPr>
          <w:p w14:paraId="0BCD52F9">
            <w:pPr>
              <w:widowControl/>
              <w:ind w:firstLine="0" w:firstLineChars="0"/>
              <w:jc w:val="center"/>
              <w:rPr>
                <w:rFonts w:ascii="宋体" w:hAnsi="宋体" w:cs="宋体"/>
                <w:kern w:val="0"/>
                <w:sz w:val="24"/>
                <w:szCs w:val="24"/>
              </w:rPr>
            </w:pPr>
            <w:r>
              <w:rPr>
                <w:rFonts w:hint="eastAsia" w:ascii="宋体" w:hAnsi="宋体" w:cs="宋体"/>
                <w:kern w:val="0"/>
                <w:sz w:val="24"/>
                <w:szCs w:val="24"/>
              </w:rPr>
              <w:t>机场片区</w:t>
            </w:r>
          </w:p>
        </w:tc>
        <w:tc>
          <w:tcPr>
            <w:tcW w:w="1540" w:type="dxa"/>
            <w:tcBorders>
              <w:top w:val="nil"/>
              <w:left w:val="nil"/>
              <w:bottom w:val="single" w:color="auto" w:sz="4" w:space="0"/>
              <w:right w:val="single" w:color="auto" w:sz="4" w:space="0"/>
            </w:tcBorders>
            <w:noWrap/>
            <w:vAlign w:val="center"/>
          </w:tcPr>
          <w:p w14:paraId="5EF4CCE2">
            <w:pPr>
              <w:widowControl/>
              <w:ind w:firstLine="0" w:firstLineChars="0"/>
              <w:jc w:val="center"/>
              <w:rPr>
                <w:rFonts w:ascii="宋体" w:hAnsi="宋体" w:cs="宋体"/>
                <w:kern w:val="0"/>
                <w:sz w:val="24"/>
                <w:szCs w:val="24"/>
              </w:rPr>
            </w:pPr>
            <w:r>
              <w:rPr>
                <w:rFonts w:hint="eastAsia" w:ascii="宋体" w:hAnsi="宋体" w:cs="宋体"/>
                <w:kern w:val="0"/>
                <w:sz w:val="24"/>
                <w:szCs w:val="24"/>
              </w:rPr>
              <w:t>11.1</w:t>
            </w:r>
          </w:p>
        </w:tc>
        <w:tc>
          <w:tcPr>
            <w:tcW w:w="4887" w:type="dxa"/>
            <w:tcBorders>
              <w:top w:val="nil"/>
              <w:left w:val="nil"/>
              <w:bottom w:val="single" w:color="auto" w:sz="4" w:space="0"/>
              <w:right w:val="single" w:color="auto" w:sz="4" w:space="0"/>
            </w:tcBorders>
            <w:noWrap/>
            <w:vAlign w:val="center"/>
          </w:tcPr>
          <w:p w14:paraId="7064DD4E">
            <w:pPr>
              <w:widowControl/>
              <w:ind w:firstLine="0" w:firstLineChars="0"/>
              <w:rPr>
                <w:rFonts w:ascii="宋体" w:hAnsi="宋体" w:cs="宋体"/>
                <w:kern w:val="0"/>
                <w:sz w:val="24"/>
                <w:szCs w:val="24"/>
              </w:rPr>
            </w:pPr>
            <w:r>
              <w:rPr>
                <w:rFonts w:hint="eastAsia" w:ascii="宋体" w:hAnsi="宋体" w:cs="宋体"/>
                <w:kern w:val="0"/>
                <w:sz w:val="24"/>
                <w:szCs w:val="24"/>
              </w:rPr>
              <w:t>/</w:t>
            </w:r>
          </w:p>
        </w:tc>
      </w:tr>
      <w:tr w14:paraId="59D73575">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33A89681">
            <w:pPr>
              <w:widowControl/>
              <w:ind w:firstLine="0" w:firstLineChars="0"/>
              <w:jc w:val="center"/>
              <w:rPr>
                <w:rFonts w:ascii="宋体" w:hAnsi="宋体" w:cs="宋体"/>
                <w:kern w:val="0"/>
                <w:sz w:val="24"/>
                <w:szCs w:val="24"/>
              </w:rPr>
            </w:pPr>
            <w:r>
              <w:rPr>
                <w:rFonts w:hint="eastAsia" w:ascii="宋体" w:hAnsi="宋体" w:cs="宋体"/>
                <w:kern w:val="0"/>
                <w:sz w:val="24"/>
                <w:szCs w:val="24"/>
              </w:rPr>
              <w:t>25</w:t>
            </w:r>
          </w:p>
        </w:tc>
        <w:tc>
          <w:tcPr>
            <w:tcW w:w="2220" w:type="dxa"/>
            <w:tcBorders>
              <w:top w:val="nil"/>
              <w:left w:val="nil"/>
              <w:bottom w:val="single" w:color="auto" w:sz="4" w:space="0"/>
              <w:right w:val="single" w:color="auto" w:sz="4" w:space="0"/>
            </w:tcBorders>
            <w:noWrap/>
            <w:vAlign w:val="center"/>
          </w:tcPr>
          <w:p w14:paraId="65A2B086">
            <w:pPr>
              <w:widowControl/>
              <w:ind w:firstLine="0" w:firstLineChars="0"/>
              <w:jc w:val="center"/>
              <w:rPr>
                <w:rFonts w:ascii="宋体" w:hAnsi="宋体" w:cs="宋体"/>
                <w:kern w:val="0"/>
                <w:sz w:val="24"/>
                <w:szCs w:val="24"/>
              </w:rPr>
            </w:pPr>
            <w:r>
              <w:rPr>
                <w:rFonts w:hint="eastAsia" w:ascii="宋体" w:hAnsi="宋体" w:cs="宋体"/>
                <w:kern w:val="0"/>
                <w:sz w:val="24"/>
                <w:szCs w:val="24"/>
              </w:rPr>
              <w:t>东溪流域</w:t>
            </w:r>
          </w:p>
        </w:tc>
        <w:tc>
          <w:tcPr>
            <w:tcW w:w="1540" w:type="dxa"/>
            <w:tcBorders>
              <w:top w:val="nil"/>
              <w:left w:val="nil"/>
              <w:bottom w:val="single" w:color="auto" w:sz="4" w:space="0"/>
              <w:right w:val="single" w:color="auto" w:sz="4" w:space="0"/>
            </w:tcBorders>
            <w:noWrap/>
            <w:vAlign w:val="center"/>
          </w:tcPr>
          <w:p w14:paraId="2D5AE078">
            <w:pPr>
              <w:widowControl/>
              <w:ind w:firstLine="0" w:firstLineChars="0"/>
              <w:jc w:val="center"/>
              <w:rPr>
                <w:rFonts w:ascii="宋体" w:hAnsi="宋体" w:cs="宋体"/>
                <w:kern w:val="0"/>
                <w:sz w:val="24"/>
                <w:szCs w:val="24"/>
              </w:rPr>
            </w:pPr>
            <w:r>
              <w:rPr>
                <w:rFonts w:hint="eastAsia" w:ascii="宋体" w:hAnsi="宋体" w:cs="宋体"/>
                <w:kern w:val="0"/>
                <w:sz w:val="24"/>
                <w:szCs w:val="24"/>
              </w:rPr>
              <w:t>963.4</w:t>
            </w:r>
          </w:p>
        </w:tc>
        <w:tc>
          <w:tcPr>
            <w:tcW w:w="4887" w:type="dxa"/>
            <w:tcBorders>
              <w:top w:val="nil"/>
              <w:left w:val="nil"/>
              <w:bottom w:val="single" w:color="auto" w:sz="4" w:space="0"/>
              <w:right w:val="single" w:color="auto" w:sz="4" w:space="0"/>
            </w:tcBorders>
            <w:noWrap/>
            <w:vAlign w:val="center"/>
          </w:tcPr>
          <w:p w14:paraId="126222A1">
            <w:pPr>
              <w:widowControl/>
              <w:ind w:firstLine="0" w:firstLineChars="0"/>
              <w:rPr>
                <w:rFonts w:ascii="宋体" w:hAnsi="宋体" w:cs="宋体"/>
                <w:kern w:val="0"/>
                <w:sz w:val="24"/>
                <w:szCs w:val="24"/>
              </w:rPr>
            </w:pPr>
            <w:r>
              <w:rPr>
                <w:rFonts w:hint="eastAsia" w:ascii="宋体" w:hAnsi="宋体" w:cs="宋体"/>
                <w:kern w:val="0"/>
                <w:sz w:val="24"/>
                <w:szCs w:val="24"/>
              </w:rPr>
              <w:t>东溪及其支流（畔溪、富口溪等）</w:t>
            </w:r>
          </w:p>
        </w:tc>
      </w:tr>
      <w:tr w14:paraId="4C270964">
        <w:tblPrEx>
          <w:tblCellMar>
            <w:top w:w="0" w:type="dxa"/>
            <w:left w:w="108" w:type="dxa"/>
            <w:bottom w:w="0" w:type="dxa"/>
            <w:right w:w="108" w:type="dxa"/>
          </w:tblCellMar>
        </w:tblPrEx>
        <w:trPr>
          <w:trHeight w:val="340" w:hRule="exact"/>
          <w:jc w:val="center"/>
        </w:trPr>
        <w:tc>
          <w:tcPr>
            <w:tcW w:w="846" w:type="dxa"/>
            <w:tcBorders>
              <w:top w:val="nil"/>
              <w:left w:val="single" w:color="auto" w:sz="4" w:space="0"/>
              <w:bottom w:val="single" w:color="auto" w:sz="4" w:space="0"/>
              <w:right w:val="single" w:color="auto" w:sz="4" w:space="0"/>
            </w:tcBorders>
            <w:noWrap/>
            <w:vAlign w:val="center"/>
          </w:tcPr>
          <w:p w14:paraId="302AA179">
            <w:pPr>
              <w:widowControl/>
              <w:ind w:firstLine="0" w:firstLineChars="0"/>
              <w:jc w:val="center"/>
              <w:rPr>
                <w:rFonts w:ascii="宋体" w:hAnsi="宋体" w:cs="宋体"/>
                <w:kern w:val="0"/>
                <w:sz w:val="24"/>
                <w:szCs w:val="24"/>
              </w:rPr>
            </w:pPr>
            <w:r>
              <w:rPr>
                <w:rFonts w:hint="eastAsia" w:ascii="宋体" w:hAnsi="宋体" w:cs="宋体"/>
                <w:kern w:val="0"/>
                <w:sz w:val="24"/>
                <w:szCs w:val="24"/>
              </w:rPr>
              <w:t>26</w:t>
            </w:r>
          </w:p>
        </w:tc>
        <w:tc>
          <w:tcPr>
            <w:tcW w:w="2220" w:type="dxa"/>
            <w:tcBorders>
              <w:top w:val="nil"/>
              <w:left w:val="nil"/>
              <w:bottom w:val="single" w:color="auto" w:sz="4" w:space="0"/>
              <w:right w:val="single" w:color="auto" w:sz="4" w:space="0"/>
            </w:tcBorders>
            <w:noWrap/>
            <w:vAlign w:val="center"/>
          </w:tcPr>
          <w:p w14:paraId="6E815BDF">
            <w:pPr>
              <w:widowControl/>
              <w:ind w:firstLine="0" w:firstLineChars="0"/>
              <w:jc w:val="center"/>
              <w:rPr>
                <w:rFonts w:ascii="宋体" w:hAnsi="宋体" w:cs="宋体"/>
                <w:kern w:val="0"/>
                <w:sz w:val="24"/>
                <w:szCs w:val="24"/>
              </w:rPr>
            </w:pPr>
            <w:r>
              <w:rPr>
                <w:rFonts w:hint="eastAsia" w:ascii="宋体" w:hAnsi="宋体" w:cs="宋体"/>
                <w:kern w:val="0"/>
                <w:sz w:val="24"/>
                <w:szCs w:val="24"/>
              </w:rPr>
              <w:t>垄东片区</w:t>
            </w:r>
          </w:p>
        </w:tc>
        <w:tc>
          <w:tcPr>
            <w:tcW w:w="1540" w:type="dxa"/>
            <w:tcBorders>
              <w:top w:val="nil"/>
              <w:left w:val="nil"/>
              <w:bottom w:val="single" w:color="auto" w:sz="4" w:space="0"/>
              <w:right w:val="single" w:color="auto" w:sz="4" w:space="0"/>
            </w:tcBorders>
            <w:noWrap/>
            <w:vAlign w:val="center"/>
          </w:tcPr>
          <w:p w14:paraId="73AE6DB3">
            <w:pPr>
              <w:widowControl/>
              <w:ind w:firstLine="0" w:firstLineChars="0"/>
              <w:jc w:val="center"/>
              <w:rPr>
                <w:rFonts w:ascii="宋体" w:hAnsi="宋体" w:cs="宋体"/>
                <w:kern w:val="0"/>
                <w:sz w:val="24"/>
                <w:szCs w:val="24"/>
              </w:rPr>
            </w:pPr>
            <w:r>
              <w:rPr>
                <w:rFonts w:hint="eastAsia" w:ascii="宋体" w:hAnsi="宋体" w:cs="宋体"/>
                <w:kern w:val="0"/>
                <w:sz w:val="24"/>
                <w:szCs w:val="24"/>
              </w:rPr>
              <w:t>36.4</w:t>
            </w:r>
          </w:p>
        </w:tc>
        <w:tc>
          <w:tcPr>
            <w:tcW w:w="4887" w:type="dxa"/>
            <w:tcBorders>
              <w:top w:val="nil"/>
              <w:left w:val="nil"/>
              <w:bottom w:val="single" w:color="auto" w:sz="4" w:space="0"/>
              <w:right w:val="single" w:color="auto" w:sz="4" w:space="0"/>
            </w:tcBorders>
            <w:noWrap/>
            <w:vAlign w:val="center"/>
          </w:tcPr>
          <w:p w14:paraId="05B35741">
            <w:pPr>
              <w:widowControl/>
              <w:ind w:firstLine="0" w:firstLineChars="0"/>
              <w:rPr>
                <w:rFonts w:ascii="宋体" w:hAnsi="宋体" w:cs="宋体"/>
                <w:kern w:val="0"/>
                <w:sz w:val="24"/>
                <w:szCs w:val="24"/>
              </w:rPr>
            </w:pPr>
            <w:r>
              <w:rPr>
                <w:rFonts w:hint="eastAsia" w:ascii="宋体" w:hAnsi="宋体" w:cs="宋体"/>
                <w:kern w:val="0"/>
                <w:sz w:val="24"/>
                <w:szCs w:val="24"/>
              </w:rPr>
              <w:t>垄东溪</w:t>
            </w:r>
          </w:p>
        </w:tc>
      </w:tr>
    </w:tbl>
    <w:p w14:paraId="41D9E3B8">
      <w:pPr>
        <w:ind w:firstLine="0" w:firstLineChars="0"/>
        <w:jc w:val="center"/>
      </w:pPr>
      <w:r>
        <w:rPr>
          <w:rFonts w:hint="eastAsia"/>
        </w:rPr>
        <w:t>表6</w:t>
      </w:r>
      <w:r>
        <w:t xml:space="preserve">-2  </w:t>
      </w:r>
      <w:r>
        <w:rPr>
          <w:rFonts w:hint="eastAsia"/>
        </w:rPr>
        <w:t>组团单元管控分区及年径流总量控制率一览表</w:t>
      </w:r>
    </w:p>
    <w:tbl>
      <w:tblPr>
        <w:tblStyle w:val="38"/>
        <w:tblW w:w="5000" w:type="pct"/>
        <w:jc w:val="right"/>
        <w:tblLayout w:type="autofit"/>
        <w:tblCellMar>
          <w:top w:w="0" w:type="dxa"/>
          <w:left w:w="108" w:type="dxa"/>
          <w:bottom w:w="0" w:type="dxa"/>
          <w:right w:w="108" w:type="dxa"/>
        </w:tblCellMar>
      </w:tblPr>
      <w:tblGrid>
        <w:gridCol w:w="1518"/>
        <w:gridCol w:w="2436"/>
        <w:gridCol w:w="3958"/>
        <w:gridCol w:w="2139"/>
      </w:tblGrid>
      <w:tr w14:paraId="3B16FC9C">
        <w:tblPrEx>
          <w:tblCellMar>
            <w:top w:w="0" w:type="dxa"/>
            <w:left w:w="108" w:type="dxa"/>
            <w:bottom w:w="0" w:type="dxa"/>
            <w:right w:w="108" w:type="dxa"/>
          </w:tblCellMar>
        </w:tblPrEx>
        <w:trPr>
          <w:trHeight w:val="615" w:hRule="atLeast"/>
          <w:jc w:val="right"/>
        </w:trPr>
        <w:tc>
          <w:tcPr>
            <w:tcW w:w="755" w:type="pct"/>
            <w:tcBorders>
              <w:top w:val="single" w:color="auto" w:sz="4" w:space="0"/>
              <w:left w:val="single" w:color="auto" w:sz="4" w:space="0"/>
              <w:bottom w:val="single" w:color="auto" w:sz="4" w:space="0"/>
              <w:right w:val="single" w:color="auto" w:sz="4" w:space="0"/>
            </w:tcBorders>
            <w:noWrap/>
            <w:vAlign w:val="center"/>
          </w:tcPr>
          <w:p w14:paraId="4A703E98">
            <w:pPr>
              <w:widowControl/>
              <w:ind w:firstLine="0" w:firstLineChars="0"/>
              <w:jc w:val="center"/>
              <w:rPr>
                <w:rFonts w:ascii="宋体" w:hAnsi="宋体" w:cs="Arial"/>
                <w:kern w:val="0"/>
                <w:sz w:val="24"/>
                <w:szCs w:val="24"/>
              </w:rPr>
            </w:pPr>
            <w:r>
              <w:rPr>
                <w:rFonts w:hint="eastAsia" w:ascii="宋体" w:hAnsi="宋体" w:cs="Arial"/>
                <w:kern w:val="0"/>
                <w:sz w:val="24"/>
                <w:szCs w:val="24"/>
              </w:rPr>
              <w:t>序号</w:t>
            </w:r>
          </w:p>
        </w:tc>
        <w:tc>
          <w:tcPr>
            <w:tcW w:w="1212" w:type="pct"/>
            <w:tcBorders>
              <w:top w:val="single" w:color="auto" w:sz="4" w:space="0"/>
              <w:left w:val="nil"/>
              <w:bottom w:val="single" w:color="auto" w:sz="4" w:space="0"/>
              <w:right w:val="single" w:color="auto" w:sz="4" w:space="0"/>
            </w:tcBorders>
            <w:vAlign w:val="center"/>
          </w:tcPr>
          <w:p w14:paraId="4F1E34FE">
            <w:pPr>
              <w:widowControl/>
              <w:ind w:firstLine="0" w:firstLineChars="0"/>
              <w:jc w:val="center"/>
              <w:rPr>
                <w:rFonts w:ascii="宋体" w:hAnsi="宋体" w:cs="Arial"/>
                <w:kern w:val="0"/>
                <w:sz w:val="24"/>
                <w:szCs w:val="24"/>
              </w:rPr>
            </w:pPr>
            <w:r>
              <w:rPr>
                <w:rFonts w:hint="eastAsia" w:ascii="宋体" w:hAnsi="宋体" w:cs="Arial"/>
                <w:kern w:val="0"/>
                <w:sz w:val="24"/>
                <w:szCs w:val="24"/>
              </w:rPr>
              <w:t>组团管控单元</w:t>
            </w:r>
          </w:p>
        </w:tc>
        <w:tc>
          <w:tcPr>
            <w:tcW w:w="1969" w:type="pct"/>
            <w:tcBorders>
              <w:top w:val="single" w:color="auto" w:sz="4" w:space="0"/>
              <w:left w:val="nil"/>
              <w:bottom w:val="single" w:color="auto" w:sz="4" w:space="0"/>
              <w:right w:val="single" w:color="auto" w:sz="4" w:space="0"/>
            </w:tcBorders>
            <w:vAlign w:val="center"/>
          </w:tcPr>
          <w:p w14:paraId="54E3E411">
            <w:pPr>
              <w:widowControl/>
              <w:ind w:firstLine="0" w:firstLineChars="0"/>
              <w:jc w:val="center"/>
              <w:rPr>
                <w:rFonts w:ascii="宋体" w:hAnsi="宋体" w:cs="Arial"/>
                <w:kern w:val="0"/>
                <w:sz w:val="24"/>
                <w:szCs w:val="24"/>
              </w:rPr>
            </w:pPr>
            <w:r>
              <w:rPr>
                <w:rFonts w:hint="eastAsia" w:ascii="宋体" w:hAnsi="宋体" w:cs="Arial"/>
                <w:kern w:val="0"/>
                <w:sz w:val="24"/>
                <w:szCs w:val="24"/>
              </w:rPr>
              <w:t>规划单元年径流总量控制率</w:t>
            </w:r>
          </w:p>
        </w:tc>
        <w:tc>
          <w:tcPr>
            <w:tcW w:w="1064" w:type="pct"/>
            <w:tcBorders>
              <w:top w:val="single" w:color="auto" w:sz="4" w:space="0"/>
              <w:left w:val="nil"/>
              <w:bottom w:val="single" w:color="auto" w:sz="4" w:space="0"/>
              <w:right w:val="single" w:color="auto" w:sz="4" w:space="0"/>
            </w:tcBorders>
            <w:vAlign w:val="center"/>
          </w:tcPr>
          <w:p w14:paraId="45B13A51">
            <w:pPr>
              <w:widowControl/>
              <w:ind w:firstLine="0" w:firstLineChars="0"/>
              <w:jc w:val="center"/>
              <w:rPr>
                <w:rFonts w:ascii="宋体" w:hAnsi="宋体" w:cs="Arial"/>
                <w:kern w:val="0"/>
                <w:sz w:val="24"/>
                <w:szCs w:val="24"/>
              </w:rPr>
            </w:pPr>
            <w:r>
              <w:rPr>
                <w:rFonts w:hint="eastAsia" w:ascii="宋体" w:hAnsi="宋体" w:cs="Arial"/>
                <w:kern w:val="0"/>
                <w:sz w:val="24"/>
                <w:szCs w:val="24"/>
              </w:rPr>
              <w:t>设计降雨量(</w:t>
            </w:r>
            <w:r>
              <w:rPr>
                <w:rFonts w:ascii="宋体" w:hAnsi="宋体" w:cs="Arial"/>
                <w:kern w:val="0"/>
                <w:sz w:val="24"/>
                <w:szCs w:val="24"/>
              </w:rPr>
              <w:t>mm</w:t>
            </w:r>
            <w:r>
              <w:rPr>
                <w:rFonts w:hint="eastAsia" w:ascii="宋体" w:hAnsi="宋体" w:cs="Arial"/>
                <w:kern w:val="0"/>
                <w:sz w:val="24"/>
                <w:szCs w:val="24"/>
              </w:rPr>
              <w:t>)</w:t>
            </w:r>
          </w:p>
        </w:tc>
      </w:tr>
      <w:tr w14:paraId="39ABF341">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7BE5B593">
            <w:pPr>
              <w:widowControl/>
              <w:ind w:firstLine="0" w:firstLineChars="0"/>
              <w:jc w:val="center"/>
              <w:rPr>
                <w:rFonts w:ascii="宋体" w:hAnsi="宋体" w:cs="Arial"/>
                <w:kern w:val="0"/>
                <w:sz w:val="24"/>
                <w:szCs w:val="24"/>
              </w:rPr>
            </w:pPr>
            <w:r>
              <w:rPr>
                <w:rFonts w:ascii="宋体" w:hAnsi="宋体" w:cs="Arial"/>
                <w:kern w:val="0"/>
                <w:sz w:val="24"/>
                <w:szCs w:val="24"/>
              </w:rPr>
              <w:t>1</w:t>
            </w:r>
          </w:p>
        </w:tc>
        <w:tc>
          <w:tcPr>
            <w:tcW w:w="1212" w:type="pct"/>
            <w:tcBorders>
              <w:top w:val="nil"/>
              <w:left w:val="nil"/>
              <w:bottom w:val="single" w:color="auto" w:sz="4" w:space="0"/>
              <w:right w:val="single" w:color="auto" w:sz="4" w:space="0"/>
            </w:tcBorders>
            <w:noWrap/>
            <w:vAlign w:val="center"/>
          </w:tcPr>
          <w:p w14:paraId="3673BE7E">
            <w:pPr>
              <w:widowControl/>
              <w:ind w:firstLine="0" w:firstLineChars="0"/>
              <w:jc w:val="center"/>
              <w:rPr>
                <w:rFonts w:ascii="宋体" w:hAnsi="宋体" w:cs="Arial"/>
                <w:kern w:val="0"/>
                <w:sz w:val="24"/>
                <w:szCs w:val="24"/>
              </w:rPr>
            </w:pPr>
            <w:r>
              <w:rPr>
                <w:rFonts w:hint="eastAsia" w:ascii="宋体" w:hAnsi="宋体" w:cs="Arial"/>
                <w:kern w:val="0"/>
                <w:sz w:val="24"/>
                <w:szCs w:val="24"/>
              </w:rPr>
              <w:t>徐碧单元</w:t>
            </w:r>
          </w:p>
        </w:tc>
        <w:tc>
          <w:tcPr>
            <w:tcW w:w="1969" w:type="pct"/>
            <w:tcBorders>
              <w:top w:val="nil"/>
              <w:left w:val="nil"/>
              <w:bottom w:val="single" w:color="auto" w:sz="4" w:space="0"/>
              <w:right w:val="single" w:color="auto" w:sz="4" w:space="0"/>
            </w:tcBorders>
            <w:noWrap/>
            <w:vAlign w:val="center"/>
          </w:tcPr>
          <w:p w14:paraId="115FA571">
            <w:pPr>
              <w:widowControl/>
              <w:ind w:firstLine="0" w:firstLineChars="0"/>
              <w:jc w:val="center"/>
              <w:rPr>
                <w:rFonts w:ascii="宋体" w:hAnsi="宋体" w:cs="Arial"/>
                <w:kern w:val="0"/>
                <w:sz w:val="24"/>
                <w:szCs w:val="24"/>
              </w:rPr>
            </w:pPr>
            <w:r>
              <w:rPr>
                <w:rFonts w:ascii="宋体" w:hAnsi="宋体" w:cs="Arial"/>
                <w:kern w:val="0"/>
                <w:sz w:val="24"/>
                <w:szCs w:val="24"/>
              </w:rPr>
              <w:t>76.4%</w:t>
            </w:r>
          </w:p>
        </w:tc>
        <w:tc>
          <w:tcPr>
            <w:tcW w:w="1064" w:type="pct"/>
            <w:tcBorders>
              <w:top w:val="nil"/>
              <w:left w:val="nil"/>
              <w:bottom w:val="single" w:color="auto" w:sz="4" w:space="0"/>
              <w:right w:val="single" w:color="auto" w:sz="4" w:space="0"/>
            </w:tcBorders>
            <w:noWrap/>
            <w:vAlign w:val="center"/>
          </w:tcPr>
          <w:p w14:paraId="1D5AA656">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23.62 </w:t>
            </w:r>
          </w:p>
        </w:tc>
      </w:tr>
      <w:tr w14:paraId="08048734">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149FDF6E">
            <w:pPr>
              <w:widowControl/>
              <w:ind w:firstLine="0" w:firstLineChars="0"/>
              <w:jc w:val="center"/>
              <w:rPr>
                <w:rFonts w:ascii="宋体" w:hAnsi="宋体" w:cs="Arial"/>
                <w:kern w:val="0"/>
                <w:sz w:val="24"/>
                <w:szCs w:val="24"/>
              </w:rPr>
            </w:pPr>
            <w:r>
              <w:rPr>
                <w:rFonts w:ascii="宋体" w:hAnsi="宋体" w:cs="Arial"/>
                <w:kern w:val="0"/>
                <w:sz w:val="24"/>
                <w:szCs w:val="24"/>
              </w:rPr>
              <w:t>2</w:t>
            </w:r>
          </w:p>
        </w:tc>
        <w:tc>
          <w:tcPr>
            <w:tcW w:w="1212" w:type="pct"/>
            <w:tcBorders>
              <w:top w:val="nil"/>
              <w:left w:val="nil"/>
              <w:bottom w:val="single" w:color="auto" w:sz="4" w:space="0"/>
              <w:right w:val="single" w:color="auto" w:sz="4" w:space="0"/>
            </w:tcBorders>
            <w:noWrap/>
            <w:vAlign w:val="center"/>
          </w:tcPr>
          <w:p w14:paraId="544B3821">
            <w:pPr>
              <w:widowControl/>
              <w:ind w:firstLine="0" w:firstLineChars="0"/>
              <w:jc w:val="center"/>
              <w:rPr>
                <w:rFonts w:ascii="宋体" w:hAnsi="宋体" w:cs="Arial"/>
                <w:kern w:val="0"/>
                <w:sz w:val="24"/>
                <w:szCs w:val="24"/>
              </w:rPr>
            </w:pPr>
            <w:r>
              <w:rPr>
                <w:rFonts w:hint="eastAsia" w:ascii="宋体" w:hAnsi="宋体" w:cs="Arial"/>
                <w:kern w:val="0"/>
                <w:sz w:val="24"/>
                <w:szCs w:val="24"/>
              </w:rPr>
              <w:t>列东单元</w:t>
            </w:r>
          </w:p>
        </w:tc>
        <w:tc>
          <w:tcPr>
            <w:tcW w:w="1969" w:type="pct"/>
            <w:tcBorders>
              <w:top w:val="nil"/>
              <w:left w:val="nil"/>
              <w:bottom w:val="single" w:color="auto" w:sz="4" w:space="0"/>
              <w:right w:val="single" w:color="auto" w:sz="4" w:space="0"/>
            </w:tcBorders>
            <w:noWrap/>
            <w:vAlign w:val="center"/>
          </w:tcPr>
          <w:p w14:paraId="64B53A87">
            <w:pPr>
              <w:widowControl/>
              <w:ind w:firstLine="0" w:firstLineChars="0"/>
              <w:jc w:val="center"/>
              <w:rPr>
                <w:rFonts w:ascii="宋体" w:hAnsi="宋体" w:cs="Arial"/>
                <w:kern w:val="0"/>
                <w:sz w:val="24"/>
                <w:szCs w:val="24"/>
              </w:rPr>
            </w:pPr>
            <w:r>
              <w:rPr>
                <w:rFonts w:ascii="宋体" w:hAnsi="宋体" w:cs="Arial"/>
                <w:kern w:val="0"/>
                <w:sz w:val="24"/>
                <w:szCs w:val="24"/>
              </w:rPr>
              <w:t>67.2%</w:t>
            </w:r>
          </w:p>
        </w:tc>
        <w:tc>
          <w:tcPr>
            <w:tcW w:w="1064" w:type="pct"/>
            <w:tcBorders>
              <w:top w:val="nil"/>
              <w:left w:val="nil"/>
              <w:bottom w:val="single" w:color="auto" w:sz="4" w:space="0"/>
              <w:right w:val="single" w:color="auto" w:sz="4" w:space="0"/>
            </w:tcBorders>
            <w:noWrap/>
            <w:vAlign w:val="center"/>
          </w:tcPr>
          <w:p w14:paraId="17934681">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17.65 </w:t>
            </w:r>
          </w:p>
        </w:tc>
      </w:tr>
      <w:tr w14:paraId="3868357F">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30C37C2E">
            <w:pPr>
              <w:widowControl/>
              <w:ind w:firstLine="0" w:firstLineChars="0"/>
              <w:jc w:val="center"/>
              <w:rPr>
                <w:rFonts w:ascii="宋体" w:hAnsi="宋体" w:cs="Arial"/>
                <w:kern w:val="0"/>
                <w:sz w:val="24"/>
                <w:szCs w:val="24"/>
              </w:rPr>
            </w:pPr>
            <w:r>
              <w:rPr>
                <w:rFonts w:ascii="宋体" w:hAnsi="宋体" w:cs="Arial"/>
                <w:kern w:val="0"/>
                <w:sz w:val="24"/>
                <w:szCs w:val="24"/>
              </w:rPr>
              <w:t>3</w:t>
            </w:r>
          </w:p>
        </w:tc>
        <w:tc>
          <w:tcPr>
            <w:tcW w:w="1212" w:type="pct"/>
            <w:tcBorders>
              <w:top w:val="nil"/>
              <w:left w:val="nil"/>
              <w:bottom w:val="single" w:color="auto" w:sz="4" w:space="0"/>
              <w:right w:val="single" w:color="auto" w:sz="4" w:space="0"/>
            </w:tcBorders>
            <w:noWrap/>
            <w:vAlign w:val="center"/>
          </w:tcPr>
          <w:p w14:paraId="567FC395">
            <w:pPr>
              <w:widowControl/>
              <w:ind w:firstLine="0" w:firstLineChars="0"/>
              <w:jc w:val="center"/>
              <w:rPr>
                <w:rFonts w:ascii="宋体" w:hAnsi="宋体" w:cs="Arial"/>
                <w:kern w:val="0"/>
                <w:sz w:val="24"/>
                <w:szCs w:val="24"/>
              </w:rPr>
            </w:pPr>
            <w:r>
              <w:rPr>
                <w:rFonts w:hint="eastAsia" w:ascii="宋体" w:hAnsi="宋体" w:cs="Arial"/>
                <w:kern w:val="0"/>
                <w:sz w:val="24"/>
                <w:szCs w:val="24"/>
              </w:rPr>
              <w:t>城关单元</w:t>
            </w:r>
          </w:p>
        </w:tc>
        <w:tc>
          <w:tcPr>
            <w:tcW w:w="1969" w:type="pct"/>
            <w:tcBorders>
              <w:top w:val="nil"/>
              <w:left w:val="nil"/>
              <w:bottom w:val="single" w:color="auto" w:sz="4" w:space="0"/>
              <w:right w:val="single" w:color="auto" w:sz="4" w:space="0"/>
            </w:tcBorders>
            <w:noWrap/>
            <w:vAlign w:val="center"/>
          </w:tcPr>
          <w:p w14:paraId="7E7F00EB">
            <w:pPr>
              <w:widowControl/>
              <w:ind w:firstLine="0" w:firstLineChars="0"/>
              <w:jc w:val="center"/>
              <w:rPr>
                <w:rFonts w:ascii="宋体" w:hAnsi="宋体" w:cs="Arial"/>
                <w:kern w:val="0"/>
                <w:sz w:val="24"/>
                <w:szCs w:val="24"/>
              </w:rPr>
            </w:pPr>
            <w:r>
              <w:rPr>
                <w:rFonts w:ascii="宋体" w:hAnsi="宋体" w:cs="Arial"/>
                <w:kern w:val="0"/>
                <w:sz w:val="24"/>
                <w:szCs w:val="24"/>
              </w:rPr>
              <w:t>71.6%</w:t>
            </w:r>
          </w:p>
        </w:tc>
        <w:tc>
          <w:tcPr>
            <w:tcW w:w="1064" w:type="pct"/>
            <w:tcBorders>
              <w:top w:val="nil"/>
              <w:left w:val="nil"/>
              <w:bottom w:val="single" w:color="auto" w:sz="4" w:space="0"/>
              <w:right w:val="single" w:color="auto" w:sz="4" w:space="0"/>
            </w:tcBorders>
            <w:noWrap/>
            <w:vAlign w:val="center"/>
          </w:tcPr>
          <w:p w14:paraId="695336BF">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20.21 </w:t>
            </w:r>
          </w:p>
        </w:tc>
      </w:tr>
      <w:tr w14:paraId="4B95A3E7">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10D9297F">
            <w:pPr>
              <w:widowControl/>
              <w:ind w:firstLine="0" w:firstLineChars="0"/>
              <w:jc w:val="center"/>
              <w:rPr>
                <w:rFonts w:ascii="宋体" w:hAnsi="宋体" w:cs="Arial"/>
                <w:kern w:val="0"/>
                <w:sz w:val="24"/>
                <w:szCs w:val="24"/>
              </w:rPr>
            </w:pPr>
            <w:r>
              <w:rPr>
                <w:rFonts w:ascii="宋体" w:hAnsi="宋体" w:cs="Arial"/>
                <w:kern w:val="0"/>
                <w:sz w:val="24"/>
                <w:szCs w:val="24"/>
              </w:rPr>
              <w:t>4</w:t>
            </w:r>
          </w:p>
        </w:tc>
        <w:tc>
          <w:tcPr>
            <w:tcW w:w="1212" w:type="pct"/>
            <w:tcBorders>
              <w:top w:val="nil"/>
              <w:left w:val="nil"/>
              <w:bottom w:val="single" w:color="auto" w:sz="4" w:space="0"/>
              <w:right w:val="single" w:color="auto" w:sz="4" w:space="0"/>
            </w:tcBorders>
            <w:noWrap/>
            <w:vAlign w:val="center"/>
          </w:tcPr>
          <w:p w14:paraId="7619B73D">
            <w:pPr>
              <w:widowControl/>
              <w:ind w:firstLine="0" w:firstLineChars="0"/>
              <w:jc w:val="center"/>
              <w:rPr>
                <w:rFonts w:ascii="宋体" w:hAnsi="宋体" w:cs="Arial"/>
                <w:kern w:val="0"/>
                <w:sz w:val="24"/>
                <w:szCs w:val="24"/>
              </w:rPr>
            </w:pPr>
            <w:r>
              <w:rPr>
                <w:rFonts w:hint="eastAsia" w:ascii="宋体" w:hAnsi="宋体" w:cs="Arial"/>
                <w:kern w:val="0"/>
                <w:sz w:val="24"/>
                <w:szCs w:val="24"/>
              </w:rPr>
              <w:t>富兴堡单元</w:t>
            </w:r>
          </w:p>
        </w:tc>
        <w:tc>
          <w:tcPr>
            <w:tcW w:w="1969" w:type="pct"/>
            <w:tcBorders>
              <w:top w:val="nil"/>
              <w:left w:val="nil"/>
              <w:bottom w:val="single" w:color="auto" w:sz="4" w:space="0"/>
              <w:right w:val="single" w:color="auto" w:sz="4" w:space="0"/>
            </w:tcBorders>
            <w:noWrap/>
            <w:vAlign w:val="center"/>
          </w:tcPr>
          <w:p w14:paraId="539791A6">
            <w:pPr>
              <w:widowControl/>
              <w:ind w:firstLine="0" w:firstLineChars="0"/>
              <w:jc w:val="center"/>
              <w:rPr>
                <w:rFonts w:ascii="宋体" w:hAnsi="宋体" w:cs="Arial"/>
                <w:kern w:val="0"/>
                <w:sz w:val="24"/>
                <w:szCs w:val="24"/>
              </w:rPr>
            </w:pPr>
            <w:r>
              <w:rPr>
                <w:rFonts w:ascii="宋体" w:hAnsi="宋体" w:cs="Arial"/>
                <w:kern w:val="0"/>
                <w:sz w:val="24"/>
                <w:szCs w:val="24"/>
              </w:rPr>
              <w:t>69.6%</w:t>
            </w:r>
          </w:p>
        </w:tc>
        <w:tc>
          <w:tcPr>
            <w:tcW w:w="1064" w:type="pct"/>
            <w:tcBorders>
              <w:top w:val="nil"/>
              <w:left w:val="nil"/>
              <w:bottom w:val="single" w:color="auto" w:sz="4" w:space="0"/>
              <w:right w:val="single" w:color="auto" w:sz="4" w:space="0"/>
            </w:tcBorders>
            <w:noWrap/>
            <w:vAlign w:val="center"/>
          </w:tcPr>
          <w:p w14:paraId="78BB7C1F">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18.70 </w:t>
            </w:r>
          </w:p>
        </w:tc>
      </w:tr>
      <w:tr w14:paraId="781DE4B6">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46BDAB76">
            <w:pPr>
              <w:widowControl/>
              <w:ind w:firstLine="0" w:firstLineChars="0"/>
              <w:jc w:val="center"/>
              <w:rPr>
                <w:rFonts w:ascii="宋体" w:hAnsi="宋体" w:cs="Arial"/>
                <w:kern w:val="0"/>
                <w:sz w:val="24"/>
                <w:szCs w:val="24"/>
              </w:rPr>
            </w:pPr>
            <w:r>
              <w:rPr>
                <w:rFonts w:ascii="宋体" w:hAnsi="宋体" w:cs="Arial"/>
                <w:kern w:val="0"/>
                <w:sz w:val="24"/>
                <w:szCs w:val="24"/>
              </w:rPr>
              <w:t>5</w:t>
            </w:r>
          </w:p>
        </w:tc>
        <w:tc>
          <w:tcPr>
            <w:tcW w:w="1212" w:type="pct"/>
            <w:tcBorders>
              <w:top w:val="nil"/>
              <w:left w:val="nil"/>
              <w:bottom w:val="single" w:color="auto" w:sz="4" w:space="0"/>
              <w:right w:val="single" w:color="auto" w:sz="4" w:space="0"/>
            </w:tcBorders>
            <w:noWrap/>
            <w:vAlign w:val="center"/>
          </w:tcPr>
          <w:p w14:paraId="75679FD6">
            <w:pPr>
              <w:widowControl/>
              <w:ind w:firstLine="0" w:firstLineChars="0"/>
              <w:jc w:val="center"/>
              <w:rPr>
                <w:rFonts w:ascii="宋体" w:hAnsi="宋体" w:cs="Arial"/>
                <w:kern w:val="0"/>
                <w:sz w:val="24"/>
                <w:szCs w:val="24"/>
              </w:rPr>
            </w:pPr>
            <w:r>
              <w:rPr>
                <w:rFonts w:hint="eastAsia" w:ascii="宋体" w:hAnsi="宋体" w:cs="Arial"/>
                <w:kern w:val="0"/>
                <w:sz w:val="24"/>
                <w:szCs w:val="24"/>
              </w:rPr>
              <w:t>槐林单元</w:t>
            </w:r>
          </w:p>
        </w:tc>
        <w:tc>
          <w:tcPr>
            <w:tcW w:w="1969" w:type="pct"/>
            <w:tcBorders>
              <w:top w:val="nil"/>
              <w:left w:val="nil"/>
              <w:bottom w:val="single" w:color="auto" w:sz="4" w:space="0"/>
              <w:right w:val="single" w:color="auto" w:sz="4" w:space="0"/>
            </w:tcBorders>
            <w:noWrap/>
            <w:vAlign w:val="center"/>
          </w:tcPr>
          <w:p w14:paraId="236BCA02">
            <w:pPr>
              <w:widowControl/>
              <w:ind w:firstLine="0" w:firstLineChars="0"/>
              <w:jc w:val="center"/>
              <w:rPr>
                <w:rFonts w:ascii="宋体" w:hAnsi="宋体" w:cs="Arial"/>
                <w:kern w:val="0"/>
                <w:sz w:val="24"/>
                <w:szCs w:val="24"/>
              </w:rPr>
            </w:pPr>
            <w:r>
              <w:rPr>
                <w:rFonts w:ascii="宋体" w:hAnsi="宋体" w:cs="Arial"/>
                <w:kern w:val="0"/>
                <w:sz w:val="24"/>
                <w:szCs w:val="24"/>
              </w:rPr>
              <w:t>83.6%</w:t>
            </w:r>
          </w:p>
        </w:tc>
        <w:tc>
          <w:tcPr>
            <w:tcW w:w="1064" w:type="pct"/>
            <w:tcBorders>
              <w:top w:val="nil"/>
              <w:left w:val="nil"/>
              <w:bottom w:val="single" w:color="auto" w:sz="4" w:space="0"/>
              <w:right w:val="single" w:color="auto" w:sz="4" w:space="0"/>
            </w:tcBorders>
            <w:noWrap/>
            <w:vAlign w:val="center"/>
          </w:tcPr>
          <w:p w14:paraId="79316C8A">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29.78 </w:t>
            </w:r>
          </w:p>
        </w:tc>
      </w:tr>
      <w:tr w14:paraId="72F58495">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2DDC209D">
            <w:pPr>
              <w:widowControl/>
              <w:ind w:firstLine="0" w:firstLineChars="0"/>
              <w:jc w:val="center"/>
              <w:rPr>
                <w:rFonts w:ascii="宋体" w:hAnsi="宋体" w:cs="Arial"/>
                <w:kern w:val="0"/>
                <w:sz w:val="24"/>
                <w:szCs w:val="24"/>
              </w:rPr>
            </w:pPr>
            <w:r>
              <w:rPr>
                <w:rFonts w:ascii="宋体" w:hAnsi="宋体" w:cs="Arial"/>
                <w:kern w:val="0"/>
                <w:sz w:val="24"/>
                <w:szCs w:val="24"/>
              </w:rPr>
              <w:t>6</w:t>
            </w:r>
          </w:p>
        </w:tc>
        <w:tc>
          <w:tcPr>
            <w:tcW w:w="1212" w:type="pct"/>
            <w:tcBorders>
              <w:top w:val="nil"/>
              <w:left w:val="nil"/>
              <w:bottom w:val="single" w:color="auto" w:sz="4" w:space="0"/>
              <w:right w:val="single" w:color="auto" w:sz="4" w:space="0"/>
            </w:tcBorders>
            <w:noWrap/>
            <w:vAlign w:val="center"/>
          </w:tcPr>
          <w:p w14:paraId="70DC02AB">
            <w:pPr>
              <w:widowControl/>
              <w:ind w:firstLine="0" w:firstLineChars="0"/>
              <w:jc w:val="center"/>
              <w:rPr>
                <w:rFonts w:ascii="宋体" w:hAnsi="宋体" w:cs="Arial"/>
                <w:kern w:val="0"/>
                <w:sz w:val="24"/>
                <w:szCs w:val="24"/>
              </w:rPr>
            </w:pPr>
            <w:r>
              <w:rPr>
                <w:rFonts w:hint="eastAsia" w:ascii="宋体" w:hAnsi="宋体" w:cs="Arial"/>
                <w:kern w:val="0"/>
                <w:sz w:val="24"/>
                <w:szCs w:val="24"/>
              </w:rPr>
              <w:t>荆东单元</w:t>
            </w:r>
          </w:p>
        </w:tc>
        <w:tc>
          <w:tcPr>
            <w:tcW w:w="1969" w:type="pct"/>
            <w:tcBorders>
              <w:top w:val="nil"/>
              <w:left w:val="nil"/>
              <w:bottom w:val="single" w:color="auto" w:sz="4" w:space="0"/>
              <w:right w:val="single" w:color="auto" w:sz="4" w:space="0"/>
            </w:tcBorders>
            <w:noWrap/>
            <w:vAlign w:val="center"/>
          </w:tcPr>
          <w:p w14:paraId="435F5FF1">
            <w:pPr>
              <w:widowControl/>
              <w:ind w:firstLine="0" w:firstLineChars="0"/>
              <w:jc w:val="center"/>
              <w:rPr>
                <w:rFonts w:ascii="宋体" w:hAnsi="宋体" w:cs="Arial"/>
                <w:kern w:val="0"/>
                <w:sz w:val="24"/>
                <w:szCs w:val="24"/>
              </w:rPr>
            </w:pPr>
            <w:r>
              <w:rPr>
                <w:rFonts w:ascii="宋体" w:hAnsi="宋体" w:cs="Arial"/>
                <w:kern w:val="0"/>
                <w:sz w:val="24"/>
                <w:szCs w:val="24"/>
              </w:rPr>
              <w:t>72.3%</w:t>
            </w:r>
          </w:p>
        </w:tc>
        <w:tc>
          <w:tcPr>
            <w:tcW w:w="1064" w:type="pct"/>
            <w:tcBorders>
              <w:top w:val="nil"/>
              <w:left w:val="nil"/>
              <w:bottom w:val="single" w:color="auto" w:sz="4" w:space="0"/>
              <w:right w:val="single" w:color="auto" w:sz="4" w:space="0"/>
            </w:tcBorders>
            <w:noWrap/>
            <w:vAlign w:val="center"/>
          </w:tcPr>
          <w:p w14:paraId="3CF08A46">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20.59 </w:t>
            </w:r>
          </w:p>
        </w:tc>
      </w:tr>
      <w:tr w14:paraId="392FAD09">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4FEC2A36">
            <w:pPr>
              <w:widowControl/>
              <w:ind w:firstLine="0" w:firstLineChars="0"/>
              <w:jc w:val="center"/>
              <w:rPr>
                <w:rFonts w:ascii="宋体" w:hAnsi="宋体" w:cs="Arial"/>
                <w:kern w:val="0"/>
                <w:sz w:val="24"/>
                <w:szCs w:val="24"/>
              </w:rPr>
            </w:pPr>
            <w:r>
              <w:rPr>
                <w:rFonts w:ascii="宋体" w:hAnsi="宋体" w:cs="Arial"/>
                <w:kern w:val="0"/>
                <w:sz w:val="24"/>
                <w:szCs w:val="24"/>
              </w:rPr>
              <w:t>7</w:t>
            </w:r>
          </w:p>
        </w:tc>
        <w:tc>
          <w:tcPr>
            <w:tcW w:w="1212" w:type="pct"/>
            <w:tcBorders>
              <w:top w:val="nil"/>
              <w:left w:val="nil"/>
              <w:bottom w:val="single" w:color="auto" w:sz="4" w:space="0"/>
              <w:right w:val="single" w:color="auto" w:sz="4" w:space="0"/>
            </w:tcBorders>
            <w:noWrap/>
            <w:vAlign w:val="center"/>
          </w:tcPr>
          <w:p w14:paraId="321C2A9E">
            <w:pPr>
              <w:widowControl/>
              <w:ind w:firstLine="0" w:firstLineChars="0"/>
              <w:jc w:val="center"/>
              <w:rPr>
                <w:rFonts w:ascii="宋体" w:hAnsi="宋体" w:cs="Arial"/>
                <w:kern w:val="0"/>
                <w:sz w:val="24"/>
                <w:szCs w:val="24"/>
              </w:rPr>
            </w:pPr>
            <w:r>
              <w:rPr>
                <w:rFonts w:hint="eastAsia" w:ascii="宋体" w:hAnsi="宋体" w:cs="Arial"/>
                <w:kern w:val="0"/>
                <w:sz w:val="24"/>
                <w:szCs w:val="24"/>
              </w:rPr>
              <w:t>莘口单元</w:t>
            </w:r>
          </w:p>
        </w:tc>
        <w:tc>
          <w:tcPr>
            <w:tcW w:w="1969" w:type="pct"/>
            <w:tcBorders>
              <w:top w:val="nil"/>
              <w:left w:val="nil"/>
              <w:bottom w:val="single" w:color="auto" w:sz="4" w:space="0"/>
              <w:right w:val="single" w:color="auto" w:sz="4" w:space="0"/>
            </w:tcBorders>
            <w:noWrap/>
            <w:vAlign w:val="center"/>
          </w:tcPr>
          <w:p w14:paraId="7D9BB06F">
            <w:pPr>
              <w:widowControl/>
              <w:ind w:firstLine="0" w:firstLineChars="0"/>
              <w:jc w:val="center"/>
              <w:rPr>
                <w:rFonts w:ascii="宋体" w:hAnsi="宋体" w:cs="Arial"/>
                <w:kern w:val="0"/>
                <w:sz w:val="24"/>
                <w:szCs w:val="24"/>
              </w:rPr>
            </w:pPr>
            <w:r>
              <w:rPr>
                <w:rFonts w:ascii="宋体" w:hAnsi="宋体" w:cs="Arial"/>
                <w:kern w:val="0"/>
                <w:sz w:val="24"/>
                <w:szCs w:val="24"/>
              </w:rPr>
              <w:t>78.2%</w:t>
            </w:r>
          </w:p>
        </w:tc>
        <w:tc>
          <w:tcPr>
            <w:tcW w:w="1064" w:type="pct"/>
            <w:tcBorders>
              <w:top w:val="nil"/>
              <w:left w:val="nil"/>
              <w:bottom w:val="single" w:color="auto" w:sz="4" w:space="0"/>
              <w:right w:val="single" w:color="auto" w:sz="4" w:space="0"/>
            </w:tcBorders>
            <w:noWrap/>
            <w:vAlign w:val="center"/>
          </w:tcPr>
          <w:p w14:paraId="58CC85A3">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24.86 </w:t>
            </w:r>
          </w:p>
        </w:tc>
      </w:tr>
      <w:tr w14:paraId="47B999A9">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750DFE8B">
            <w:pPr>
              <w:widowControl/>
              <w:ind w:firstLine="0" w:firstLineChars="0"/>
              <w:jc w:val="center"/>
              <w:rPr>
                <w:rFonts w:ascii="宋体" w:hAnsi="宋体" w:cs="Arial"/>
                <w:kern w:val="0"/>
                <w:sz w:val="24"/>
                <w:szCs w:val="24"/>
              </w:rPr>
            </w:pPr>
            <w:r>
              <w:rPr>
                <w:rFonts w:ascii="宋体" w:hAnsi="宋体" w:cs="Arial"/>
                <w:kern w:val="0"/>
                <w:sz w:val="24"/>
                <w:szCs w:val="24"/>
              </w:rPr>
              <w:t>8</w:t>
            </w:r>
          </w:p>
        </w:tc>
        <w:tc>
          <w:tcPr>
            <w:tcW w:w="1212" w:type="pct"/>
            <w:tcBorders>
              <w:top w:val="nil"/>
              <w:left w:val="nil"/>
              <w:bottom w:val="single" w:color="auto" w:sz="4" w:space="0"/>
              <w:right w:val="single" w:color="auto" w:sz="4" w:space="0"/>
            </w:tcBorders>
            <w:noWrap/>
            <w:vAlign w:val="center"/>
          </w:tcPr>
          <w:p w14:paraId="34EB1741">
            <w:pPr>
              <w:widowControl/>
              <w:ind w:firstLine="0" w:firstLineChars="0"/>
              <w:jc w:val="center"/>
              <w:rPr>
                <w:rFonts w:ascii="宋体" w:hAnsi="宋体" w:cs="Arial"/>
                <w:kern w:val="0"/>
                <w:sz w:val="24"/>
                <w:szCs w:val="24"/>
              </w:rPr>
            </w:pPr>
            <w:r>
              <w:rPr>
                <w:rFonts w:hint="eastAsia" w:ascii="宋体" w:hAnsi="宋体" w:cs="Arial"/>
                <w:kern w:val="0"/>
                <w:sz w:val="24"/>
                <w:szCs w:val="24"/>
              </w:rPr>
              <w:t>溪口单元</w:t>
            </w:r>
          </w:p>
        </w:tc>
        <w:tc>
          <w:tcPr>
            <w:tcW w:w="1969" w:type="pct"/>
            <w:tcBorders>
              <w:top w:val="nil"/>
              <w:left w:val="nil"/>
              <w:bottom w:val="single" w:color="auto" w:sz="4" w:space="0"/>
              <w:right w:val="single" w:color="auto" w:sz="4" w:space="0"/>
            </w:tcBorders>
            <w:noWrap/>
            <w:vAlign w:val="center"/>
          </w:tcPr>
          <w:p w14:paraId="39E7DCB9">
            <w:pPr>
              <w:widowControl/>
              <w:ind w:firstLine="0" w:firstLineChars="0"/>
              <w:jc w:val="center"/>
              <w:rPr>
                <w:rFonts w:ascii="宋体" w:hAnsi="宋体" w:cs="Arial"/>
                <w:kern w:val="0"/>
                <w:sz w:val="24"/>
                <w:szCs w:val="24"/>
              </w:rPr>
            </w:pPr>
            <w:r>
              <w:rPr>
                <w:rFonts w:ascii="宋体" w:hAnsi="宋体" w:cs="Arial"/>
                <w:kern w:val="0"/>
                <w:sz w:val="24"/>
                <w:szCs w:val="24"/>
              </w:rPr>
              <w:t>63.9%</w:t>
            </w:r>
          </w:p>
        </w:tc>
        <w:tc>
          <w:tcPr>
            <w:tcW w:w="1064" w:type="pct"/>
            <w:tcBorders>
              <w:top w:val="nil"/>
              <w:left w:val="nil"/>
              <w:bottom w:val="single" w:color="auto" w:sz="4" w:space="0"/>
              <w:right w:val="single" w:color="auto" w:sz="4" w:space="0"/>
            </w:tcBorders>
            <w:noWrap/>
            <w:vAlign w:val="center"/>
          </w:tcPr>
          <w:p w14:paraId="0F0B8352">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15.68 </w:t>
            </w:r>
          </w:p>
        </w:tc>
      </w:tr>
      <w:tr w14:paraId="7406F938">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3648BD10">
            <w:pPr>
              <w:widowControl/>
              <w:ind w:firstLine="0" w:firstLineChars="0"/>
              <w:jc w:val="center"/>
              <w:rPr>
                <w:rFonts w:ascii="宋体" w:hAnsi="宋体" w:cs="Arial"/>
                <w:kern w:val="0"/>
                <w:sz w:val="24"/>
                <w:szCs w:val="24"/>
              </w:rPr>
            </w:pPr>
            <w:r>
              <w:rPr>
                <w:rFonts w:ascii="宋体" w:hAnsi="宋体" w:cs="Arial"/>
                <w:kern w:val="0"/>
                <w:sz w:val="24"/>
                <w:szCs w:val="24"/>
              </w:rPr>
              <w:t>9</w:t>
            </w:r>
          </w:p>
        </w:tc>
        <w:tc>
          <w:tcPr>
            <w:tcW w:w="1212" w:type="pct"/>
            <w:tcBorders>
              <w:top w:val="nil"/>
              <w:left w:val="nil"/>
              <w:bottom w:val="single" w:color="auto" w:sz="4" w:space="0"/>
              <w:right w:val="single" w:color="auto" w:sz="4" w:space="0"/>
            </w:tcBorders>
            <w:noWrap/>
            <w:vAlign w:val="center"/>
          </w:tcPr>
          <w:p w14:paraId="1F89F265">
            <w:pPr>
              <w:widowControl/>
              <w:ind w:firstLine="0" w:firstLineChars="0"/>
              <w:jc w:val="center"/>
              <w:rPr>
                <w:rFonts w:ascii="宋体" w:hAnsi="宋体" w:cs="Arial"/>
                <w:kern w:val="0"/>
                <w:sz w:val="24"/>
                <w:szCs w:val="24"/>
              </w:rPr>
            </w:pPr>
            <w:r>
              <w:rPr>
                <w:rFonts w:hint="eastAsia" w:ascii="宋体" w:hAnsi="宋体" w:cs="Arial"/>
                <w:kern w:val="0"/>
                <w:sz w:val="24"/>
                <w:szCs w:val="24"/>
              </w:rPr>
              <w:t>黄砂单元</w:t>
            </w:r>
          </w:p>
        </w:tc>
        <w:tc>
          <w:tcPr>
            <w:tcW w:w="1969" w:type="pct"/>
            <w:tcBorders>
              <w:top w:val="nil"/>
              <w:left w:val="nil"/>
              <w:bottom w:val="single" w:color="auto" w:sz="4" w:space="0"/>
              <w:right w:val="single" w:color="auto" w:sz="4" w:space="0"/>
            </w:tcBorders>
            <w:noWrap/>
            <w:vAlign w:val="center"/>
          </w:tcPr>
          <w:p w14:paraId="0A24CF88">
            <w:pPr>
              <w:widowControl/>
              <w:ind w:firstLine="0" w:firstLineChars="0"/>
              <w:jc w:val="center"/>
              <w:rPr>
                <w:rFonts w:ascii="宋体" w:hAnsi="宋体" w:cs="Arial"/>
                <w:kern w:val="0"/>
                <w:sz w:val="24"/>
                <w:szCs w:val="24"/>
              </w:rPr>
            </w:pPr>
            <w:r>
              <w:rPr>
                <w:rFonts w:hint="eastAsia" w:ascii="宋体" w:hAnsi="宋体" w:cs="Arial"/>
                <w:kern w:val="0"/>
                <w:sz w:val="24"/>
                <w:szCs w:val="24"/>
              </w:rPr>
              <w:t>豁免单元不计算</w:t>
            </w:r>
          </w:p>
        </w:tc>
        <w:tc>
          <w:tcPr>
            <w:tcW w:w="1064" w:type="pct"/>
            <w:tcBorders>
              <w:top w:val="nil"/>
              <w:left w:val="nil"/>
              <w:bottom w:val="single" w:color="auto" w:sz="4" w:space="0"/>
              <w:right w:val="single" w:color="auto" w:sz="4" w:space="0"/>
            </w:tcBorders>
            <w:noWrap/>
            <w:vAlign w:val="center"/>
          </w:tcPr>
          <w:p w14:paraId="413A48C8">
            <w:pPr>
              <w:widowControl/>
              <w:ind w:firstLine="0" w:firstLineChars="0"/>
              <w:jc w:val="center"/>
              <w:rPr>
                <w:rFonts w:ascii="宋体" w:hAnsi="宋体" w:cs="Arial"/>
                <w:kern w:val="0"/>
                <w:sz w:val="24"/>
                <w:szCs w:val="24"/>
              </w:rPr>
            </w:pPr>
            <w:r>
              <w:rPr>
                <w:rFonts w:hint="eastAsia" w:ascii="宋体" w:hAnsi="宋体" w:cs="Arial"/>
                <w:kern w:val="0"/>
                <w:sz w:val="24"/>
                <w:szCs w:val="24"/>
              </w:rPr>
              <w:t>/</w:t>
            </w:r>
          </w:p>
        </w:tc>
      </w:tr>
      <w:tr w14:paraId="5E43C364">
        <w:tblPrEx>
          <w:tblCellMar>
            <w:top w:w="0" w:type="dxa"/>
            <w:left w:w="108" w:type="dxa"/>
            <w:bottom w:w="0" w:type="dxa"/>
            <w:right w:w="108" w:type="dxa"/>
          </w:tblCellMar>
        </w:tblPrEx>
        <w:trPr>
          <w:trHeight w:val="649" w:hRule="atLeast"/>
          <w:jc w:val="right"/>
        </w:trPr>
        <w:tc>
          <w:tcPr>
            <w:tcW w:w="755" w:type="pct"/>
            <w:tcBorders>
              <w:top w:val="nil"/>
              <w:left w:val="single" w:color="auto" w:sz="4" w:space="0"/>
              <w:bottom w:val="single" w:color="auto" w:sz="4" w:space="0"/>
              <w:right w:val="single" w:color="auto" w:sz="4" w:space="0"/>
            </w:tcBorders>
            <w:noWrap/>
            <w:vAlign w:val="center"/>
          </w:tcPr>
          <w:p w14:paraId="4A93CE02">
            <w:pPr>
              <w:widowControl/>
              <w:ind w:firstLine="0" w:firstLineChars="0"/>
              <w:jc w:val="center"/>
              <w:rPr>
                <w:rFonts w:ascii="宋体" w:hAnsi="宋体" w:cs="Arial"/>
                <w:kern w:val="0"/>
                <w:sz w:val="24"/>
                <w:szCs w:val="24"/>
              </w:rPr>
            </w:pPr>
            <w:r>
              <w:rPr>
                <w:rFonts w:ascii="宋体" w:hAnsi="宋体" w:cs="Arial"/>
                <w:kern w:val="0"/>
                <w:sz w:val="24"/>
                <w:szCs w:val="24"/>
              </w:rPr>
              <w:t>10</w:t>
            </w:r>
          </w:p>
        </w:tc>
        <w:tc>
          <w:tcPr>
            <w:tcW w:w="1212" w:type="pct"/>
            <w:tcBorders>
              <w:top w:val="nil"/>
              <w:left w:val="nil"/>
              <w:bottom w:val="single" w:color="auto" w:sz="4" w:space="0"/>
              <w:right w:val="single" w:color="auto" w:sz="4" w:space="0"/>
            </w:tcBorders>
            <w:noWrap/>
            <w:vAlign w:val="center"/>
          </w:tcPr>
          <w:p w14:paraId="2352F586">
            <w:pPr>
              <w:widowControl/>
              <w:ind w:firstLine="0" w:firstLineChars="0"/>
              <w:jc w:val="center"/>
              <w:rPr>
                <w:rFonts w:ascii="宋体" w:hAnsi="宋体" w:cs="Arial"/>
                <w:kern w:val="0"/>
                <w:sz w:val="24"/>
                <w:szCs w:val="24"/>
              </w:rPr>
            </w:pPr>
            <w:r>
              <w:rPr>
                <w:rFonts w:hint="eastAsia" w:ascii="宋体" w:hAnsi="宋体" w:cs="Arial"/>
                <w:kern w:val="0"/>
                <w:sz w:val="24"/>
                <w:szCs w:val="24"/>
              </w:rPr>
              <w:t>岩前单元</w:t>
            </w:r>
          </w:p>
        </w:tc>
        <w:tc>
          <w:tcPr>
            <w:tcW w:w="1969" w:type="pct"/>
            <w:tcBorders>
              <w:top w:val="nil"/>
              <w:left w:val="nil"/>
              <w:bottom w:val="single" w:color="auto" w:sz="4" w:space="0"/>
              <w:right w:val="single" w:color="auto" w:sz="4" w:space="0"/>
            </w:tcBorders>
            <w:vAlign w:val="center"/>
          </w:tcPr>
          <w:p w14:paraId="40A1E481">
            <w:pPr>
              <w:widowControl/>
              <w:ind w:firstLine="0" w:firstLineChars="0"/>
              <w:jc w:val="center"/>
              <w:rPr>
                <w:rFonts w:ascii="宋体" w:hAnsi="宋体" w:cs="Arial"/>
                <w:kern w:val="0"/>
                <w:sz w:val="24"/>
                <w:szCs w:val="24"/>
              </w:rPr>
            </w:pPr>
            <w:r>
              <w:rPr>
                <w:rFonts w:ascii="宋体" w:hAnsi="宋体" w:cs="Arial"/>
                <w:kern w:val="0"/>
                <w:sz w:val="24"/>
                <w:szCs w:val="24"/>
              </w:rPr>
              <w:t xml:space="preserve">78.7%  </w:t>
            </w:r>
          </w:p>
          <w:p w14:paraId="1DC80600">
            <w:pPr>
              <w:widowControl/>
              <w:ind w:firstLine="0" w:firstLineChars="0"/>
              <w:jc w:val="center"/>
              <w:rPr>
                <w:rFonts w:ascii="宋体" w:hAnsi="宋体" w:cs="Arial"/>
                <w:kern w:val="0"/>
                <w:sz w:val="24"/>
                <w:szCs w:val="24"/>
              </w:rPr>
            </w:pPr>
            <w:r>
              <w:rPr>
                <w:rFonts w:hint="eastAsia" w:ascii="宋体" w:hAnsi="宋体" w:cs="Arial"/>
                <w:kern w:val="0"/>
                <w:sz w:val="24"/>
                <w:szCs w:val="24"/>
              </w:rPr>
              <w:t>（吉口工业区豁免不计入）</w:t>
            </w:r>
          </w:p>
        </w:tc>
        <w:tc>
          <w:tcPr>
            <w:tcW w:w="1064" w:type="pct"/>
            <w:tcBorders>
              <w:top w:val="nil"/>
              <w:left w:val="nil"/>
              <w:bottom w:val="single" w:color="auto" w:sz="4" w:space="0"/>
              <w:right w:val="single" w:color="auto" w:sz="4" w:space="0"/>
            </w:tcBorders>
            <w:noWrap/>
            <w:vAlign w:val="center"/>
          </w:tcPr>
          <w:p w14:paraId="1D9AFF60">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25.22 </w:t>
            </w:r>
          </w:p>
        </w:tc>
      </w:tr>
      <w:tr w14:paraId="18DFAACA">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68ABB209">
            <w:pPr>
              <w:widowControl/>
              <w:ind w:firstLine="0" w:firstLineChars="0"/>
              <w:jc w:val="center"/>
              <w:rPr>
                <w:rFonts w:ascii="宋体" w:hAnsi="宋体" w:cs="Arial"/>
                <w:kern w:val="0"/>
                <w:sz w:val="24"/>
                <w:szCs w:val="24"/>
              </w:rPr>
            </w:pPr>
            <w:r>
              <w:rPr>
                <w:rFonts w:ascii="宋体" w:hAnsi="宋体" w:cs="Arial"/>
                <w:kern w:val="0"/>
                <w:sz w:val="24"/>
                <w:szCs w:val="24"/>
              </w:rPr>
              <w:t>11</w:t>
            </w:r>
          </w:p>
        </w:tc>
        <w:tc>
          <w:tcPr>
            <w:tcW w:w="1212" w:type="pct"/>
            <w:tcBorders>
              <w:top w:val="nil"/>
              <w:left w:val="nil"/>
              <w:bottom w:val="single" w:color="auto" w:sz="4" w:space="0"/>
              <w:right w:val="single" w:color="auto" w:sz="4" w:space="0"/>
            </w:tcBorders>
            <w:noWrap/>
            <w:vAlign w:val="center"/>
          </w:tcPr>
          <w:p w14:paraId="1DD9F3E4">
            <w:pPr>
              <w:widowControl/>
              <w:ind w:firstLine="0" w:firstLineChars="0"/>
              <w:jc w:val="center"/>
              <w:rPr>
                <w:rFonts w:ascii="宋体" w:hAnsi="宋体" w:cs="Arial"/>
                <w:kern w:val="0"/>
                <w:sz w:val="24"/>
                <w:szCs w:val="24"/>
              </w:rPr>
            </w:pPr>
            <w:r>
              <w:rPr>
                <w:rFonts w:hint="eastAsia" w:ascii="宋体" w:hAnsi="宋体" w:cs="Arial"/>
                <w:kern w:val="0"/>
                <w:sz w:val="24"/>
                <w:szCs w:val="24"/>
              </w:rPr>
              <w:t>荆西单元</w:t>
            </w:r>
          </w:p>
        </w:tc>
        <w:tc>
          <w:tcPr>
            <w:tcW w:w="1969" w:type="pct"/>
            <w:tcBorders>
              <w:top w:val="nil"/>
              <w:left w:val="nil"/>
              <w:bottom w:val="single" w:color="auto" w:sz="4" w:space="0"/>
              <w:right w:val="single" w:color="auto" w:sz="4" w:space="0"/>
            </w:tcBorders>
            <w:noWrap/>
            <w:vAlign w:val="center"/>
          </w:tcPr>
          <w:p w14:paraId="4D6E2587">
            <w:pPr>
              <w:widowControl/>
              <w:ind w:firstLine="0" w:firstLineChars="0"/>
              <w:jc w:val="center"/>
              <w:rPr>
                <w:rFonts w:ascii="宋体" w:hAnsi="宋体" w:cs="Arial"/>
                <w:kern w:val="0"/>
                <w:sz w:val="24"/>
                <w:szCs w:val="24"/>
              </w:rPr>
            </w:pPr>
            <w:r>
              <w:rPr>
                <w:rFonts w:ascii="宋体" w:hAnsi="宋体" w:cs="Arial"/>
                <w:kern w:val="0"/>
                <w:sz w:val="24"/>
                <w:szCs w:val="24"/>
              </w:rPr>
              <w:t>76.1%</w:t>
            </w:r>
          </w:p>
        </w:tc>
        <w:tc>
          <w:tcPr>
            <w:tcW w:w="1064" w:type="pct"/>
            <w:tcBorders>
              <w:top w:val="nil"/>
              <w:left w:val="nil"/>
              <w:bottom w:val="single" w:color="auto" w:sz="4" w:space="0"/>
              <w:right w:val="single" w:color="auto" w:sz="4" w:space="0"/>
            </w:tcBorders>
            <w:noWrap/>
            <w:vAlign w:val="center"/>
          </w:tcPr>
          <w:p w14:paraId="15A2929F">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23.46 </w:t>
            </w:r>
          </w:p>
        </w:tc>
      </w:tr>
      <w:tr w14:paraId="37AB5593">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57A7D6BB">
            <w:pPr>
              <w:widowControl/>
              <w:ind w:firstLine="0" w:firstLineChars="0"/>
              <w:jc w:val="center"/>
              <w:rPr>
                <w:rFonts w:ascii="宋体" w:hAnsi="宋体" w:cs="Arial"/>
                <w:kern w:val="0"/>
                <w:sz w:val="24"/>
                <w:szCs w:val="24"/>
              </w:rPr>
            </w:pPr>
            <w:r>
              <w:rPr>
                <w:rFonts w:ascii="宋体" w:hAnsi="宋体" w:cs="Arial"/>
                <w:kern w:val="0"/>
                <w:sz w:val="24"/>
                <w:szCs w:val="24"/>
              </w:rPr>
              <w:t>12</w:t>
            </w:r>
          </w:p>
        </w:tc>
        <w:tc>
          <w:tcPr>
            <w:tcW w:w="1212" w:type="pct"/>
            <w:tcBorders>
              <w:top w:val="nil"/>
              <w:left w:val="nil"/>
              <w:bottom w:val="single" w:color="auto" w:sz="4" w:space="0"/>
              <w:right w:val="single" w:color="auto" w:sz="4" w:space="0"/>
            </w:tcBorders>
            <w:noWrap/>
            <w:vAlign w:val="center"/>
          </w:tcPr>
          <w:p w14:paraId="5CE5AB7C">
            <w:pPr>
              <w:widowControl/>
              <w:ind w:firstLine="0" w:firstLineChars="0"/>
              <w:jc w:val="center"/>
              <w:rPr>
                <w:rFonts w:ascii="宋体" w:hAnsi="宋体" w:cs="Arial"/>
                <w:kern w:val="0"/>
                <w:sz w:val="24"/>
                <w:szCs w:val="24"/>
              </w:rPr>
            </w:pPr>
            <w:r>
              <w:rPr>
                <w:rFonts w:hint="eastAsia" w:ascii="宋体" w:hAnsi="宋体" w:cs="Arial"/>
                <w:kern w:val="0"/>
                <w:sz w:val="24"/>
                <w:szCs w:val="24"/>
              </w:rPr>
              <w:t>台江单元</w:t>
            </w:r>
          </w:p>
        </w:tc>
        <w:tc>
          <w:tcPr>
            <w:tcW w:w="1969" w:type="pct"/>
            <w:tcBorders>
              <w:top w:val="nil"/>
              <w:left w:val="nil"/>
              <w:bottom w:val="single" w:color="auto" w:sz="4" w:space="0"/>
              <w:right w:val="single" w:color="auto" w:sz="4" w:space="0"/>
            </w:tcBorders>
            <w:noWrap/>
            <w:vAlign w:val="center"/>
          </w:tcPr>
          <w:p w14:paraId="71F08EEF">
            <w:pPr>
              <w:widowControl/>
              <w:ind w:firstLine="0" w:firstLineChars="0"/>
              <w:jc w:val="center"/>
              <w:rPr>
                <w:rFonts w:ascii="宋体" w:hAnsi="宋体" w:cs="Arial"/>
                <w:kern w:val="0"/>
                <w:sz w:val="24"/>
                <w:szCs w:val="24"/>
              </w:rPr>
            </w:pPr>
            <w:r>
              <w:rPr>
                <w:rFonts w:ascii="宋体" w:hAnsi="宋体" w:cs="Arial"/>
                <w:kern w:val="0"/>
                <w:sz w:val="24"/>
                <w:szCs w:val="24"/>
              </w:rPr>
              <w:t>74.3%</w:t>
            </w:r>
          </w:p>
        </w:tc>
        <w:tc>
          <w:tcPr>
            <w:tcW w:w="1064" w:type="pct"/>
            <w:tcBorders>
              <w:top w:val="nil"/>
              <w:left w:val="nil"/>
              <w:bottom w:val="single" w:color="auto" w:sz="4" w:space="0"/>
              <w:right w:val="single" w:color="auto" w:sz="4" w:space="0"/>
            </w:tcBorders>
            <w:noWrap/>
            <w:vAlign w:val="center"/>
          </w:tcPr>
          <w:p w14:paraId="34A84D54">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21.71 </w:t>
            </w:r>
          </w:p>
        </w:tc>
      </w:tr>
      <w:tr w14:paraId="340B195B">
        <w:tblPrEx>
          <w:tblCellMar>
            <w:top w:w="0" w:type="dxa"/>
            <w:left w:w="108" w:type="dxa"/>
            <w:bottom w:w="0" w:type="dxa"/>
            <w:right w:w="108" w:type="dxa"/>
          </w:tblCellMar>
        </w:tblPrEx>
        <w:trPr>
          <w:trHeight w:val="649" w:hRule="atLeast"/>
          <w:jc w:val="right"/>
        </w:trPr>
        <w:tc>
          <w:tcPr>
            <w:tcW w:w="755" w:type="pct"/>
            <w:tcBorders>
              <w:top w:val="nil"/>
              <w:left w:val="single" w:color="auto" w:sz="4" w:space="0"/>
              <w:bottom w:val="single" w:color="auto" w:sz="4" w:space="0"/>
              <w:right w:val="single" w:color="auto" w:sz="4" w:space="0"/>
            </w:tcBorders>
            <w:noWrap/>
            <w:vAlign w:val="center"/>
          </w:tcPr>
          <w:p w14:paraId="42FEBBDF">
            <w:pPr>
              <w:widowControl/>
              <w:ind w:firstLine="0" w:firstLineChars="0"/>
              <w:jc w:val="center"/>
              <w:rPr>
                <w:rFonts w:ascii="宋体" w:hAnsi="宋体" w:cs="Arial"/>
                <w:kern w:val="0"/>
                <w:sz w:val="24"/>
                <w:szCs w:val="24"/>
              </w:rPr>
            </w:pPr>
            <w:r>
              <w:rPr>
                <w:rFonts w:ascii="宋体" w:hAnsi="宋体" w:cs="Arial"/>
                <w:kern w:val="0"/>
                <w:sz w:val="24"/>
                <w:szCs w:val="24"/>
              </w:rPr>
              <w:t>13</w:t>
            </w:r>
          </w:p>
        </w:tc>
        <w:tc>
          <w:tcPr>
            <w:tcW w:w="1212" w:type="pct"/>
            <w:tcBorders>
              <w:top w:val="nil"/>
              <w:left w:val="nil"/>
              <w:bottom w:val="single" w:color="auto" w:sz="4" w:space="0"/>
              <w:right w:val="single" w:color="auto" w:sz="4" w:space="0"/>
            </w:tcBorders>
            <w:noWrap/>
            <w:vAlign w:val="center"/>
          </w:tcPr>
          <w:p w14:paraId="417A4130">
            <w:pPr>
              <w:widowControl/>
              <w:ind w:firstLine="0" w:firstLineChars="0"/>
              <w:jc w:val="center"/>
              <w:rPr>
                <w:rFonts w:ascii="宋体" w:hAnsi="宋体" w:cs="Arial"/>
                <w:kern w:val="0"/>
                <w:sz w:val="24"/>
                <w:szCs w:val="24"/>
              </w:rPr>
            </w:pPr>
            <w:r>
              <w:rPr>
                <w:rFonts w:hint="eastAsia" w:ascii="宋体" w:hAnsi="宋体" w:cs="Arial"/>
                <w:kern w:val="0"/>
                <w:sz w:val="24"/>
                <w:szCs w:val="24"/>
              </w:rPr>
              <w:t>白沙单元</w:t>
            </w:r>
          </w:p>
        </w:tc>
        <w:tc>
          <w:tcPr>
            <w:tcW w:w="1969" w:type="pct"/>
            <w:tcBorders>
              <w:top w:val="nil"/>
              <w:left w:val="nil"/>
              <w:bottom w:val="single" w:color="auto" w:sz="4" w:space="0"/>
              <w:right w:val="single" w:color="auto" w:sz="4" w:space="0"/>
            </w:tcBorders>
            <w:vAlign w:val="center"/>
          </w:tcPr>
          <w:p w14:paraId="0A23ACDA">
            <w:pPr>
              <w:widowControl/>
              <w:ind w:firstLine="0" w:firstLineChars="0"/>
              <w:jc w:val="center"/>
              <w:rPr>
                <w:rFonts w:ascii="宋体" w:hAnsi="宋体" w:cs="Arial"/>
                <w:kern w:val="0"/>
                <w:sz w:val="24"/>
                <w:szCs w:val="24"/>
              </w:rPr>
            </w:pPr>
            <w:r>
              <w:rPr>
                <w:rFonts w:ascii="宋体" w:hAnsi="宋体" w:cs="Arial"/>
                <w:kern w:val="0"/>
                <w:sz w:val="24"/>
                <w:szCs w:val="24"/>
              </w:rPr>
              <w:t xml:space="preserve">67.1%  </w:t>
            </w:r>
          </w:p>
          <w:p w14:paraId="15AAD594">
            <w:pPr>
              <w:widowControl/>
              <w:ind w:firstLine="0" w:firstLineChars="0"/>
              <w:jc w:val="center"/>
              <w:rPr>
                <w:rFonts w:ascii="宋体" w:hAnsi="宋体" w:cs="Arial"/>
                <w:kern w:val="0"/>
                <w:sz w:val="24"/>
                <w:szCs w:val="24"/>
              </w:rPr>
            </w:pPr>
            <w:r>
              <w:rPr>
                <w:rFonts w:hint="eastAsia" w:ascii="宋体" w:hAnsi="宋体" w:cs="Arial"/>
                <w:kern w:val="0"/>
                <w:sz w:val="24"/>
                <w:szCs w:val="24"/>
              </w:rPr>
              <w:t>（三</w:t>
            </w:r>
            <w:r>
              <w:rPr>
                <w:rFonts w:hint="eastAsia" w:ascii="宋体" w:hAnsi="宋体" w:cs="Arial"/>
                <w:kern w:val="0"/>
                <w:sz w:val="24"/>
                <w:szCs w:val="24"/>
                <w:lang w:val="en-US" w:eastAsia="zh-CN"/>
              </w:rPr>
              <w:t>钢</w:t>
            </w:r>
            <w:r>
              <w:rPr>
                <w:rFonts w:hint="eastAsia" w:ascii="宋体" w:hAnsi="宋体" w:cs="Arial"/>
                <w:kern w:val="0"/>
                <w:sz w:val="24"/>
                <w:szCs w:val="24"/>
              </w:rPr>
              <w:t>片区豁免不计入）</w:t>
            </w:r>
          </w:p>
        </w:tc>
        <w:tc>
          <w:tcPr>
            <w:tcW w:w="1064" w:type="pct"/>
            <w:tcBorders>
              <w:top w:val="nil"/>
              <w:left w:val="nil"/>
              <w:bottom w:val="single" w:color="auto" w:sz="4" w:space="0"/>
              <w:right w:val="single" w:color="auto" w:sz="4" w:space="0"/>
            </w:tcBorders>
            <w:noWrap/>
            <w:vAlign w:val="center"/>
          </w:tcPr>
          <w:p w14:paraId="55D052F3">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17.51 </w:t>
            </w:r>
          </w:p>
        </w:tc>
      </w:tr>
      <w:tr w14:paraId="18214038">
        <w:tblPrEx>
          <w:tblCellMar>
            <w:top w:w="0" w:type="dxa"/>
            <w:left w:w="108" w:type="dxa"/>
            <w:bottom w:w="0" w:type="dxa"/>
            <w:right w:w="108" w:type="dxa"/>
          </w:tblCellMar>
        </w:tblPrEx>
        <w:trPr>
          <w:trHeight w:val="649" w:hRule="atLeast"/>
          <w:jc w:val="right"/>
        </w:trPr>
        <w:tc>
          <w:tcPr>
            <w:tcW w:w="755" w:type="pct"/>
            <w:tcBorders>
              <w:top w:val="nil"/>
              <w:left w:val="single" w:color="auto" w:sz="4" w:space="0"/>
              <w:bottom w:val="single" w:color="auto" w:sz="4" w:space="0"/>
              <w:right w:val="single" w:color="auto" w:sz="4" w:space="0"/>
            </w:tcBorders>
            <w:noWrap/>
            <w:vAlign w:val="center"/>
          </w:tcPr>
          <w:p w14:paraId="28D8932C">
            <w:pPr>
              <w:widowControl/>
              <w:ind w:firstLine="0" w:firstLineChars="0"/>
              <w:jc w:val="center"/>
              <w:rPr>
                <w:rFonts w:ascii="宋体" w:hAnsi="宋体" w:cs="Arial"/>
                <w:kern w:val="0"/>
                <w:sz w:val="24"/>
                <w:szCs w:val="24"/>
              </w:rPr>
            </w:pPr>
            <w:r>
              <w:rPr>
                <w:rFonts w:ascii="宋体" w:hAnsi="宋体" w:cs="Arial"/>
                <w:kern w:val="0"/>
                <w:sz w:val="24"/>
                <w:szCs w:val="24"/>
              </w:rPr>
              <w:t>14</w:t>
            </w:r>
          </w:p>
        </w:tc>
        <w:tc>
          <w:tcPr>
            <w:tcW w:w="1212" w:type="pct"/>
            <w:tcBorders>
              <w:top w:val="nil"/>
              <w:left w:val="nil"/>
              <w:bottom w:val="single" w:color="auto" w:sz="4" w:space="0"/>
              <w:right w:val="single" w:color="auto" w:sz="4" w:space="0"/>
            </w:tcBorders>
            <w:noWrap/>
            <w:vAlign w:val="center"/>
          </w:tcPr>
          <w:p w14:paraId="1792D408">
            <w:pPr>
              <w:widowControl/>
              <w:ind w:firstLine="0" w:firstLineChars="0"/>
              <w:jc w:val="center"/>
              <w:rPr>
                <w:rFonts w:ascii="宋体" w:hAnsi="宋体" w:cs="Arial"/>
                <w:kern w:val="0"/>
                <w:sz w:val="24"/>
                <w:szCs w:val="24"/>
              </w:rPr>
            </w:pPr>
            <w:r>
              <w:rPr>
                <w:rFonts w:hint="eastAsia" w:ascii="宋体" w:hAnsi="宋体" w:cs="Arial"/>
                <w:kern w:val="0"/>
                <w:sz w:val="24"/>
                <w:szCs w:val="24"/>
              </w:rPr>
              <w:t>列西单元</w:t>
            </w:r>
          </w:p>
        </w:tc>
        <w:tc>
          <w:tcPr>
            <w:tcW w:w="1969" w:type="pct"/>
            <w:tcBorders>
              <w:top w:val="nil"/>
              <w:left w:val="nil"/>
              <w:bottom w:val="single" w:color="auto" w:sz="4" w:space="0"/>
              <w:right w:val="single" w:color="auto" w:sz="4" w:space="0"/>
            </w:tcBorders>
            <w:vAlign w:val="center"/>
          </w:tcPr>
          <w:p w14:paraId="76DCF099">
            <w:pPr>
              <w:widowControl/>
              <w:ind w:firstLine="0" w:firstLineChars="0"/>
              <w:jc w:val="center"/>
              <w:rPr>
                <w:rFonts w:ascii="宋体" w:hAnsi="宋体" w:cs="Arial"/>
                <w:kern w:val="0"/>
                <w:sz w:val="24"/>
                <w:szCs w:val="24"/>
              </w:rPr>
            </w:pPr>
            <w:r>
              <w:rPr>
                <w:rFonts w:ascii="宋体" w:hAnsi="宋体" w:cs="Arial"/>
                <w:kern w:val="0"/>
                <w:sz w:val="24"/>
                <w:szCs w:val="24"/>
              </w:rPr>
              <w:t xml:space="preserve">68.6%  </w:t>
            </w:r>
          </w:p>
          <w:p w14:paraId="1507188B">
            <w:pPr>
              <w:widowControl/>
              <w:ind w:firstLine="0" w:firstLineChars="0"/>
              <w:jc w:val="center"/>
              <w:rPr>
                <w:rFonts w:ascii="宋体" w:hAnsi="宋体" w:cs="Arial"/>
                <w:kern w:val="0"/>
                <w:sz w:val="24"/>
                <w:szCs w:val="24"/>
              </w:rPr>
            </w:pPr>
            <w:r>
              <w:rPr>
                <w:rFonts w:hint="eastAsia" w:ascii="宋体" w:hAnsi="宋体" w:cs="Arial"/>
                <w:kern w:val="0"/>
                <w:sz w:val="24"/>
                <w:szCs w:val="24"/>
              </w:rPr>
              <w:t>（三</w:t>
            </w:r>
            <w:r>
              <w:rPr>
                <w:rFonts w:hint="eastAsia" w:ascii="宋体" w:hAnsi="宋体" w:cs="Arial"/>
                <w:kern w:val="0"/>
                <w:sz w:val="24"/>
                <w:szCs w:val="24"/>
                <w:lang w:val="en-US" w:eastAsia="zh-CN"/>
              </w:rPr>
              <w:t>钢</w:t>
            </w:r>
            <w:r>
              <w:rPr>
                <w:rFonts w:hint="eastAsia" w:ascii="宋体" w:hAnsi="宋体" w:cs="Arial"/>
                <w:kern w:val="0"/>
                <w:sz w:val="24"/>
                <w:szCs w:val="24"/>
              </w:rPr>
              <w:t>片区豁免不计入）</w:t>
            </w:r>
          </w:p>
        </w:tc>
        <w:tc>
          <w:tcPr>
            <w:tcW w:w="1064" w:type="pct"/>
            <w:tcBorders>
              <w:top w:val="nil"/>
              <w:left w:val="nil"/>
              <w:bottom w:val="single" w:color="auto" w:sz="4" w:space="0"/>
              <w:right w:val="single" w:color="auto" w:sz="4" w:space="0"/>
            </w:tcBorders>
            <w:noWrap/>
            <w:vAlign w:val="center"/>
          </w:tcPr>
          <w:p w14:paraId="4C4542D2">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18.23 </w:t>
            </w:r>
          </w:p>
        </w:tc>
      </w:tr>
      <w:tr w14:paraId="50021D6E">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4EA95439">
            <w:pPr>
              <w:widowControl/>
              <w:ind w:firstLine="0" w:firstLineChars="0"/>
              <w:jc w:val="center"/>
              <w:rPr>
                <w:rFonts w:ascii="宋体" w:hAnsi="宋体" w:cs="Arial"/>
                <w:kern w:val="0"/>
                <w:sz w:val="24"/>
                <w:szCs w:val="24"/>
              </w:rPr>
            </w:pPr>
            <w:r>
              <w:rPr>
                <w:rFonts w:ascii="宋体" w:hAnsi="宋体" w:cs="Arial"/>
                <w:kern w:val="0"/>
                <w:sz w:val="24"/>
                <w:szCs w:val="24"/>
              </w:rPr>
              <w:t>15</w:t>
            </w:r>
          </w:p>
        </w:tc>
        <w:tc>
          <w:tcPr>
            <w:tcW w:w="1212" w:type="pct"/>
            <w:tcBorders>
              <w:top w:val="nil"/>
              <w:left w:val="nil"/>
              <w:bottom w:val="single" w:color="auto" w:sz="4" w:space="0"/>
              <w:right w:val="single" w:color="auto" w:sz="4" w:space="0"/>
            </w:tcBorders>
            <w:noWrap/>
            <w:vAlign w:val="center"/>
          </w:tcPr>
          <w:p w14:paraId="5110EB2B">
            <w:pPr>
              <w:widowControl/>
              <w:ind w:firstLine="0" w:firstLineChars="0"/>
              <w:jc w:val="center"/>
              <w:rPr>
                <w:rFonts w:ascii="宋体" w:hAnsi="宋体" w:cs="Arial"/>
                <w:kern w:val="0"/>
                <w:sz w:val="24"/>
                <w:szCs w:val="24"/>
              </w:rPr>
            </w:pPr>
            <w:r>
              <w:rPr>
                <w:rFonts w:hint="eastAsia" w:ascii="宋体" w:hAnsi="宋体" w:cs="Arial"/>
                <w:kern w:val="0"/>
                <w:sz w:val="24"/>
                <w:szCs w:val="24"/>
              </w:rPr>
              <w:t>小蕉单元</w:t>
            </w:r>
          </w:p>
        </w:tc>
        <w:tc>
          <w:tcPr>
            <w:tcW w:w="1969" w:type="pct"/>
            <w:tcBorders>
              <w:top w:val="nil"/>
              <w:left w:val="nil"/>
              <w:bottom w:val="single" w:color="auto" w:sz="4" w:space="0"/>
              <w:right w:val="single" w:color="auto" w:sz="4" w:space="0"/>
            </w:tcBorders>
            <w:noWrap/>
            <w:vAlign w:val="center"/>
          </w:tcPr>
          <w:p w14:paraId="111AB002">
            <w:pPr>
              <w:widowControl/>
              <w:ind w:firstLine="0" w:firstLineChars="0"/>
              <w:jc w:val="center"/>
              <w:rPr>
                <w:rFonts w:ascii="宋体" w:hAnsi="宋体" w:cs="Arial"/>
                <w:kern w:val="0"/>
                <w:sz w:val="24"/>
                <w:szCs w:val="24"/>
              </w:rPr>
            </w:pPr>
            <w:r>
              <w:rPr>
                <w:rFonts w:ascii="宋体" w:hAnsi="宋体" w:cs="Arial"/>
                <w:kern w:val="0"/>
                <w:sz w:val="24"/>
                <w:szCs w:val="24"/>
              </w:rPr>
              <w:t>74.9%</w:t>
            </w:r>
          </w:p>
        </w:tc>
        <w:tc>
          <w:tcPr>
            <w:tcW w:w="1064" w:type="pct"/>
            <w:tcBorders>
              <w:top w:val="nil"/>
              <w:left w:val="nil"/>
              <w:bottom w:val="single" w:color="auto" w:sz="4" w:space="0"/>
              <w:right w:val="single" w:color="auto" w:sz="4" w:space="0"/>
            </w:tcBorders>
            <w:noWrap/>
            <w:vAlign w:val="center"/>
          </w:tcPr>
          <w:p w14:paraId="47DEF8F8">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22.02 </w:t>
            </w:r>
          </w:p>
        </w:tc>
      </w:tr>
      <w:tr w14:paraId="3D88F949">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7C2FEEE8">
            <w:pPr>
              <w:widowControl/>
              <w:ind w:firstLine="0" w:firstLineChars="0"/>
              <w:jc w:val="center"/>
              <w:rPr>
                <w:rFonts w:ascii="宋体" w:hAnsi="宋体" w:cs="Arial"/>
                <w:kern w:val="0"/>
                <w:sz w:val="24"/>
                <w:szCs w:val="24"/>
              </w:rPr>
            </w:pPr>
            <w:r>
              <w:rPr>
                <w:rFonts w:ascii="宋体" w:hAnsi="宋体" w:cs="Arial"/>
                <w:kern w:val="0"/>
                <w:sz w:val="24"/>
                <w:szCs w:val="24"/>
              </w:rPr>
              <w:t>16</w:t>
            </w:r>
          </w:p>
        </w:tc>
        <w:tc>
          <w:tcPr>
            <w:tcW w:w="1212" w:type="pct"/>
            <w:tcBorders>
              <w:top w:val="nil"/>
              <w:left w:val="nil"/>
              <w:bottom w:val="single" w:color="auto" w:sz="4" w:space="0"/>
              <w:right w:val="single" w:color="auto" w:sz="4" w:space="0"/>
            </w:tcBorders>
            <w:noWrap/>
            <w:vAlign w:val="center"/>
          </w:tcPr>
          <w:p w14:paraId="55ED3457">
            <w:pPr>
              <w:widowControl/>
              <w:ind w:firstLine="0" w:firstLineChars="0"/>
              <w:jc w:val="center"/>
              <w:rPr>
                <w:rFonts w:ascii="宋体" w:hAnsi="宋体" w:cs="Arial"/>
                <w:kern w:val="0"/>
                <w:sz w:val="24"/>
                <w:szCs w:val="24"/>
              </w:rPr>
            </w:pPr>
            <w:r>
              <w:rPr>
                <w:rFonts w:hint="eastAsia" w:ascii="宋体" w:hAnsi="宋体" w:cs="Arial"/>
                <w:kern w:val="0"/>
                <w:sz w:val="24"/>
                <w:szCs w:val="24"/>
              </w:rPr>
              <w:t>陈大单元</w:t>
            </w:r>
          </w:p>
        </w:tc>
        <w:tc>
          <w:tcPr>
            <w:tcW w:w="1969" w:type="pct"/>
            <w:tcBorders>
              <w:top w:val="nil"/>
              <w:left w:val="nil"/>
              <w:bottom w:val="single" w:color="auto" w:sz="4" w:space="0"/>
              <w:right w:val="single" w:color="auto" w:sz="4" w:space="0"/>
            </w:tcBorders>
            <w:noWrap/>
            <w:vAlign w:val="center"/>
          </w:tcPr>
          <w:p w14:paraId="07FDC367">
            <w:pPr>
              <w:widowControl/>
              <w:ind w:firstLine="0" w:firstLineChars="0"/>
              <w:jc w:val="center"/>
              <w:rPr>
                <w:rFonts w:ascii="宋体" w:hAnsi="宋体" w:cs="Arial"/>
                <w:kern w:val="0"/>
                <w:sz w:val="24"/>
                <w:szCs w:val="24"/>
              </w:rPr>
            </w:pPr>
            <w:r>
              <w:rPr>
                <w:rFonts w:ascii="宋体" w:hAnsi="宋体" w:cs="Arial"/>
                <w:kern w:val="0"/>
                <w:sz w:val="24"/>
                <w:szCs w:val="24"/>
              </w:rPr>
              <w:t>77.0%</w:t>
            </w:r>
          </w:p>
        </w:tc>
        <w:tc>
          <w:tcPr>
            <w:tcW w:w="1064" w:type="pct"/>
            <w:tcBorders>
              <w:top w:val="nil"/>
              <w:left w:val="nil"/>
              <w:bottom w:val="single" w:color="auto" w:sz="4" w:space="0"/>
              <w:right w:val="single" w:color="auto" w:sz="4" w:space="0"/>
            </w:tcBorders>
            <w:noWrap/>
            <w:vAlign w:val="center"/>
          </w:tcPr>
          <w:p w14:paraId="2D3DF912">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24.07 </w:t>
            </w:r>
          </w:p>
        </w:tc>
      </w:tr>
      <w:tr w14:paraId="77FF3DE8">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4AD045E1">
            <w:pPr>
              <w:widowControl/>
              <w:ind w:firstLine="0" w:firstLineChars="0"/>
              <w:jc w:val="center"/>
              <w:rPr>
                <w:rFonts w:ascii="宋体" w:hAnsi="宋体" w:cs="Arial"/>
                <w:kern w:val="0"/>
                <w:sz w:val="24"/>
                <w:szCs w:val="24"/>
              </w:rPr>
            </w:pPr>
            <w:r>
              <w:rPr>
                <w:rFonts w:ascii="宋体" w:hAnsi="宋体" w:cs="Arial"/>
                <w:kern w:val="0"/>
                <w:sz w:val="24"/>
                <w:szCs w:val="24"/>
              </w:rPr>
              <w:t>17</w:t>
            </w:r>
          </w:p>
        </w:tc>
        <w:tc>
          <w:tcPr>
            <w:tcW w:w="1212" w:type="pct"/>
            <w:tcBorders>
              <w:top w:val="nil"/>
              <w:left w:val="nil"/>
              <w:bottom w:val="single" w:color="auto" w:sz="4" w:space="0"/>
              <w:right w:val="single" w:color="auto" w:sz="4" w:space="0"/>
            </w:tcBorders>
            <w:noWrap/>
            <w:vAlign w:val="center"/>
          </w:tcPr>
          <w:p w14:paraId="331592D8">
            <w:pPr>
              <w:widowControl/>
              <w:ind w:firstLine="0" w:firstLineChars="0"/>
              <w:jc w:val="center"/>
              <w:rPr>
                <w:rFonts w:ascii="宋体" w:hAnsi="宋体" w:cs="Arial"/>
                <w:kern w:val="0"/>
                <w:sz w:val="24"/>
                <w:szCs w:val="24"/>
              </w:rPr>
            </w:pPr>
            <w:r>
              <w:rPr>
                <w:rFonts w:hint="eastAsia" w:ascii="宋体" w:hAnsi="宋体" w:cs="Arial"/>
                <w:kern w:val="0"/>
                <w:sz w:val="24"/>
                <w:szCs w:val="24"/>
              </w:rPr>
              <w:t>洋溪单元</w:t>
            </w:r>
          </w:p>
        </w:tc>
        <w:tc>
          <w:tcPr>
            <w:tcW w:w="1969" w:type="pct"/>
            <w:tcBorders>
              <w:top w:val="nil"/>
              <w:left w:val="nil"/>
              <w:bottom w:val="single" w:color="auto" w:sz="4" w:space="0"/>
              <w:right w:val="single" w:color="auto" w:sz="4" w:space="0"/>
            </w:tcBorders>
            <w:noWrap/>
            <w:vAlign w:val="center"/>
          </w:tcPr>
          <w:p w14:paraId="5DAF3498">
            <w:pPr>
              <w:widowControl/>
              <w:ind w:firstLine="0" w:firstLineChars="0"/>
              <w:jc w:val="center"/>
              <w:rPr>
                <w:rFonts w:ascii="宋体" w:hAnsi="宋体" w:cs="Arial"/>
                <w:kern w:val="0"/>
                <w:sz w:val="24"/>
                <w:szCs w:val="24"/>
              </w:rPr>
            </w:pPr>
            <w:r>
              <w:rPr>
                <w:rFonts w:ascii="宋体" w:hAnsi="宋体" w:cs="Arial"/>
                <w:kern w:val="0"/>
                <w:sz w:val="24"/>
                <w:szCs w:val="24"/>
              </w:rPr>
              <w:t>80.4%</w:t>
            </w:r>
          </w:p>
        </w:tc>
        <w:tc>
          <w:tcPr>
            <w:tcW w:w="1064" w:type="pct"/>
            <w:tcBorders>
              <w:top w:val="nil"/>
              <w:left w:val="nil"/>
              <w:bottom w:val="single" w:color="auto" w:sz="4" w:space="0"/>
              <w:right w:val="single" w:color="auto" w:sz="4" w:space="0"/>
            </w:tcBorders>
            <w:noWrap/>
            <w:vAlign w:val="center"/>
          </w:tcPr>
          <w:p w14:paraId="25819A0A">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27.11 </w:t>
            </w:r>
          </w:p>
        </w:tc>
      </w:tr>
      <w:tr w14:paraId="485EB229">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15F6EA0A">
            <w:pPr>
              <w:widowControl/>
              <w:ind w:firstLine="0" w:firstLineChars="0"/>
              <w:jc w:val="center"/>
              <w:rPr>
                <w:rFonts w:ascii="宋体" w:hAnsi="宋体" w:cs="Arial"/>
                <w:kern w:val="0"/>
                <w:sz w:val="24"/>
                <w:szCs w:val="24"/>
              </w:rPr>
            </w:pPr>
            <w:r>
              <w:rPr>
                <w:rFonts w:ascii="宋体" w:hAnsi="宋体" w:cs="Arial"/>
                <w:kern w:val="0"/>
                <w:sz w:val="24"/>
                <w:szCs w:val="24"/>
              </w:rPr>
              <w:t>18</w:t>
            </w:r>
          </w:p>
        </w:tc>
        <w:tc>
          <w:tcPr>
            <w:tcW w:w="1212" w:type="pct"/>
            <w:tcBorders>
              <w:top w:val="nil"/>
              <w:left w:val="nil"/>
              <w:bottom w:val="single" w:color="auto" w:sz="4" w:space="0"/>
              <w:right w:val="single" w:color="auto" w:sz="4" w:space="0"/>
            </w:tcBorders>
            <w:noWrap/>
            <w:vAlign w:val="center"/>
          </w:tcPr>
          <w:p w14:paraId="3C7D45BE">
            <w:pPr>
              <w:widowControl/>
              <w:ind w:firstLine="0" w:firstLineChars="0"/>
              <w:jc w:val="center"/>
              <w:rPr>
                <w:rFonts w:ascii="宋体" w:hAnsi="宋体" w:cs="Arial"/>
                <w:kern w:val="0"/>
                <w:sz w:val="24"/>
                <w:szCs w:val="24"/>
              </w:rPr>
            </w:pPr>
            <w:r>
              <w:rPr>
                <w:rFonts w:hint="eastAsia" w:ascii="宋体" w:hAnsi="宋体" w:cs="Arial"/>
                <w:kern w:val="0"/>
                <w:sz w:val="24"/>
                <w:szCs w:val="24"/>
              </w:rPr>
              <w:t>城南单元</w:t>
            </w:r>
          </w:p>
        </w:tc>
        <w:tc>
          <w:tcPr>
            <w:tcW w:w="1969" w:type="pct"/>
            <w:tcBorders>
              <w:top w:val="nil"/>
              <w:left w:val="nil"/>
              <w:bottom w:val="single" w:color="auto" w:sz="4" w:space="0"/>
              <w:right w:val="single" w:color="auto" w:sz="4" w:space="0"/>
            </w:tcBorders>
            <w:noWrap/>
            <w:vAlign w:val="center"/>
          </w:tcPr>
          <w:p w14:paraId="2CE96823">
            <w:pPr>
              <w:widowControl/>
              <w:ind w:firstLine="0" w:firstLineChars="0"/>
              <w:jc w:val="center"/>
              <w:rPr>
                <w:rFonts w:ascii="宋体" w:hAnsi="宋体" w:cs="Arial"/>
                <w:kern w:val="0"/>
                <w:sz w:val="24"/>
                <w:szCs w:val="24"/>
              </w:rPr>
            </w:pPr>
            <w:r>
              <w:rPr>
                <w:rFonts w:ascii="宋体" w:hAnsi="宋体" w:cs="Arial"/>
                <w:kern w:val="0"/>
                <w:sz w:val="24"/>
                <w:szCs w:val="24"/>
              </w:rPr>
              <w:t>78.2%</w:t>
            </w:r>
          </w:p>
        </w:tc>
        <w:tc>
          <w:tcPr>
            <w:tcW w:w="1064" w:type="pct"/>
            <w:tcBorders>
              <w:top w:val="nil"/>
              <w:left w:val="nil"/>
              <w:bottom w:val="single" w:color="auto" w:sz="4" w:space="0"/>
              <w:right w:val="single" w:color="auto" w:sz="4" w:space="0"/>
            </w:tcBorders>
            <w:noWrap/>
            <w:vAlign w:val="center"/>
          </w:tcPr>
          <w:p w14:paraId="114CBF97">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24.87 </w:t>
            </w:r>
          </w:p>
        </w:tc>
      </w:tr>
      <w:tr w14:paraId="18E4124E">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73E5B279">
            <w:pPr>
              <w:widowControl/>
              <w:ind w:firstLine="0" w:firstLineChars="0"/>
              <w:jc w:val="center"/>
              <w:rPr>
                <w:rFonts w:ascii="宋体" w:hAnsi="宋体" w:cs="Arial"/>
                <w:kern w:val="0"/>
                <w:sz w:val="24"/>
                <w:szCs w:val="24"/>
              </w:rPr>
            </w:pPr>
            <w:r>
              <w:rPr>
                <w:rFonts w:ascii="宋体" w:hAnsi="宋体" w:cs="Arial"/>
                <w:kern w:val="0"/>
                <w:sz w:val="24"/>
                <w:szCs w:val="24"/>
              </w:rPr>
              <w:t>19</w:t>
            </w:r>
          </w:p>
        </w:tc>
        <w:tc>
          <w:tcPr>
            <w:tcW w:w="1212" w:type="pct"/>
            <w:tcBorders>
              <w:top w:val="nil"/>
              <w:left w:val="nil"/>
              <w:bottom w:val="single" w:color="auto" w:sz="4" w:space="0"/>
              <w:right w:val="single" w:color="auto" w:sz="4" w:space="0"/>
            </w:tcBorders>
            <w:noWrap/>
            <w:vAlign w:val="center"/>
          </w:tcPr>
          <w:p w14:paraId="4DFCB528">
            <w:pPr>
              <w:widowControl/>
              <w:ind w:firstLine="0" w:firstLineChars="0"/>
              <w:jc w:val="center"/>
              <w:rPr>
                <w:rFonts w:ascii="宋体" w:hAnsi="宋体" w:cs="Arial"/>
                <w:kern w:val="0"/>
                <w:sz w:val="24"/>
                <w:szCs w:val="24"/>
              </w:rPr>
            </w:pPr>
            <w:r>
              <w:rPr>
                <w:rFonts w:hint="eastAsia" w:ascii="宋体" w:hAnsi="宋体" w:cs="Arial"/>
                <w:kern w:val="0"/>
                <w:sz w:val="24"/>
                <w:szCs w:val="24"/>
              </w:rPr>
              <w:t>生态城单元</w:t>
            </w:r>
          </w:p>
        </w:tc>
        <w:tc>
          <w:tcPr>
            <w:tcW w:w="1969" w:type="pct"/>
            <w:tcBorders>
              <w:top w:val="nil"/>
              <w:left w:val="nil"/>
              <w:bottom w:val="single" w:color="auto" w:sz="4" w:space="0"/>
              <w:right w:val="single" w:color="auto" w:sz="4" w:space="0"/>
            </w:tcBorders>
            <w:noWrap/>
            <w:vAlign w:val="center"/>
          </w:tcPr>
          <w:p w14:paraId="72BE9A44">
            <w:pPr>
              <w:widowControl/>
              <w:ind w:firstLine="0" w:firstLineChars="0"/>
              <w:jc w:val="center"/>
              <w:rPr>
                <w:rFonts w:ascii="宋体" w:hAnsi="宋体" w:cs="Arial"/>
                <w:kern w:val="0"/>
                <w:sz w:val="24"/>
                <w:szCs w:val="24"/>
              </w:rPr>
            </w:pPr>
            <w:r>
              <w:rPr>
                <w:rFonts w:ascii="宋体" w:hAnsi="宋体" w:cs="Arial"/>
                <w:kern w:val="0"/>
                <w:sz w:val="24"/>
                <w:szCs w:val="24"/>
              </w:rPr>
              <w:t>81.4%</w:t>
            </w:r>
          </w:p>
        </w:tc>
        <w:tc>
          <w:tcPr>
            <w:tcW w:w="1064" w:type="pct"/>
            <w:tcBorders>
              <w:top w:val="nil"/>
              <w:left w:val="nil"/>
              <w:bottom w:val="single" w:color="auto" w:sz="4" w:space="0"/>
              <w:right w:val="single" w:color="auto" w:sz="4" w:space="0"/>
            </w:tcBorders>
            <w:noWrap/>
            <w:vAlign w:val="center"/>
          </w:tcPr>
          <w:p w14:paraId="153121A2">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27.98 </w:t>
            </w:r>
          </w:p>
        </w:tc>
      </w:tr>
      <w:tr w14:paraId="12AA602D">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009EF4A2">
            <w:pPr>
              <w:widowControl/>
              <w:ind w:firstLine="0" w:firstLineChars="0"/>
              <w:jc w:val="center"/>
              <w:rPr>
                <w:rFonts w:ascii="宋体" w:hAnsi="宋体" w:cs="Arial"/>
                <w:kern w:val="0"/>
                <w:sz w:val="24"/>
                <w:szCs w:val="24"/>
              </w:rPr>
            </w:pPr>
            <w:r>
              <w:rPr>
                <w:rFonts w:ascii="宋体" w:hAnsi="宋体" w:cs="Arial"/>
                <w:kern w:val="0"/>
                <w:sz w:val="24"/>
                <w:szCs w:val="24"/>
              </w:rPr>
              <w:t>20</w:t>
            </w:r>
          </w:p>
        </w:tc>
        <w:tc>
          <w:tcPr>
            <w:tcW w:w="1212" w:type="pct"/>
            <w:tcBorders>
              <w:top w:val="nil"/>
              <w:left w:val="nil"/>
              <w:bottom w:val="single" w:color="auto" w:sz="4" w:space="0"/>
              <w:right w:val="single" w:color="auto" w:sz="4" w:space="0"/>
            </w:tcBorders>
            <w:noWrap/>
            <w:vAlign w:val="center"/>
          </w:tcPr>
          <w:p w14:paraId="6D1BAA77">
            <w:pPr>
              <w:widowControl/>
              <w:ind w:firstLine="0" w:firstLineChars="0"/>
              <w:jc w:val="center"/>
              <w:rPr>
                <w:rFonts w:ascii="宋体" w:hAnsi="宋体" w:cs="Arial"/>
                <w:kern w:val="0"/>
                <w:sz w:val="24"/>
                <w:szCs w:val="24"/>
              </w:rPr>
            </w:pPr>
            <w:r>
              <w:rPr>
                <w:rFonts w:hint="eastAsia" w:ascii="宋体" w:hAnsi="宋体" w:cs="Arial"/>
                <w:kern w:val="0"/>
                <w:sz w:val="24"/>
                <w:szCs w:val="24"/>
              </w:rPr>
              <w:t>老城西单元</w:t>
            </w:r>
          </w:p>
        </w:tc>
        <w:tc>
          <w:tcPr>
            <w:tcW w:w="1969" w:type="pct"/>
            <w:tcBorders>
              <w:top w:val="nil"/>
              <w:left w:val="nil"/>
              <w:bottom w:val="single" w:color="auto" w:sz="4" w:space="0"/>
              <w:right w:val="single" w:color="auto" w:sz="4" w:space="0"/>
            </w:tcBorders>
            <w:noWrap/>
            <w:vAlign w:val="center"/>
          </w:tcPr>
          <w:p w14:paraId="5967793D">
            <w:pPr>
              <w:widowControl/>
              <w:ind w:firstLine="0" w:firstLineChars="0"/>
              <w:jc w:val="center"/>
              <w:rPr>
                <w:rFonts w:ascii="宋体" w:hAnsi="宋体" w:cs="Arial"/>
                <w:kern w:val="0"/>
                <w:sz w:val="24"/>
                <w:szCs w:val="24"/>
              </w:rPr>
            </w:pPr>
            <w:r>
              <w:rPr>
                <w:rFonts w:ascii="宋体" w:hAnsi="宋体" w:cs="Arial"/>
                <w:kern w:val="0"/>
                <w:sz w:val="24"/>
                <w:szCs w:val="24"/>
              </w:rPr>
              <w:t>68.8%</w:t>
            </w:r>
          </w:p>
        </w:tc>
        <w:tc>
          <w:tcPr>
            <w:tcW w:w="1064" w:type="pct"/>
            <w:tcBorders>
              <w:top w:val="nil"/>
              <w:left w:val="nil"/>
              <w:bottom w:val="single" w:color="auto" w:sz="4" w:space="0"/>
              <w:right w:val="single" w:color="auto" w:sz="4" w:space="0"/>
            </w:tcBorders>
            <w:noWrap/>
            <w:vAlign w:val="center"/>
          </w:tcPr>
          <w:p w14:paraId="71A2EEA7">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18.34 </w:t>
            </w:r>
          </w:p>
        </w:tc>
      </w:tr>
      <w:tr w14:paraId="06793A4A">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2D385A38">
            <w:pPr>
              <w:widowControl/>
              <w:ind w:firstLine="0" w:firstLineChars="0"/>
              <w:jc w:val="center"/>
              <w:rPr>
                <w:rFonts w:ascii="宋体" w:hAnsi="宋体" w:cs="Arial"/>
                <w:kern w:val="0"/>
                <w:sz w:val="24"/>
                <w:szCs w:val="24"/>
              </w:rPr>
            </w:pPr>
            <w:r>
              <w:rPr>
                <w:rFonts w:ascii="宋体" w:hAnsi="宋体" w:cs="Arial"/>
                <w:kern w:val="0"/>
                <w:sz w:val="24"/>
                <w:szCs w:val="24"/>
              </w:rPr>
              <w:t>21</w:t>
            </w:r>
          </w:p>
        </w:tc>
        <w:tc>
          <w:tcPr>
            <w:tcW w:w="1212" w:type="pct"/>
            <w:tcBorders>
              <w:top w:val="nil"/>
              <w:left w:val="nil"/>
              <w:bottom w:val="single" w:color="auto" w:sz="4" w:space="0"/>
              <w:right w:val="single" w:color="auto" w:sz="4" w:space="0"/>
            </w:tcBorders>
            <w:noWrap/>
            <w:vAlign w:val="center"/>
          </w:tcPr>
          <w:p w14:paraId="65E9CED6">
            <w:pPr>
              <w:widowControl/>
              <w:ind w:firstLine="0" w:firstLineChars="0"/>
              <w:jc w:val="center"/>
              <w:rPr>
                <w:rFonts w:ascii="宋体" w:hAnsi="宋体" w:cs="Arial"/>
                <w:kern w:val="0"/>
                <w:sz w:val="24"/>
                <w:szCs w:val="24"/>
              </w:rPr>
            </w:pPr>
            <w:r>
              <w:rPr>
                <w:rFonts w:hint="eastAsia" w:ascii="宋体" w:hAnsi="宋体" w:cs="Arial"/>
                <w:kern w:val="0"/>
                <w:sz w:val="24"/>
                <w:szCs w:val="24"/>
              </w:rPr>
              <w:t>老城东单元</w:t>
            </w:r>
          </w:p>
        </w:tc>
        <w:tc>
          <w:tcPr>
            <w:tcW w:w="1969" w:type="pct"/>
            <w:tcBorders>
              <w:top w:val="nil"/>
              <w:left w:val="nil"/>
              <w:bottom w:val="single" w:color="auto" w:sz="4" w:space="0"/>
              <w:right w:val="single" w:color="auto" w:sz="4" w:space="0"/>
            </w:tcBorders>
            <w:noWrap/>
            <w:vAlign w:val="center"/>
          </w:tcPr>
          <w:p w14:paraId="55B0E64C">
            <w:pPr>
              <w:widowControl/>
              <w:ind w:firstLine="0" w:firstLineChars="0"/>
              <w:jc w:val="center"/>
              <w:rPr>
                <w:rFonts w:ascii="宋体" w:hAnsi="宋体" w:cs="Arial"/>
                <w:kern w:val="0"/>
                <w:sz w:val="24"/>
                <w:szCs w:val="24"/>
              </w:rPr>
            </w:pPr>
            <w:r>
              <w:rPr>
                <w:rFonts w:ascii="宋体" w:hAnsi="宋体" w:cs="Arial"/>
                <w:kern w:val="0"/>
                <w:sz w:val="24"/>
                <w:szCs w:val="24"/>
              </w:rPr>
              <w:t>79.6%</w:t>
            </w:r>
          </w:p>
        </w:tc>
        <w:tc>
          <w:tcPr>
            <w:tcW w:w="1064" w:type="pct"/>
            <w:tcBorders>
              <w:top w:val="nil"/>
              <w:left w:val="nil"/>
              <w:bottom w:val="single" w:color="auto" w:sz="4" w:space="0"/>
              <w:right w:val="single" w:color="auto" w:sz="4" w:space="0"/>
            </w:tcBorders>
            <w:noWrap/>
            <w:vAlign w:val="center"/>
          </w:tcPr>
          <w:p w14:paraId="7E7FC36D">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25.85 </w:t>
            </w:r>
          </w:p>
        </w:tc>
      </w:tr>
      <w:tr w14:paraId="23DBB11A">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73BDEEF0">
            <w:pPr>
              <w:widowControl/>
              <w:ind w:firstLine="0" w:firstLineChars="0"/>
              <w:jc w:val="center"/>
              <w:rPr>
                <w:rFonts w:ascii="宋体" w:hAnsi="宋体" w:cs="Arial"/>
                <w:kern w:val="0"/>
                <w:sz w:val="24"/>
                <w:szCs w:val="24"/>
              </w:rPr>
            </w:pPr>
            <w:r>
              <w:rPr>
                <w:rFonts w:ascii="宋体" w:hAnsi="宋体" w:cs="Arial"/>
                <w:kern w:val="0"/>
                <w:sz w:val="24"/>
                <w:szCs w:val="24"/>
              </w:rPr>
              <w:t>22</w:t>
            </w:r>
          </w:p>
        </w:tc>
        <w:tc>
          <w:tcPr>
            <w:tcW w:w="1212" w:type="pct"/>
            <w:tcBorders>
              <w:top w:val="nil"/>
              <w:left w:val="nil"/>
              <w:bottom w:val="single" w:color="auto" w:sz="4" w:space="0"/>
              <w:right w:val="single" w:color="auto" w:sz="4" w:space="0"/>
            </w:tcBorders>
            <w:noWrap/>
            <w:vAlign w:val="center"/>
          </w:tcPr>
          <w:p w14:paraId="58846705">
            <w:pPr>
              <w:widowControl/>
              <w:ind w:firstLine="0" w:firstLineChars="0"/>
              <w:jc w:val="center"/>
              <w:rPr>
                <w:rFonts w:ascii="宋体" w:hAnsi="宋体" w:cs="Arial"/>
                <w:kern w:val="0"/>
                <w:sz w:val="24"/>
                <w:szCs w:val="24"/>
              </w:rPr>
            </w:pPr>
            <w:r>
              <w:rPr>
                <w:rFonts w:hint="eastAsia" w:ascii="宋体" w:hAnsi="宋体" w:cs="Arial"/>
                <w:kern w:val="0"/>
                <w:sz w:val="24"/>
                <w:szCs w:val="24"/>
              </w:rPr>
              <w:t>金沙单元</w:t>
            </w:r>
          </w:p>
        </w:tc>
        <w:tc>
          <w:tcPr>
            <w:tcW w:w="1969" w:type="pct"/>
            <w:tcBorders>
              <w:top w:val="nil"/>
              <w:left w:val="nil"/>
              <w:bottom w:val="single" w:color="auto" w:sz="4" w:space="0"/>
              <w:right w:val="single" w:color="auto" w:sz="4" w:space="0"/>
            </w:tcBorders>
            <w:noWrap/>
            <w:vAlign w:val="center"/>
          </w:tcPr>
          <w:p w14:paraId="6A711224">
            <w:pPr>
              <w:widowControl/>
              <w:ind w:firstLine="0" w:firstLineChars="0"/>
              <w:jc w:val="center"/>
              <w:rPr>
                <w:rFonts w:ascii="宋体" w:hAnsi="宋体" w:cs="Arial"/>
                <w:kern w:val="0"/>
                <w:sz w:val="24"/>
                <w:szCs w:val="24"/>
              </w:rPr>
            </w:pPr>
            <w:r>
              <w:rPr>
                <w:rFonts w:ascii="宋体" w:hAnsi="宋体" w:cs="Arial"/>
                <w:kern w:val="0"/>
                <w:sz w:val="24"/>
                <w:szCs w:val="24"/>
              </w:rPr>
              <w:t>70.9%</w:t>
            </w:r>
          </w:p>
        </w:tc>
        <w:tc>
          <w:tcPr>
            <w:tcW w:w="1064" w:type="pct"/>
            <w:tcBorders>
              <w:top w:val="nil"/>
              <w:left w:val="nil"/>
              <w:bottom w:val="single" w:color="auto" w:sz="4" w:space="0"/>
              <w:right w:val="single" w:color="auto" w:sz="4" w:space="0"/>
            </w:tcBorders>
            <w:noWrap/>
            <w:vAlign w:val="center"/>
          </w:tcPr>
          <w:p w14:paraId="0ED1DB6E">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19.82 </w:t>
            </w:r>
          </w:p>
        </w:tc>
      </w:tr>
      <w:tr w14:paraId="78AAFD58">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3E25F761">
            <w:pPr>
              <w:widowControl/>
              <w:ind w:firstLine="0" w:firstLineChars="0"/>
              <w:jc w:val="center"/>
              <w:rPr>
                <w:rFonts w:ascii="宋体" w:hAnsi="宋体" w:cs="Arial"/>
                <w:kern w:val="0"/>
                <w:sz w:val="24"/>
                <w:szCs w:val="24"/>
              </w:rPr>
            </w:pPr>
            <w:r>
              <w:rPr>
                <w:rFonts w:ascii="宋体" w:hAnsi="宋体" w:cs="Arial"/>
                <w:kern w:val="0"/>
                <w:sz w:val="24"/>
                <w:szCs w:val="24"/>
              </w:rPr>
              <w:t>23</w:t>
            </w:r>
          </w:p>
        </w:tc>
        <w:tc>
          <w:tcPr>
            <w:tcW w:w="1212" w:type="pct"/>
            <w:tcBorders>
              <w:top w:val="nil"/>
              <w:left w:val="nil"/>
              <w:bottom w:val="single" w:color="auto" w:sz="4" w:space="0"/>
              <w:right w:val="single" w:color="auto" w:sz="4" w:space="0"/>
            </w:tcBorders>
            <w:noWrap/>
            <w:vAlign w:val="center"/>
          </w:tcPr>
          <w:p w14:paraId="51902246">
            <w:pPr>
              <w:widowControl/>
              <w:ind w:firstLine="0" w:firstLineChars="0"/>
              <w:jc w:val="center"/>
              <w:rPr>
                <w:rFonts w:ascii="宋体" w:hAnsi="宋体" w:cs="Arial"/>
                <w:kern w:val="0"/>
                <w:sz w:val="24"/>
                <w:szCs w:val="24"/>
              </w:rPr>
            </w:pPr>
            <w:r>
              <w:rPr>
                <w:rFonts w:hint="eastAsia" w:ascii="宋体" w:hAnsi="宋体" w:cs="Arial"/>
                <w:kern w:val="0"/>
                <w:sz w:val="24"/>
                <w:szCs w:val="24"/>
              </w:rPr>
              <w:t>金古北单元</w:t>
            </w:r>
          </w:p>
        </w:tc>
        <w:tc>
          <w:tcPr>
            <w:tcW w:w="1969" w:type="pct"/>
            <w:tcBorders>
              <w:top w:val="nil"/>
              <w:left w:val="nil"/>
              <w:bottom w:val="single" w:color="auto" w:sz="4" w:space="0"/>
              <w:right w:val="single" w:color="auto" w:sz="4" w:space="0"/>
            </w:tcBorders>
            <w:noWrap/>
            <w:vAlign w:val="center"/>
          </w:tcPr>
          <w:p w14:paraId="217FAFB3">
            <w:pPr>
              <w:widowControl/>
              <w:ind w:firstLine="0" w:firstLineChars="0"/>
              <w:jc w:val="center"/>
              <w:rPr>
                <w:rFonts w:ascii="宋体" w:hAnsi="宋体" w:cs="Arial"/>
                <w:kern w:val="0"/>
                <w:sz w:val="24"/>
                <w:szCs w:val="24"/>
              </w:rPr>
            </w:pPr>
            <w:r>
              <w:rPr>
                <w:rFonts w:ascii="宋体" w:hAnsi="宋体" w:cs="Arial"/>
                <w:kern w:val="0"/>
                <w:sz w:val="24"/>
                <w:szCs w:val="24"/>
              </w:rPr>
              <w:t>71.3%</w:t>
            </w:r>
          </w:p>
        </w:tc>
        <w:tc>
          <w:tcPr>
            <w:tcW w:w="1064" w:type="pct"/>
            <w:tcBorders>
              <w:top w:val="nil"/>
              <w:left w:val="nil"/>
              <w:bottom w:val="single" w:color="auto" w:sz="4" w:space="0"/>
              <w:right w:val="single" w:color="auto" w:sz="4" w:space="0"/>
            </w:tcBorders>
            <w:noWrap/>
            <w:vAlign w:val="center"/>
          </w:tcPr>
          <w:p w14:paraId="3A841874">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20.00 </w:t>
            </w:r>
          </w:p>
        </w:tc>
      </w:tr>
      <w:tr w14:paraId="0BA123E3">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52C605B0">
            <w:pPr>
              <w:widowControl/>
              <w:ind w:firstLine="0" w:firstLineChars="0"/>
              <w:jc w:val="center"/>
              <w:rPr>
                <w:rFonts w:ascii="宋体" w:hAnsi="宋体" w:cs="Arial"/>
                <w:kern w:val="0"/>
                <w:sz w:val="24"/>
                <w:szCs w:val="24"/>
              </w:rPr>
            </w:pPr>
            <w:r>
              <w:rPr>
                <w:rFonts w:ascii="宋体" w:hAnsi="宋体" w:cs="Arial"/>
                <w:kern w:val="0"/>
                <w:sz w:val="24"/>
                <w:szCs w:val="24"/>
              </w:rPr>
              <w:t>24</w:t>
            </w:r>
          </w:p>
        </w:tc>
        <w:tc>
          <w:tcPr>
            <w:tcW w:w="1212" w:type="pct"/>
            <w:tcBorders>
              <w:top w:val="nil"/>
              <w:left w:val="nil"/>
              <w:bottom w:val="single" w:color="auto" w:sz="4" w:space="0"/>
              <w:right w:val="single" w:color="auto" w:sz="4" w:space="0"/>
            </w:tcBorders>
            <w:noWrap/>
            <w:vAlign w:val="center"/>
          </w:tcPr>
          <w:p w14:paraId="11D5205C">
            <w:pPr>
              <w:widowControl/>
              <w:ind w:firstLine="0" w:firstLineChars="0"/>
              <w:jc w:val="center"/>
              <w:rPr>
                <w:rFonts w:ascii="宋体" w:hAnsi="宋体" w:cs="Arial"/>
                <w:kern w:val="0"/>
                <w:sz w:val="24"/>
                <w:szCs w:val="24"/>
              </w:rPr>
            </w:pPr>
            <w:r>
              <w:rPr>
                <w:rFonts w:hint="eastAsia" w:ascii="宋体" w:hAnsi="宋体" w:cs="Arial"/>
                <w:kern w:val="0"/>
                <w:sz w:val="24"/>
                <w:szCs w:val="24"/>
              </w:rPr>
              <w:t>垄东单元</w:t>
            </w:r>
          </w:p>
        </w:tc>
        <w:tc>
          <w:tcPr>
            <w:tcW w:w="1969" w:type="pct"/>
            <w:tcBorders>
              <w:top w:val="nil"/>
              <w:left w:val="nil"/>
              <w:bottom w:val="single" w:color="auto" w:sz="4" w:space="0"/>
              <w:right w:val="single" w:color="auto" w:sz="4" w:space="0"/>
            </w:tcBorders>
            <w:noWrap/>
            <w:vAlign w:val="center"/>
          </w:tcPr>
          <w:p w14:paraId="384720B8">
            <w:pPr>
              <w:widowControl/>
              <w:ind w:firstLine="0" w:firstLineChars="0"/>
              <w:jc w:val="center"/>
              <w:rPr>
                <w:rFonts w:ascii="宋体" w:hAnsi="宋体" w:cs="Arial"/>
                <w:kern w:val="0"/>
                <w:sz w:val="24"/>
                <w:szCs w:val="24"/>
              </w:rPr>
            </w:pPr>
            <w:r>
              <w:rPr>
                <w:rFonts w:ascii="宋体" w:hAnsi="宋体" w:cs="Arial"/>
                <w:kern w:val="0"/>
                <w:sz w:val="24"/>
                <w:szCs w:val="24"/>
              </w:rPr>
              <w:t>88.4%</w:t>
            </w:r>
          </w:p>
        </w:tc>
        <w:tc>
          <w:tcPr>
            <w:tcW w:w="1064" w:type="pct"/>
            <w:tcBorders>
              <w:top w:val="nil"/>
              <w:left w:val="nil"/>
              <w:bottom w:val="single" w:color="auto" w:sz="4" w:space="0"/>
              <w:right w:val="single" w:color="auto" w:sz="4" w:space="0"/>
            </w:tcBorders>
            <w:noWrap/>
            <w:vAlign w:val="center"/>
          </w:tcPr>
          <w:p w14:paraId="1BBF0EA2">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36.07 </w:t>
            </w:r>
          </w:p>
        </w:tc>
      </w:tr>
      <w:tr w14:paraId="26CFF95A">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3FEA766F">
            <w:pPr>
              <w:widowControl/>
              <w:ind w:firstLine="0" w:firstLineChars="0"/>
              <w:jc w:val="center"/>
              <w:rPr>
                <w:rFonts w:ascii="宋体" w:hAnsi="宋体" w:cs="Arial"/>
                <w:kern w:val="0"/>
                <w:sz w:val="24"/>
                <w:szCs w:val="24"/>
              </w:rPr>
            </w:pPr>
            <w:r>
              <w:rPr>
                <w:rFonts w:ascii="宋体" w:hAnsi="宋体" w:cs="Arial"/>
                <w:kern w:val="0"/>
                <w:sz w:val="24"/>
                <w:szCs w:val="24"/>
              </w:rPr>
              <w:t>25</w:t>
            </w:r>
          </w:p>
        </w:tc>
        <w:tc>
          <w:tcPr>
            <w:tcW w:w="1212" w:type="pct"/>
            <w:tcBorders>
              <w:top w:val="nil"/>
              <w:left w:val="nil"/>
              <w:bottom w:val="single" w:color="auto" w:sz="4" w:space="0"/>
              <w:right w:val="single" w:color="auto" w:sz="4" w:space="0"/>
            </w:tcBorders>
            <w:noWrap/>
            <w:vAlign w:val="center"/>
          </w:tcPr>
          <w:p w14:paraId="20CE584B">
            <w:pPr>
              <w:widowControl/>
              <w:ind w:firstLine="0" w:firstLineChars="0"/>
              <w:jc w:val="center"/>
              <w:rPr>
                <w:rFonts w:ascii="宋体" w:hAnsi="宋体" w:cs="Arial"/>
                <w:kern w:val="0"/>
                <w:sz w:val="24"/>
                <w:szCs w:val="24"/>
              </w:rPr>
            </w:pPr>
            <w:r>
              <w:rPr>
                <w:rFonts w:hint="eastAsia" w:ascii="宋体" w:hAnsi="宋体" w:cs="Arial"/>
                <w:kern w:val="0"/>
                <w:sz w:val="24"/>
                <w:szCs w:val="24"/>
              </w:rPr>
              <w:t>富口单元</w:t>
            </w:r>
          </w:p>
        </w:tc>
        <w:tc>
          <w:tcPr>
            <w:tcW w:w="1969" w:type="pct"/>
            <w:tcBorders>
              <w:top w:val="nil"/>
              <w:left w:val="nil"/>
              <w:bottom w:val="single" w:color="auto" w:sz="4" w:space="0"/>
              <w:right w:val="single" w:color="auto" w:sz="4" w:space="0"/>
            </w:tcBorders>
            <w:noWrap/>
            <w:vAlign w:val="center"/>
          </w:tcPr>
          <w:p w14:paraId="271DF22A">
            <w:pPr>
              <w:widowControl/>
              <w:ind w:firstLine="0" w:firstLineChars="0"/>
              <w:jc w:val="center"/>
              <w:rPr>
                <w:rFonts w:ascii="宋体" w:hAnsi="宋体" w:cs="Arial"/>
                <w:kern w:val="0"/>
                <w:sz w:val="24"/>
                <w:szCs w:val="24"/>
              </w:rPr>
            </w:pPr>
            <w:r>
              <w:rPr>
                <w:rFonts w:ascii="宋体" w:hAnsi="宋体" w:cs="Arial"/>
                <w:kern w:val="0"/>
                <w:sz w:val="24"/>
                <w:szCs w:val="24"/>
              </w:rPr>
              <w:t>82.4%</w:t>
            </w:r>
          </w:p>
        </w:tc>
        <w:tc>
          <w:tcPr>
            <w:tcW w:w="1064" w:type="pct"/>
            <w:tcBorders>
              <w:top w:val="nil"/>
              <w:left w:val="nil"/>
              <w:bottom w:val="single" w:color="auto" w:sz="4" w:space="0"/>
              <w:right w:val="single" w:color="auto" w:sz="4" w:space="0"/>
            </w:tcBorders>
            <w:noWrap/>
            <w:vAlign w:val="center"/>
          </w:tcPr>
          <w:p w14:paraId="42E00295">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28.75 </w:t>
            </w:r>
          </w:p>
        </w:tc>
      </w:tr>
      <w:tr w14:paraId="396C77E5">
        <w:tblPrEx>
          <w:tblCellMar>
            <w:top w:w="0" w:type="dxa"/>
            <w:left w:w="108" w:type="dxa"/>
            <w:bottom w:w="0" w:type="dxa"/>
            <w:right w:w="108" w:type="dxa"/>
          </w:tblCellMar>
        </w:tblPrEx>
        <w:trPr>
          <w:trHeight w:val="341" w:hRule="atLeast"/>
          <w:jc w:val="right"/>
        </w:trPr>
        <w:tc>
          <w:tcPr>
            <w:tcW w:w="755" w:type="pct"/>
            <w:tcBorders>
              <w:top w:val="nil"/>
              <w:left w:val="single" w:color="auto" w:sz="4" w:space="0"/>
              <w:bottom w:val="single" w:color="auto" w:sz="4" w:space="0"/>
              <w:right w:val="single" w:color="auto" w:sz="4" w:space="0"/>
            </w:tcBorders>
            <w:noWrap/>
            <w:vAlign w:val="center"/>
          </w:tcPr>
          <w:p w14:paraId="139DC8C4">
            <w:pPr>
              <w:widowControl/>
              <w:ind w:firstLine="0" w:firstLineChars="0"/>
              <w:jc w:val="center"/>
              <w:rPr>
                <w:rFonts w:ascii="宋体" w:hAnsi="宋体" w:cs="Arial"/>
                <w:kern w:val="0"/>
                <w:sz w:val="24"/>
                <w:szCs w:val="24"/>
              </w:rPr>
            </w:pPr>
            <w:r>
              <w:rPr>
                <w:rFonts w:ascii="宋体" w:hAnsi="宋体" w:cs="Arial"/>
                <w:kern w:val="0"/>
                <w:sz w:val="24"/>
                <w:szCs w:val="24"/>
              </w:rPr>
              <w:t>26</w:t>
            </w:r>
          </w:p>
        </w:tc>
        <w:tc>
          <w:tcPr>
            <w:tcW w:w="1212" w:type="pct"/>
            <w:tcBorders>
              <w:top w:val="nil"/>
              <w:left w:val="nil"/>
              <w:bottom w:val="single" w:color="auto" w:sz="4" w:space="0"/>
              <w:right w:val="single" w:color="auto" w:sz="4" w:space="0"/>
            </w:tcBorders>
            <w:noWrap/>
            <w:vAlign w:val="center"/>
          </w:tcPr>
          <w:p w14:paraId="272BBD3A">
            <w:pPr>
              <w:widowControl/>
              <w:ind w:firstLine="0" w:firstLineChars="0"/>
              <w:jc w:val="center"/>
              <w:rPr>
                <w:rFonts w:ascii="宋体" w:hAnsi="宋体" w:cs="Arial"/>
                <w:kern w:val="0"/>
                <w:sz w:val="24"/>
                <w:szCs w:val="24"/>
              </w:rPr>
            </w:pPr>
            <w:r>
              <w:rPr>
                <w:rFonts w:hint="eastAsia" w:ascii="宋体" w:hAnsi="宋体" w:cs="Arial"/>
                <w:kern w:val="0"/>
                <w:sz w:val="24"/>
                <w:szCs w:val="24"/>
              </w:rPr>
              <w:t>金古东单元</w:t>
            </w:r>
          </w:p>
        </w:tc>
        <w:tc>
          <w:tcPr>
            <w:tcW w:w="1969" w:type="pct"/>
            <w:tcBorders>
              <w:top w:val="nil"/>
              <w:left w:val="nil"/>
              <w:bottom w:val="single" w:color="auto" w:sz="4" w:space="0"/>
              <w:right w:val="single" w:color="auto" w:sz="4" w:space="0"/>
            </w:tcBorders>
            <w:noWrap/>
            <w:vAlign w:val="center"/>
          </w:tcPr>
          <w:p w14:paraId="5407327C">
            <w:pPr>
              <w:widowControl/>
              <w:ind w:firstLine="0" w:firstLineChars="0"/>
              <w:jc w:val="center"/>
              <w:rPr>
                <w:rFonts w:ascii="宋体" w:hAnsi="宋体" w:cs="Arial"/>
                <w:kern w:val="0"/>
                <w:sz w:val="24"/>
                <w:szCs w:val="24"/>
              </w:rPr>
            </w:pPr>
            <w:r>
              <w:rPr>
                <w:rFonts w:ascii="宋体" w:hAnsi="宋体" w:cs="Arial"/>
                <w:kern w:val="0"/>
                <w:sz w:val="24"/>
                <w:szCs w:val="24"/>
              </w:rPr>
              <w:t>76.9%</w:t>
            </w:r>
          </w:p>
        </w:tc>
        <w:tc>
          <w:tcPr>
            <w:tcW w:w="1064" w:type="pct"/>
            <w:tcBorders>
              <w:top w:val="nil"/>
              <w:left w:val="nil"/>
              <w:bottom w:val="single" w:color="auto" w:sz="4" w:space="0"/>
              <w:right w:val="single" w:color="auto" w:sz="4" w:space="0"/>
            </w:tcBorders>
            <w:noWrap/>
            <w:vAlign w:val="center"/>
          </w:tcPr>
          <w:p w14:paraId="3328A5C6">
            <w:pPr>
              <w:widowControl/>
              <w:ind w:firstLine="0" w:firstLineChars="0"/>
              <w:jc w:val="center"/>
              <w:rPr>
                <w:rFonts w:ascii="宋体" w:hAnsi="宋体" w:cs="Arial"/>
                <w:kern w:val="0"/>
                <w:sz w:val="24"/>
                <w:szCs w:val="24"/>
              </w:rPr>
            </w:pPr>
            <w:r>
              <w:rPr>
                <w:rFonts w:hint="eastAsia" w:ascii="宋体" w:hAnsi="宋体" w:cs="Arial"/>
                <w:kern w:val="0"/>
                <w:sz w:val="24"/>
                <w:szCs w:val="24"/>
              </w:rPr>
              <w:t xml:space="preserve">24.01 </w:t>
            </w:r>
          </w:p>
        </w:tc>
      </w:tr>
    </w:tbl>
    <w:p w14:paraId="69BEF3CB">
      <w:pPr>
        <w:ind w:firstLine="0" w:firstLineChars="0"/>
        <w:jc w:val="center"/>
      </w:pPr>
      <w:r>
        <w:rPr>
          <w:rFonts w:hint="eastAsia"/>
        </w:rPr>
        <w:t>表6</w:t>
      </w:r>
      <w:r>
        <w:t xml:space="preserve">-3  </w:t>
      </w:r>
      <w:r>
        <w:rPr>
          <w:rFonts w:hint="eastAsia"/>
        </w:rPr>
        <w:t>排水单元管控分区及年径流总量控制率一览表</w:t>
      </w:r>
    </w:p>
    <w:bookmarkEnd w:id="22"/>
    <w:tbl>
      <w:tblPr>
        <w:tblStyle w:val="38"/>
        <w:tblW w:w="10164" w:type="dxa"/>
        <w:tblInd w:w="-5" w:type="dxa"/>
        <w:tblLayout w:type="autofit"/>
        <w:tblCellMar>
          <w:top w:w="0" w:type="dxa"/>
          <w:left w:w="108" w:type="dxa"/>
          <w:bottom w:w="0" w:type="dxa"/>
          <w:right w:w="108" w:type="dxa"/>
        </w:tblCellMar>
      </w:tblPr>
      <w:tblGrid>
        <w:gridCol w:w="993"/>
        <w:gridCol w:w="3118"/>
        <w:gridCol w:w="1389"/>
        <w:gridCol w:w="708"/>
        <w:gridCol w:w="2680"/>
        <w:gridCol w:w="1276"/>
      </w:tblGrid>
      <w:tr w14:paraId="44B73923">
        <w:tblPrEx>
          <w:tblCellMar>
            <w:top w:w="0" w:type="dxa"/>
            <w:left w:w="108" w:type="dxa"/>
            <w:bottom w:w="0" w:type="dxa"/>
            <w:right w:w="108" w:type="dxa"/>
          </w:tblCellMar>
        </w:tblPrEx>
        <w:trPr>
          <w:trHeight w:val="48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D6E02">
            <w:pPr>
              <w:widowControl/>
              <w:ind w:firstLine="0" w:firstLineChars="0"/>
              <w:jc w:val="center"/>
              <w:rPr>
                <w:rFonts w:ascii="宋体" w:hAnsi="宋体" w:cs="Arial"/>
                <w:kern w:val="0"/>
                <w:sz w:val="24"/>
                <w:szCs w:val="24"/>
              </w:rPr>
            </w:pPr>
            <w:r>
              <w:rPr>
                <w:rFonts w:hint="eastAsia" w:ascii="宋体" w:hAnsi="宋体" w:cs="Arial"/>
                <w:kern w:val="0"/>
                <w:sz w:val="24"/>
                <w:szCs w:val="24"/>
              </w:rPr>
              <w:t>编号</w:t>
            </w:r>
          </w:p>
        </w:tc>
        <w:tc>
          <w:tcPr>
            <w:tcW w:w="3118" w:type="dxa"/>
            <w:tcBorders>
              <w:top w:val="single" w:color="auto" w:sz="4" w:space="0"/>
              <w:left w:val="nil"/>
              <w:bottom w:val="single" w:color="auto" w:sz="4" w:space="0"/>
              <w:right w:val="single" w:color="auto" w:sz="4" w:space="0"/>
            </w:tcBorders>
            <w:shd w:val="clear" w:color="auto" w:fill="auto"/>
            <w:vAlign w:val="center"/>
          </w:tcPr>
          <w:p w14:paraId="02E23106">
            <w:pPr>
              <w:widowControl/>
              <w:ind w:firstLine="0" w:firstLineChars="0"/>
              <w:jc w:val="center"/>
              <w:rPr>
                <w:rFonts w:ascii="宋体" w:hAnsi="宋体" w:cs="Arial"/>
                <w:kern w:val="0"/>
                <w:sz w:val="24"/>
                <w:szCs w:val="24"/>
              </w:rPr>
            </w:pPr>
            <w:r>
              <w:rPr>
                <w:rFonts w:hint="eastAsia" w:ascii="宋体" w:hAnsi="宋体" w:cs="Arial"/>
                <w:kern w:val="0"/>
                <w:sz w:val="24"/>
                <w:szCs w:val="24"/>
              </w:rPr>
              <w:t>名称</w:t>
            </w:r>
          </w:p>
        </w:tc>
        <w:tc>
          <w:tcPr>
            <w:tcW w:w="1389" w:type="dxa"/>
            <w:tcBorders>
              <w:top w:val="single" w:color="auto" w:sz="4" w:space="0"/>
              <w:left w:val="nil"/>
              <w:bottom w:val="single" w:color="auto" w:sz="4" w:space="0"/>
              <w:right w:val="single" w:color="auto" w:sz="4" w:space="0"/>
            </w:tcBorders>
            <w:shd w:val="clear" w:color="auto" w:fill="auto"/>
            <w:vAlign w:val="center"/>
          </w:tcPr>
          <w:p w14:paraId="3A7F750B">
            <w:pPr>
              <w:widowControl/>
              <w:ind w:firstLine="0" w:firstLineChars="0"/>
              <w:jc w:val="center"/>
              <w:rPr>
                <w:rFonts w:ascii="宋体" w:hAnsi="宋体" w:cs="Arial"/>
                <w:kern w:val="0"/>
                <w:sz w:val="24"/>
                <w:szCs w:val="24"/>
              </w:rPr>
            </w:pPr>
            <w:r>
              <w:rPr>
                <w:rFonts w:hint="eastAsia" w:ascii="宋体" w:hAnsi="宋体" w:cs="Arial"/>
                <w:kern w:val="0"/>
                <w:sz w:val="24"/>
                <w:szCs w:val="24"/>
              </w:rPr>
              <w:t>径流总量控制率</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6B9F3E0">
            <w:pPr>
              <w:widowControl/>
              <w:ind w:firstLine="0" w:firstLineChars="0"/>
              <w:jc w:val="center"/>
              <w:rPr>
                <w:rFonts w:ascii="宋体" w:hAnsi="宋体" w:cs="Arial"/>
                <w:kern w:val="0"/>
                <w:sz w:val="24"/>
                <w:szCs w:val="24"/>
              </w:rPr>
            </w:pPr>
            <w:r>
              <w:rPr>
                <w:rFonts w:hint="eastAsia" w:ascii="宋体" w:hAnsi="宋体" w:cs="Arial"/>
                <w:kern w:val="0"/>
                <w:sz w:val="24"/>
                <w:szCs w:val="24"/>
              </w:rPr>
              <w:t>编号</w:t>
            </w:r>
          </w:p>
        </w:tc>
        <w:tc>
          <w:tcPr>
            <w:tcW w:w="2680" w:type="dxa"/>
            <w:tcBorders>
              <w:top w:val="single" w:color="auto" w:sz="4" w:space="0"/>
              <w:left w:val="nil"/>
              <w:bottom w:val="single" w:color="auto" w:sz="4" w:space="0"/>
              <w:right w:val="single" w:color="auto" w:sz="4" w:space="0"/>
            </w:tcBorders>
            <w:shd w:val="clear" w:color="auto" w:fill="auto"/>
            <w:vAlign w:val="center"/>
          </w:tcPr>
          <w:p w14:paraId="66CDB0CA">
            <w:pPr>
              <w:widowControl/>
              <w:ind w:firstLine="0" w:firstLineChars="0"/>
              <w:jc w:val="center"/>
              <w:rPr>
                <w:rFonts w:ascii="宋体" w:hAnsi="宋体" w:cs="Arial"/>
                <w:kern w:val="0"/>
                <w:sz w:val="24"/>
                <w:szCs w:val="24"/>
              </w:rPr>
            </w:pPr>
            <w:r>
              <w:rPr>
                <w:rFonts w:hint="eastAsia" w:ascii="宋体" w:hAnsi="宋体" w:cs="Arial"/>
                <w:kern w:val="0"/>
                <w:sz w:val="24"/>
                <w:szCs w:val="24"/>
              </w:rPr>
              <w:t>名称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7C041C1B">
            <w:pPr>
              <w:widowControl/>
              <w:ind w:firstLine="0" w:firstLineChars="0"/>
              <w:jc w:val="center"/>
              <w:rPr>
                <w:rFonts w:ascii="宋体" w:hAnsi="宋体" w:cs="Arial"/>
                <w:kern w:val="0"/>
                <w:sz w:val="24"/>
                <w:szCs w:val="24"/>
              </w:rPr>
            </w:pPr>
            <w:r>
              <w:rPr>
                <w:rFonts w:hint="eastAsia" w:ascii="宋体" w:hAnsi="宋体" w:cs="Arial"/>
                <w:kern w:val="0"/>
                <w:sz w:val="24"/>
                <w:szCs w:val="24"/>
              </w:rPr>
              <w:t>径流总量控制率</w:t>
            </w:r>
          </w:p>
        </w:tc>
      </w:tr>
      <w:tr w14:paraId="5FD554CE">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417BAF9">
            <w:pPr>
              <w:widowControl/>
              <w:ind w:firstLine="0" w:firstLineChars="0"/>
              <w:jc w:val="center"/>
              <w:rPr>
                <w:rFonts w:ascii="宋体" w:hAnsi="宋体" w:cs="Arial"/>
                <w:kern w:val="0"/>
                <w:sz w:val="24"/>
                <w:szCs w:val="24"/>
              </w:rPr>
            </w:pPr>
            <w:r>
              <w:rPr>
                <w:rFonts w:ascii="宋体" w:hAnsi="宋体" w:cs="Arial"/>
                <w:kern w:val="0"/>
                <w:sz w:val="24"/>
                <w:szCs w:val="24"/>
              </w:rPr>
              <w:t>01</w:t>
            </w:r>
          </w:p>
        </w:tc>
        <w:tc>
          <w:tcPr>
            <w:tcW w:w="3118" w:type="dxa"/>
            <w:tcBorders>
              <w:top w:val="nil"/>
              <w:left w:val="nil"/>
              <w:bottom w:val="single" w:color="auto" w:sz="4" w:space="0"/>
              <w:right w:val="single" w:color="auto" w:sz="4" w:space="0"/>
            </w:tcBorders>
            <w:shd w:val="clear" w:color="auto" w:fill="auto"/>
            <w:vAlign w:val="center"/>
          </w:tcPr>
          <w:p w14:paraId="5D6CB254">
            <w:pPr>
              <w:widowControl/>
              <w:ind w:firstLine="0" w:firstLineChars="0"/>
              <w:jc w:val="center"/>
              <w:rPr>
                <w:rFonts w:ascii="宋体" w:hAnsi="宋体" w:cs="Arial"/>
                <w:kern w:val="0"/>
                <w:sz w:val="24"/>
                <w:szCs w:val="24"/>
              </w:rPr>
            </w:pPr>
            <w:r>
              <w:rPr>
                <w:rFonts w:ascii="宋体" w:hAnsi="宋体" w:cs="Arial"/>
                <w:kern w:val="0"/>
                <w:sz w:val="24"/>
                <w:szCs w:val="24"/>
              </w:rPr>
              <w:t>碧湖排水单元</w:t>
            </w:r>
          </w:p>
        </w:tc>
        <w:tc>
          <w:tcPr>
            <w:tcW w:w="1389" w:type="dxa"/>
            <w:tcBorders>
              <w:top w:val="nil"/>
              <w:left w:val="nil"/>
              <w:bottom w:val="single" w:color="auto" w:sz="4" w:space="0"/>
              <w:right w:val="single" w:color="auto" w:sz="4" w:space="0"/>
            </w:tcBorders>
            <w:shd w:val="clear" w:color="auto" w:fill="auto"/>
            <w:vAlign w:val="center"/>
          </w:tcPr>
          <w:p w14:paraId="2E02327C">
            <w:pPr>
              <w:widowControl/>
              <w:ind w:firstLine="0" w:firstLineChars="0"/>
              <w:jc w:val="center"/>
              <w:rPr>
                <w:rFonts w:ascii="宋体" w:hAnsi="宋体" w:cs="Arial"/>
                <w:kern w:val="0"/>
                <w:sz w:val="24"/>
                <w:szCs w:val="24"/>
              </w:rPr>
            </w:pPr>
            <w:r>
              <w:rPr>
                <w:rFonts w:ascii="宋体" w:hAnsi="宋体" w:cs="Arial"/>
                <w:kern w:val="0"/>
                <w:sz w:val="24"/>
                <w:szCs w:val="24"/>
              </w:rPr>
              <w:t>66.2%</w:t>
            </w:r>
          </w:p>
        </w:tc>
        <w:tc>
          <w:tcPr>
            <w:tcW w:w="708" w:type="dxa"/>
            <w:tcBorders>
              <w:top w:val="nil"/>
              <w:left w:val="nil"/>
              <w:bottom w:val="single" w:color="auto" w:sz="4" w:space="0"/>
              <w:right w:val="single" w:color="auto" w:sz="4" w:space="0"/>
            </w:tcBorders>
            <w:shd w:val="clear" w:color="auto" w:fill="auto"/>
            <w:noWrap/>
            <w:vAlign w:val="center"/>
          </w:tcPr>
          <w:p w14:paraId="25577D17">
            <w:pPr>
              <w:widowControl/>
              <w:ind w:firstLine="0" w:firstLineChars="0"/>
              <w:jc w:val="center"/>
              <w:rPr>
                <w:rFonts w:ascii="宋体" w:hAnsi="宋体" w:cs="Arial"/>
                <w:kern w:val="0"/>
                <w:sz w:val="24"/>
                <w:szCs w:val="24"/>
              </w:rPr>
            </w:pPr>
            <w:r>
              <w:rPr>
                <w:rFonts w:ascii="宋体" w:hAnsi="宋体" w:cs="Arial"/>
                <w:kern w:val="0"/>
                <w:sz w:val="24"/>
                <w:szCs w:val="24"/>
              </w:rPr>
              <w:t>53</w:t>
            </w:r>
          </w:p>
        </w:tc>
        <w:tc>
          <w:tcPr>
            <w:tcW w:w="2680" w:type="dxa"/>
            <w:tcBorders>
              <w:top w:val="nil"/>
              <w:left w:val="nil"/>
              <w:bottom w:val="single" w:color="auto" w:sz="4" w:space="0"/>
              <w:right w:val="single" w:color="auto" w:sz="4" w:space="0"/>
            </w:tcBorders>
            <w:shd w:val="clear" w:color="auto" w:fill="auto"/>
            <w:noWrap/>
            <w:vAlign w:val="center"/>
          </w:tcPr>
          <w:p w14:paraId="28669E1E">
            <w:pPr>
              <w:widowControl/>
              <w:ind w:firstLine="0" w:firstLineChars="0"/>
              <w:jc w:val="center"/>
              <w:rPr>
                <w:rFonts w:ascii="宋体" w:hAnsi="宋体" w:cs="Arial"/>
                <w:kern w:val="0"/>
                <w:sz w:val="24"/>
                <w:szCs w:val="24"/>
              </w:rPr>
            </w:pPr>
            <w:r>
              <w:rPr>
                <w:rFonts w:ascii="宋体" w:hAnsi="宋体" w:cs="Arial"/>
                <w:kern w:val="0"/>
                <w:sz w:val="24"/>
                <w:szCs w:val="24"/>
              </w:rPr>
              <w:t>服务区东岸排水单元</w:t>
            </w:r>
          </w:p>
        </w:tc>
        <w:tc>
          <w:tcPr>
            <w:tcW w:w="1276" w:type="dxa"/>
            <w:tcBorders>
              <w:top w:val="nil"/>
              <w:left w:val="nil"/>
              <w:bottom w:val="single" w:color="auto" w:sz="4" w:space="0"/>
              <w:right w:val="single" w:color="auto" w:sz="4" w:space="0"/>
            </w:tcBorders>
            <w:shd w:val="clear" w:color="auto" w:fill="auto"/>
            <w:vAlign w:val="center"/>
          </w:tcPr>
          <w:p w14:paraId="03CCB8AC">
            <w:pPr>
              <w:widowControl/>
              <w:ind w:firstLine="0" w:firstLineChars="0"/>
              <w:jc w:val="center"/>
              <w:rPr>
                <w:rFonts w:ascii="宋体" w:hAnsi="宋体" w:cs="Arial"/>
                <w:kern w:val="0"/>
                <w:sz w:val="24"/>
                <w:szCs w:val="24"/>
              </w:rPr>
            </w:pPr>
            <w:r>
              <w:rPr>
                <w:rFonts w:ascii="宋体" w:hAnsi="宋体" w:cs="Arial"/>
                <w:kern w:val="0"/>
                <w:sz w:val="24"/>
                <w:szCs w:val="24"/>
              </w:rPr>
              <w:t>86.1%</w:t>
            </w:r>
          </w:p>
        </w:tc>
      </w:tr>
      <w:tr w14:paraId="7E57C56C">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16235721">
            <w:pPr>
              <w:widowControl/>
              <w:ind w:firstLine="0" w:firstLineChars="0"/>
              <w:jc w:val="center"/>
              <w:rPr>
                <w:rFonts w:ascii="宋体" w:hAnsi="宋体" w:cs="Arial"/>
                <w:kern w:val="0"/>
                <w:sz w:val="24"/>
                <w:szCs w:val="24"/>
              </w:rPr>
            </w:pPr>
            <w:r>
              <w:rPr>
                <w:rFonts w:ascii="宋体" w:hAnsi="宋体" w:cs="Arial"/>
                <w:kern w:val="0"/>
                <w:sz w:val="24"/>
                <w:szCs w:val="24"/>
              </w:rPr>
              <w:t>02</w:t>
            </w:r>
          </w:p>
        </w:tc>
        <w:tc>
          <w:tcPr>
            <w:tcW w:w="3118" w:type="dxa"/>
            <w:tcBorders>
              <w:top w:val="nil"/>
              <w:left w:val="nil"/>
              <w:bottom w:val="single" w:color="auto" w:sz="4" w:space="0"/>
              <w:right w:val="single" w:color="auto" w:sz="4" w:space="0"/>
            </w:tcBorders>
            <w:shd w:val="clear" w:color="auto" w:fill="auto"/>
            <w:vAlign w:val="center"/>
          </w:tcPr>
          <w:p w14:paraId="64D23CDE">
            <w:pPr>
              <w:widowControl/>
              <w:ind w:firstLine="0" w:firstLineChars="0"/>
              <w:jc w:val="center"/>
              <w:rPr>
                <w:rFonts w:ascii="宋体" w:hAnsi="宋体" w:cs="Arial"/>
                <w:kern w:val="0"/>
                <w:sz w:val="24"/>
                <w:szCs w:val="24"/>
              </w:rPr>
            </w:pPr>
            <w:r>
              <w:rPr>
                <w:rFonts w:ascii="宋体" w:hAnsi="宋体" w:cs="Arial"/>
                <w:kern w:val="0"/>
                <w:sz w:val="24"/>
                <w:szCs w:val="24"/>
              </w:rPr>
              <w:t>小溪排水单元</w:t>
            </w:r>
          </w:p>
        </w:tc>
        <w:tc>
          <w:tcPr>
            <w:tcW w:w="1389" w:type="dxa"/>
            <w:tcBorders>
              <w:top w:val="nil"/>
              <w:left w:val="nil"/>
              <w:bottom w:val="single" w:color="auto" w:sz="4" w:space="0"/>
              <w:right w:val="single" w:color="auto" w:sz="4" w:space="0"/>
            </w:tcBorders>
            <w:shd w:val="clear" w:color="auto" w:fill="auto"/>
            <w:vAlign w:val="center"/>
          </w:tcPr>
          <w:p w14:paraId="7075ED1B">
            <w:pPr>
              <w:widowControl/>
              <w:ind w:firstLine="0" w:firstLineChars="0"/>
              <w:jc w:val="center"/>
              <w:rPr>
                <w:rFonts w:ascii="宋体" w:hAnsi="宋体" w:cs="Arial"/>
                <w:kern w:val="0"/>
                <w:sz w:val="24"/>
                <w:szCs w:val="24"/>
              </w:rPr>
            </w:pPr>
            <w:r>
              <w:rPr>
                <w:rFonts w:ascii="宋体" w:hAnsi="宋体" w:cs="Arial"/>
                <w:kern w:val="0"/>
                <w:sz w:val="24"/>
                <w:szCs w:val="24"/>
              </w:rPr>
              <w:t>85.2%</w:t>
            </w:r>
          </w:p>
        </w:tc>
        <w:tc>
          <w:tcPr>
            <w:tcW w:w="708" w:type="dxa"/>
            <w:tcBorders>
              <w:top w:val="nil"/>
              <w:left w:val="nil"/>
              <w:bottom w:val="single" w:color="auto" w:sz="4" w:space="0"/>
              <w:right w:val="single" w:color="auto" w:sz="4" w:space="0"/>
            </w:tcBorders>
            <w:shd w:val="clear" w:color="auto" w:fill="auto"/>
            <w:noWrap/>
            <w:vAlign w:val="center"/>
          </w:tcPr>
          <w:p w14:paraId="77162A8D">
            <w:pPr>
              <w:widowControl/>
              <w:ind w:firstLine="0" w:firstLineChars="0"/>
              <w:jc w:val="center"/>
              <w:rPr>
                <w:rFonts w:ascii="宋体" w:hAnsi="宋体" w:cs="Arial"/>
                <w:kern w:val="0"/>
                <w:sz w:val="24"/>
                <w:szCs w:val="24"/>
              </w:rPr>
            </w:pPr>
            <w:r>
              <w:rPr>
                <w:rFonts w:ascii="宋体" w:hAnsi="宋体" w:cs="Arial"/>
                <w:kern w:val="0"/>
                <w:sz w:val="24"/>
                <w:szCs w:val="24"/>
              </w:rPr>
              <w:t>54</w:t>
            </w:r>
          </w:p>
        </w:tc>
        <w:tc>
          <w:tcPr>
            <w:tcW w:w="2680" w:type="dxa"/>
            <w:tcBorders>
              <w:top w:val="nil"/>
              <w:left w:val="nil"/>
              <w:bottom w:val="single" w:color="auto" w:sz="4" w:space="0"/>
              <w:right w:val="single" w:color="auto" w:sz="4" w:space="0"/>
            </w:tcBorders>
            <w:shd w:val="clear" w:color="auto" w:fill="auto"/>
            <w:noWrap/>
            <w:vAlign w:val="center"/>
          </w:tcPr>
          <w:p w14:paraId="286B6C45">
            <w:pPr>
              <w:widowControl/>
              <w:ind w:firstLine="0" w:firstLineChars="0"/>
              <w:jc w:val="center"/>
              <w:rPr>
                <w:rFonts w:ascii="宋体" w:hAnsi="宋体" w:cs="Arial"/>
                <w:kern w:val="0"/>
                <w:sz w:val="24"/>
                <w:szCs w:val="24"/>
              </w:rPr>
            </w:pPr>
            <w:r>
              <w:rPr>
                <w:rFonts w:ascii="宋体" w:hAnsi="宋体" w:cs="Arial"/>
                <w:kern w:val="0"/>
                <w:sz w:val="24"/>
                <w:szCs w:val="24"/>
              </w:rPr>
              <w:t>三元服务区排水单元</w:t>
            </w:r>
          </w:p>
        </w:tc>
        <w:tc>
          <w:tcPr>
            <w:tcW w:w="1276" w:type="dxa"/>
            <w:tcBorders>
              <w:top w:val="nil"/>
              <w:left w:val="nil"/>
              <w:bottom w:val="single" w:color="auto" w:sz="4" w:space="0"/>
              <w:right w:val="single" w:color="auto" w:sz="4" w:space="0"/>
            </w:tcBorders>
            <w:shd w:val="clear" w:color="auto" w:fill="auto"/>
            <w:vAlign w:val="center"/>
          </w:tcPr>
          <w:p w14:paraId="3C254F16">
            <w:pPr>
              <w:widowControl/>
              <w:ind w:firstLine="0" w:firstLineChars="0"/>
              <w:jc w:val="center"/>
              <w:rPr>
                <w:rFonts w:ascii="宋体" w:hAnsi="宋体" w:cs="Arial"/>
                <w:kern w:val="0"/>
                <w:sz w:val="24"/>
                <w:szCs w:val="24"/>
              </w:rPr>
            </w:pPr>
            <w:r>
              <w:rPr>
                <w:rFonts w:ascii="宋体" w:hAnsi="宋体" w:cs="Arial"/>
                <w:kern w:val="0"/>
                <w:sz w:val="24"/>
                <w:szCs w:val="24"/>
              </w:rPr>
              <w:t>73.6%</w:t>
            </w:r>
          </w:p>
        </w:tc>
      </w:tr>
      <w:tr w14:paraId="321901B4">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83DB68D">
            <w:pPr>
              <w:widowControl/>
              <w:ind w:firstLine="0" w:firstLineChars="0"/>
              <w:jc w:val="center"/>
              <w:rPr>
                <w:rFonts w:ascii="宋体" w:hAnsi="宋体" w:cs="Arial"/>
                <w:kern w:val="0"/>
                <w:sz w:val="24"/>
                <w:szCs w:val="24"/>
              </w:rPr>
            </w:pPr>
            <w:r>
              <w:rPr>
                <w:rFonts w:ascii="宋体" w:hAnsi="宋体" w:cs="Arial"/>
                <w:kern w:val="0"/>
                <w:sz w:val="24"/>
                <w:szCs w:val="24"/>
              </w:rPr>
              <w:t>03</w:t>
            </w:r>
          </w:p>
        </w:tc>
        <w:tc>
          <w:tcPr>
            <w:tcW w:w="3118" w:type="dxa"/>
            <w:tcBorders>
              <w:top w:val="nil"/>
              <w:left w:val="nil"/>
              <w:bottom w:val="single" w:color="auto" w:sz="4" w:space="0"/>
              <w:right w:val="single" w:color="auto" w:sz="4" w:space="0"/>
            </w:tcBorders>
            <w:shd w:val="clear" w:color="auto" w:fill="auto"/>
            <w:vAlign w:val="center"/>
          </w:tcPr>
          <w:p w14:paraId="4290EB81">
            <w:pPr>
              <w:widowControl/>
              <w:ind w:firstLine="0" w:firstLineChars="0"/>
              <w:jc w:val="center"/>
              <w:rPr>
                <w:rFonts w:ascii="宋体" w:hAnsi="宋体" w:cs="Arial"/>
                <w:kern w:val="0"/>
                <w:sz w:val="24"/>
                <w:szCs w:val="24"/>
              </w:rPr>
            </w:pPr>
            <w:r>
              <w:rPr>
                <w:rFonts w:ascii="宋体" w:hAnsi="宋体" w:cs="Arial"/>
                <w:kern w:val="0"/>
                <w:sz w:val="24"/>
                <w:szCs w:val="24"/>
              </w:rPr>
              <w:t>贵溪排水单元</w:t>
            </w:r>
          </w:p>
        </w:tc>
        <w:tc>
          <w:tcPr>
            <w:tcW w:w="1389" w:type="dxa"/>
            <w:tcBorders>
              <w:top w:val="nil"/>
              <w:left w:val="nil"/>
              <w:bottom w:val="single" w:color="auto" w:sz="4" w:space="0"/>
              <w:right w:val="single" w:color="auto" w:sz="4" w:space="0"/>
            </w:tcBorders>
            <w:shd w:val="clear" w:color="auto" w:fill="auto"/>
            <w:vAlign w:val="center"/>
          </w:tcPr>
          <w:p w14:paraId="4CA79B1D">
            <w:pPr>
              <w:widowControl/>
              <w:ind w:firstLine="0" w:firstLineChars="0"/>
              <w:jc w:val="center"/>
              <w:rPr>
                <w:rFonts w:ascii="宋体" w:hAnsi="宋体" w:cs="Arial"/>
                <w:kern w:val="0"/>
                <w:sz w:val="24"/>
                <w:szCs w:val="24"/>
              </w:rPr>
            </w:pPr>
            <w:r>
              <w:rPr>
                <w:rFonts w:ascii="宋体" w:hAnsi="宋体" w:cs="Arial"/>
                <w:kern w:val="0"/>
                <w:sz w:val="24"/>
                <w:szCs w:val="24"/>
              </w:rPr>
              <w:t>83.5%</w:t>
            </w:r>
          </w:p>
        </w:tc>
        <w:tc>
          <w:tcPr>
            <w:tcW w:w="708" w:type="dxa"/>
            <w:tcBorders>
              <w:top w:val="nil"/>
              <w:left w:val="nil"/>
              <w:bottom w:val="single" w:color="auto" w:sz="4" w:space="0"/>
              <w:right w:val="single" w:color="auto" w:sz="4" w:space="0"/>
            </w:tcBorders>
            <w:shd w:val="clear" w:color="auto" w:fill="auto"/>
            <w:noWrap/>
            <w:vAlign w:val="center"/>
          </w:tcPr>
          <w:p w14:paraId="54F68CEA">
            <w:pPr>
              <w:widowControl/>
              <w:ind w:firstLine="0" w:firstLineChars="0"/>
              <w:jc w:val="center"/>
              <w:rPr>
                <w:rFonts w:ascii="宋体" w:hAnsi="宋体" w:cs="Arial"/>
                <w:kern w:val="0"/>
                <w:sz w:val="24"/>
                <w:szCs w:val="24"/>
              </w:rPr>
            </w:pPr>
            <w:r>
              <w:rPr>
                <w:rFonts w:ascii="宋体" w:hAnsi="宋体" w:cs="Arial"/>
                <w:kern w:val="0"/>
                <w:sz w:val="24"/>
                <w:szCs w:val="24"/>
              </w:rPr>
              <w:t>55</w:t>
            </w:r>
          </w:p>
        </w:tc>
        <w:tc>
          <w:tcPr>
            <w:tcW w:w="2680" w:type="dxa"/>
            <w:tcBorders>
              <w:top w:val="nil"/>
              <w:left w:val="nil"/>
              <w:bottom w:val="single" w:color="auto" w:sz="4" w:space="0"/>
              <w:right w:val="single" w:color="auto" w:sz="4" w:space="0"/>
            </w:tcBorders>
            <w:shd w:val="clear" w:color="auto" w:fill="auto"/>
            <w:noWrap/>
            <w:vAlign w:val="center"/>
          </w:tcPr>
          <w:p w14:paraId="1188BDA2">
            <w:pPr>
              <w:widowControl/>
              <w:ind w:firstLine="0" w:firstLineChars="0"/>
              <w:jc w:val="center"/>
              <w:rPr>
                <w:rFonts w:ascii="宋体" w:hAnsi="宋体" w:cs="Arial"/>
                <w:kern w:val="0"/>
                <w:sz w:val="24"/>
                <w:szCs w:val="24"/>
              </w:rPr>
            </w:pPr>
            <w:r>
              <w:rPr>
                <w:rFonts w:ascii="宋体" w:hAnsi="宋体" w:cs="Arial"/>
                <w:kern w:val="0"/>
                <w:sz w:val="24"/>
                <w:szCs w:val="24"/>
              </w:rPr>
              <w:t>三明站排水单元</w:t>
            </w:r>
          </w:p>
        </w:tc>
        <w:tc>
          <w:tcPr>
            <w:tcW w:w="1276" w:type="dxa"/>
            <w:tcBorders>
              <w:top w:val="nil"/>
              <w:left w:val="nil"/>
              <w:bottom w:val="single" w:color="auto" w:sz="4" w:space="0"/>
              <w:right w:val="single" w:color="auto" w:sz="4" w:space="0"/>
            </w:tcBorders>
            <w:shd w:val="clear" w:color="auto" w:fill="auto"/>
            <w:vAlign w:val="center"/>
          </w:tcPr>
          <w:p w14:paraId="45DFB469">
            <w:pPr>
              <w:widowControl/>
              <w:ind w:firstLine="0" w:firstLineChars="0"/>
              <w:jc w:val="center"/>
              <w:rPr>
                <w:rFonts w:ascii="宋体" w:hAnsi="宋体" w:cs="Arial"/>
                <w:kern w:val="0"/>
                <w:sz w:val="24"/>
                <w:szCs w:val="24"/>
              </w:rPr>
            </w:pPr>
            <w:r>
              <w:rPr>
                <w:rFonts w:ascii="宋体" w:hAnsi="宋体" w:cs="Arial"/>
                <w:kern w:val="0"/>
                <w:sz w:val="24"/>
                <w:szCs w:val="24"/>
              </w:rPr>
              <w:t>68.9%</w:t>
            </w:r>
          </w:p>
        </w:tc>
      </w:tr>
      <w:tr w14:paraId="3BE27E74">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4631CE7">
            <w:pPr>
              <w:widowControl/>
              <w:ind w:firstLine="0" w:firstLineChars="0"/>
              <w:jc w:val="center"/>
              <w:rPr>
                <w:rFonts w:ascii="宋体" w:hAnsi="宋体" w:cs="Arial"/>
                <w:kern w:val="0"/>
                <w:sz w:val="24"/>
                <w:szCs w:val="24"/>
              </w:rPr>
            </w:pPr>
            <w:r>
              <w:rPr>
                <w:rFonts w:ascii="宋体" w:hAnsi="宋体" w:cs="Arial"/>
                <w:kern w:val="0"/>
                <w:sz w:val="24"/>
                <w:szCs w:val="24"/>
              </w:rPr>
              <w:t>04</w:t>
            </w:r>
          </w:p>
        </w:tc>
        <w:tc>
          <w:tcPr>
            <w:tcW w:w="3118" w:type="dxa"/>
            <w:tcBorders>
              <w:top w:val="nil"/>
              <w:left w:val="nil"/>
              <w:bottom w:val="single" w:color="auto" w:sz="4" w:space="0"/>
              <w:right w:val="single" w:color="auto" w:sz="4" w:space="0"/>
            </w:tcBorders>
            <w:shd w:val="clear" w:color="auto" w:fill="auto"/>
            <w:vAlign w:val="center"/>
          </w:tcPr>
          <w:p w14:paraId="69587A78">
            <w:pPr>
              <w:widowControl/>
              <w:ind w:firstLine="0" w:firstLineChars="0"/>
              <w:jc w:val="center"/>
              <w:rPr>
                <w:rFonts w:ascii="宋体" w:hAnsi="宋体" w:cs="Arial"/>
                <w:kern w:val="0"/>
                <w:sz w:val="24"/>
                <w:szCs w:val="24"/>
              </w:rPr>
            </w:pPr>
            <w:r>
              <w:rPr>
                <w:rFonts w:ascii="宋体" w:hAnsi="宋体" w:cs="Arial"/>
                <w:kern w:val="0"/>
                <w:sz w:val="24"/>
                <w:szCs w:val="24"/>
              </w:rPr>
              <w:t>富力排水单元</w:t>
            </w:r>
          </w:p>
        </w:tc>
        <w:tc>
          <w:tcPr>
            <w:tcW w:w="1389" w:type="dxa"/>
            <w:tcBorders>
              <w:top w:val="nil"/>
              <w:left w:val="nil"/>
              <w:bottom w:val="single" w:color="auto" w:sz="4" w:space="0"/>
              <w:right w:val="single" w:color="auto" w:sz="4" w:space="0"/>
            </w:tcBorders>
            <w:shd w:val="clear" w:color="auto" w:fill="auto"/>
            <w:vAlign w:val="center"/>
          </w:tcPr>
          <w:p w14:paraId="025F4269">
            <w:pPr>
              <w:widowControl/>
              <w:ind w:firstLine="0" w:firstLineChars="0"/>
              <w:jc w:val="center"/>
              <w:rPr>
                <w:rFonts w:ascii="宋体" w:hAnsi="宋体" w:cs="Arial"/>
                <w:kern w:val="0"/>
                <w:sz w:val="24"/>
                <w:szCs w:val="24"/>
              </w:rPr>
            </w:pPr>
            <w:r>
              <w:rPr>
                <w:rFonts w:ascii="宋体" w:hAnsi="宋体" w:cs="Arial"/>
                <w:kern w:val="0"/>
                <w:sz w:val="24"/>
                <w:szCs w:val="24"/>
              </w:rPr>
              <w:t>75.6%</w:t>
            </w:r>
          </w:p>
        </w:tc>
        <w:tc>
          <w:tcPr>
            <w:tcW w:w="708" w:type="dxa"/>
            <w:tcBorders>
              <w:top w:val="nil"/>
              <w:left w:val="nil"/>
              <w:bottom w:val="single" w:color="auto" w:sz="4" w:space="0"/>
              <w:right w:val="single" w:color="auto" w:sz="4" w:space="0"/>
            </w:tcBorders>
            <w:shd w:val="clear" w:color="auto" w:fill="auto"/>
            <w:noWrap/>
            <w:vAlign w:val="center"/>
          </w:tcPr>
          <w:p w14:paraId="1B837071">
            <w:pPr>
              <w:widowControl/>
              <w:ind w:firstLine="0" w:firstLineChars="0"/>
              <w:jc w:val="center"/>
              <w:rPr>
                <w:rFonts w:ascii="宋体" w:hAnsi="宋体" w:cs="Arial"/>
                <w:kern w:val="0"/>
                <w:sz w:val="24"/>
                <w:szCs w:val="24"/>
              </w:rPr>
            </w:pPr>
            <w:r>
              <w:rPr>
                <w:rFonts w:ascii="宋体" w:hAnsi="宋体" w:cs="Arial"/>
                <w:kern w:val="0"/>
                <w:sz w:val="24"/>
                <w:szCs w:val="24"/>
              </w:rPr>
              <w:t>56</w:t>
            </w:r>
          </w:p>
        </w:tc>
        <w:tc>
          <w:tcPr>
            <w:tcW w:w="2680" w:type="dxa"/>
            <w:tcBorders>
              <w:top w:val="nil"/>
              <w:left w:val="nil"/>
              <w:bottom w:val="single" w:color="auto" w:sz="4" w:space="0"/>
              <w:right w:val="single" w:color="auto" w:sz="4" w:space="0"/>
            </w:tcBorders>
            <w:shd w:val="clear" w:color="auto" w:fill="auto"/>
            <w:noWrap/>
            <w:vAlign w:val="center"/>
          </w:tcPr>
          <w:p w14:paraId="1C7D5EAB">
            <w:pPr>
              <w:widowControl/>
              <w:ind w:firstLine="0" w:firstLineChars="0"/>
              <w:jc w:val="center"/>
              <w:rPr>
                <w:rFonts w:ascii="宋体" w:hAnsi="宋体" w:cs="Arial"/>
                <w:kern w:val="0"/>
                <w:sz w:val="24"/>
                <w:szCs w:val="24"/>
              </w:rPr>
            </w:pPr>
            <w:r>
              <w:rPr>
                <w:rFonts w:ascii="宋体" w:hAnsi="宋体" w:cs="Arial"/>
                <w:kern w:val="0"/>
                <w:sz w:val="24"/>
                <w:szCs w:val="24"/>
              </w:rPr>
              <w:t>屠宰场排水单元</w:t>
            </w:r>
          </w:p>
        </w:tc>
        <w:tc>
          <w:tcPr>
            <w:tcW w:w="1276" w:type="dxa"/>
            <w:tcBorders>
              <w:top w:val="nil"/>
              <w:left w:val="nil"/>
              <w:bottom w:val="single" w:color="auto" w:sz="4" w:space="0"/>
              <w:right w:val="single" w:color="auto" w:sz="4" w:space="0"/>
            </w:tcBorders>
            <w:shd w:val="clear" w:color="auto" w:fill="auto"/>
            <w:vAlign w:val="center"/>
          </w:tcPr>
          <w:p w14:paraId="10A598C5">
            <w:pPr>
              <w:widowControl/>
              <w:ind w:firstLine="0" w:firstLineChars="0"/>
              <w:jc w:val="center"/>
              <w:rPr>
                <w:rFonts w:ascii="宋体" w:hAnsi="宋体" w:cs="Arial"/>
                <w:kern w:val="0"/>
                <w:sz w:val="24"/>
                <w:szCs w:val="24"/>
              </w:rPr>
            </w:pPr>
            <w:r>
              <w:rPr>
                <w:rFonts w:ascii="宋体" w:hAnsi="宋体" w:cs="Arial"/>
                <w:kern w:val="0"/>
                <w:sz w:val="24"/>
                <w:szCs w:val="24"/>
              </w:rPr>
              <w:t>75.9%</w:t>
            </w:r>
          </w:p>
        </w:tc>
      </w:tr>
      <w:tr w14:paraId="68DEA16A">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7B1A0D84">
            <w:pPr>
              <w:widowControl/>
              <w:ind w:firstLine="0" w:firstLineChars="0"/>
              <w:jc w:val="center"/>
              <w:rPr>
                <w:rFonts w:ascii="宋体" w:hAnsi="宋体" w:cs="Arial"/>
                <w:kern w:val="0"/>
                <w:sz w:val="24"/>
                <w:szCs w:val="24"/>
              </w:rPr>
            </w:pPr>
            <w:r>
              <w:rPr>
                <w:rFonts w:ascii="宋体" w:hAnsi="宋体" w:cs="Arial"/>
                <w:kern w:val="0"/>
                <w:sz w:val="24"/>
                <w:szCs w:val="24"/>
              </w:rPr>
              <w:t>05</w:t>
            </w:r>
          </w:p>
        </w:tc>
        <w:tc>
          <w:tcPr>
            <w:tcW w:w="3118" w:type="dxa"/>
            <w:tcBorders>
              <w:top w:val="nil"/>
              <w:left w:val="nil"/>
              <w:bottom w:val="single" w:color="auto" w:sz="4" w:space="0"/>
              <w:right w:val="single" w:color="auto" w:sz="4" w:space="0"/>
            </w:tcBorders>
            <w:shd w:val="clear" w:color="auto" w:fill="auto"/>
            <w:vAlign w:val="center"/>
          </w:tcPr>
          <w:p w14:paraId="318577F1">
            <w:pPr>
              <w:widowControl/>
              <w:ind w:firstLine="0" w:firstLineChars="0"/>
              <w:jc w:val="center"/>
              <w:rPr>
                <w:rFonts w:ascii="宋体" w:hAnsi="宋体" w:cs="Arial"/>
                <w:kern w:val="0"/>
                <w:sz w:val="24"/>
                <w:szCs w:val="24"/>
              </w:rPr>
            </w:pPr>
            <w:r>
              <w:rPr>
                <w:rFonts w:ascii="宋体" w:hAnsi="宋体" w:cs="Arial"/>
                <w:kern w:val="0"/>
                <w:sz w:val="24"/>
                <w:szCs w:val="24"/>
              </w:rPr>
              <w:t>文体馆排水单元</w:t>
            </w:r>
          </w:p>
        </w:tc>
        <w:tc>
          <w:tcPr>
            <w:tcW w:w="1389" w:type="dxa"/>
            <w:tcBorders>
              <w:top w:val="nil"/>
              <w:left w:val="nil"/>
              <w:bottom w:val="single" w:color="auto" w:sz="4" w:space="0"/>
              <w:right w:val="single" w:color="auto" w:sz="4" w:space="0"/>
            </w:tcBorders>
            <w:shd w:val="clear" w:color="auto" w:fill="auto"/>
            <w:vAlign w:val="center"/>
          </w:tcPr>
          <w:p w14:paraId="68571D1C">
            <w:pPr>
              <w:widowControl/>
              <w:ind w:firstLine="0" w:firstLineChars="0"/>
              <w:jc w:val="center"/>
              <w:rPr>
                <w:rFonts w:ascii="宋体" w:hAnsi="宋体" w:cs="Arial"/>
                <w:kern w:val="0"/>
                <w:sz w:val="24"/>
                <w:szCs w:val="24"/>
              </w:rPr>
            </w:pPr>
            <w:r>
              <w:rPr>
                <w:rFonts w:ascii="宋体" w:hAnsi="宋体" w:cs="Arial"/>
                <w:kern w:val="0"/>
                <w:sz w:val="24"/>
                <w:szCs w:val="24"/>
              </w:rPr>
              <w:t>72.9%</w:t>
            </w:r>
          </w:p>
        </w:tc>
        <w:tc>
          <w:tcPr>
            <w:tcW w:w="708" w:type="dxa"/>
            <w:tcBorders>
              <w:top w:val="nil"/>
              <w:left w:val="nil"/>
              <w:bottom w:val="single" w:color="auto" w:sz="4" w:space="0"/>
              <w:right w:val="single" w:color="auto" w:sz="4" w:space="0"/>
            </w:tcBorders>
            <w:shd w:val="clear" w:color="auto" w:fill="auto"/>
            <w:noWrap/>
            <w:vAlign w:val="center"/>
          </w:tcPr>
          <w:p w14:paraId="71049CBA">
            <w:pPr>
              <w:widowControl/>
              <w:ind w:firstLine="0" w:firstLineChars="0"/>
              <w:jc w:val="center"/>
              <w:rPr>
                <w:rFonts w:ascii="宋体" w:hAnsi="宋体" w:cs="Arial"/>
                <w:kern w:val="0"/>
                <w:sz w:val="24"/>
                <w:szCs w:val="24"/>
              </w:rPr>
            </w:pPr>
            <w:r>
              <w:rPr>
                <w:rFonts w:ascii="宋体" w:hAnsi="宋体" w:cs="Arial"/>
                <w:kern w:val="0"/>
                <w:sz w:val="24"/>
                <w:szCs w:val="24"/>
              </w:rPr>
              <w:t>57</w:t>
            </w:r>
          </w:p>
        </w:tc>
        <w:tc>
          <w:tcPr>
            <w:tcW w:w="2680" w:type="dxa"/>
            <w:tcBorders>
              <w:top w:val="nil"/>
              <w:left w:val="nil"/>
              <w:bottom w:val="single" w:color="auto" w:sz="4" w:space="0"/>
              <w:right w:val="single" w:color="auto" w:sz="4" w:space="0"/>
            </w:tcBorders>
            <w:shd w:val="clear" w:color="auto" w:fill="auto"/>
            <w:noWrap/>
            <w:vAlign w:val="center"/>
          </w:tcPr>
          <w:p w14:paraId="58FD7871">
            <w:pPr>
              <w:widowControl/>
              <w:ind w:firstLine="0" w:firstLineChars="0"/>
              <w:jc w:val="center"/>
              <w:rPr>
                <w:rFonts w:ascii="宋体" w:hAnsi="宋体" w:cs="Arial"/>
                <w:kern w:val="0"/>
                <w:sz w:val="24"/>
                <w:szCs w:val="24"/>
              </w:rPr>
            </w:pPr>
            <w:r>
              <w:rPr>
                <w:rFonts w:ascii="宋体" w:hAnsi="宋体" w:cs="Arial"/>
                <w:kern w:val="0"/>
                <w:sz w:val="24"/>
                <w:szCs w:val="24"/>
              </w:rPr>
              <w:t>化机涵洞排水单元</w:t>
            </w:r>
          </w:p>
        </w:tc>
        <w:tc>
          <w:tcPr>
            <w:tcW w:w="1276" w:type="dxa"/>
            <w:tcBorders>
              <w:top w:val="nil"/>
              <w:left w:val="nil"/>
              <w:bottom w:val="single" w:color="auto" w:sz="4" w:space="0"/>
              <w:right w:val="single" w:color="auto" w:sz="4" w:space="0"/>
            </w:tcBorders>
            <w:shd w:val="clear" w:color="auto" w:fill="auto"/>
            <w:vAlign w:val="center"/>
          </w:tcPr>
          <w:p w14:paraId="0F025E0C">
            <w:pPr>
              <w:widowControl/>
              <w:ind w:firstLine="0" w:firstLineChars="0"/>
              <w:jc w:val="center"/>
              <w:rPr>
                <w:rFonts w:ascii="宋体" w:hAnsi="宋体" w:cs="Arial"/>
                <w:kern w:val="0"/>
                <w:sz w:val="24"/>
                <w:szCs w:val="24"/>
              </w:rPr>
            </w:pPr>
            <w:r>
              <w:rPr>
                <w:rFonts w:ascii="宋体" w:hAnsi="宋体" w:cs="Arial"/>
                <w:kern w:val="0"/>
                <w:sz w:val="24"/>
                <w:szCs w:val="24"/>
              </w:rPr>
              <w:t>65.9%</w:t>
            </w:r>
          </w:p>
        </w:tc>
      </w:tr>
      <w:tr w14:paraId="0DC402F7">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3FE33C0B">
            <w:pPr>
              <w:widowControl/>
              <w:ind w:firstLine="0" w:firstLineChars="0"/>
              <w:jc w:val="center"/>
              <w:rPr>
                <w:rFonts w:ascii="宋体" w:hAnsi="宋体" w:cs="Arial"/>
                <w:kern w:val="0"/>
                <w:sz w:val="24"/>
                <w:szCs w:val="24"/>
              </w:rPr>
            </w:pPr>
            <w:r>
              <w:rPr>
                <w:rFonts w:ascii="宋体" w:hAnsi="宋体" w:cs="Arial"/>
                <w:kern w:val="0"/>
                <w:sz w:val="24"/>
                <w:szCs w:val="24"/>
              </w:rPr>
              <w:t>06</w:t>
            </w:r>
          </w:p>
        </w:tc>
        <w:tc>
          <w:tcPr>
            <w:tcW w:w="3118" w:type="dxa"/>
            <w:tcBorders>
              <w:top w:val="nil"/>
              <w:left w:val="nil"/>
              <w:bottom w:val="single" w:color="auto" w:sz="4" w:space="0"/>
              <w:right w:val="single" w:color="auto" w:sz="4" w:space="0"/>
            </w:tcBorders>
            <w:shd w:val="clear" w:color="auto" w:fill="auto"/>
            <w:vAlign w:val="center"/>
          </w:tcPr>
          <w:p w14:paraId="0B83585A">
            <w:pPr>
              <w:widowControl/>
              <w:ind w:firstLine="0" w:firstLineChars="0"/>
              <w:jc w:val="center"/>
              <w:rPr>
                <w:rFonts w:ascii="宋体" w:hAnsi="宋体" w:cs="Arial"/>
                <w:kern w:val="0"/>
                <w:sz w:val="24"/>
                <w:szCs w:val="24"/>
              </w:rPr>
            </w:pPr>
            <w:r>
              <w:rPr>
                <w:rFonts w:ascii="宋体" w:hAnsi="宋体" w:cs="Arial"/>
                <w:kern w:val="0"/>
                <w:sz w:val="24"/>
                <w:szCs w:val="24"/>
              </w:rPr>
              <w:t>东乾路排水单元</w:t>
            </w:r>
          </w:p>
        </w:tc>
        <w:tc>
          <w:tcPr>
            <w:tcW w:w="1389" w:type="dxa"/>
            <w:tcBorders>
              <w:top w:val="nil"/>
              <w:left w:val="nil"/>
              <w:bottom w:val="single" w:color="auto" w:sz="4" w:space="0"/>
              <w:right w:val="single" w:color="auto" w:sz="4" w:space="0"/>
            </w:tcBorders>
            <w:shd w:val="clear" w:color="auto" w:fill="auto"/>
            <w:vAlign w:val="center"/>
          </w:tcPr>
          <w:p w14:paraId="48E12CD1">
            <w:pPr>
              <w:widowControl/>
              <w:ind w:firstLine="0" w:firstLineChars="0"/>
              <w:jc w:val="center"/>
              <w:rPr>
                <w:rFonts w:ascii="宋体" w:hAnsi="宋体" w:cs="Arial"/>
                <w:kern w:val="0"/>
                <w:sz w:val="24"/>
                <w:szCs w:val="24"/>
              </w:rPr>
            </w:pPr>
            <w:r>
              <w:rPr>
                <w:rFonts w:ascii="宋体" w:hAnsi="宋体" w:cs="Arial"/>
                <w:kern w:val="0"/>
                <w:sz w:val="24"/>
                <w:szCs w:val="24"/>
              </w:rPr>
              <w:t>74.5%</w:t>
            </w:r>
          </w:p>
        </w:tc>
        <w:tc>
          <w:tcPr>
            <w:tcW w:w="708" w:type="dxa"/>
            <w:tcBorders>
              <w:top w:val="nil"/>
              <w:left w:val="nil"/>
              <w:bottom w:val="single" w:color="auto" w:sz="4" w:space="0"/>
              <w:right w:val="single" w:color="auto" w:sz="4" w:space="0"/>
            </w:tcBorders>
            <w:shd w:val="clear" w:color="auto" w:fill="auto"/>
            <w:noWrap/>
            <w:vAlign w:val="center"/>
          </w:tcPr>
          <w:p w14:paraId="018129A4">
            <w:pPr>
              <w:widowControl/>
              <w:ind w:firstLine="0" w:firstLineChars="0"/>
              <w:jc w:val="center"/>
              <w:rPr>
                <w:rFonts w:ascii="宋体" w:hAnsi="宋体" w:cs="Arial"/>
                <w:kern w:val="0"/>
                <w:sz w:val="24"/>
                <w:szCs w:val="24"/>
              </w:rPr>
            </w:pPr>
            <w:r>
              <w:rPr>
                <w:rFonts w:ascii="宋体" w:hAnsi="宋体" w:cs="Arial"/>
                <w:kern w:val="0"/>
                <w:sz w:val="24"/>
                <w:szCs w:val="24"/>
              </w:rPr>
              <w:t>58</w:t>
            </w:r>
          </w:p>
        </w:tc>
        <w:tc>
          <w:tcPr>
            <w:tcW w:w="2680" w:type="dxa"/>
            <w:tcBorders>
              <w:top w:val="nil"/>
              <w:left w:val="nil"/>
              <w:bottom w:val="single" w:color="auto" w:sz="4" w:space="0"/>
              <w:right w:val="single" w:color="auto" w:sz="4" w:space="0"/>
            </w:tcBorders>
            <w:shd w:val="clear" w:color="auto" w:fill="auto"/>
            <w:noWrap/>
            <w:vAlign w:val="center"/>
          </w:tcPr>
          <w:p w14:paraId="532738A4">
            <w:pPr>
              <w:widowControl/>
              <w:ind w:firstLine="0" w:firstLineChars="0"/>
              <w:jc w:val="center"/>
              <w:rPr>
                <w:rFonts w:ascii="宋体" w:hAnsi="宋体" w:cs="Arial"/>
                <w:kern w:val="0"/>
                <w:sz w:val="24"/>
                <w:szCs w:val="24"/>
              </w:rPr>
            </w:pPr>
            <w:r>
              <w:rPr>
                <w:rFonts w:ascii="宋体" w:hAnsi="宋体" w:cs="Arial"/>
                <w:kern w:val="0"/>
                <w:sz w:val="24"/>
                <w:szCs w:val="24"/>
              </w:rPr>
              <w:t>白沙新村排水单元</w:t>
            </w:r>
          </w:p>
        </w:tc>
        <w:tc>
          <w:tcPr>
            <w:tcW w:w="1276" w:type="dxa"/>
            <w:tcBorders>
              <w:top w:val="nil"/>
              <w:left w:val="nil"/>
              <w:bottom w:val="single" w:color="auto" w:sz="4" w:space="0"/>
              <w:right w:val="single" w:color="auto" w:sz="4" w:space="0"/>
            </w:tcBorders>
            <w:shd w:val="clear" w:color="auto" w:fill="auto"/>
            <w:vAlign w:val="center"/>
          </w:tcPr>
          <w:p w14:paraId="22B4D109">
            <w:pPr>
              <w:widowControl/>
              <w:ind w:firstLine="0" w:firstLineChars="0"/>
              <w:jc w:val="center"/>
              <w:rPr>
                <w:rFonts w:ascii="宋体" w:hAnsi="宋体" w:cs="Arial"/>
                <w:kern w:val="0"/>
                <w:sz w:val="24"/>
                <w:szCs w:val="24"/>
              </w:rPr>
            </w:pPr>
            <w:r>
              <w:rPr>
                <w:rFonts w:ascii="宋体" w:hAnsi="宋体" w:cs="Arial"/>
                <w:kern w:val="0"/>
                <w:sz w:val="24"/>
                <w:szCs w:val="24"/>
              </w:rPr>
              <w:t>75.6%</w:t>
            </w:r>
          </w:p>
        </w:tc>
      </w:tr>
      <w:tr w14:paraId="7C1DB09D">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33B27627">
            <w:pPr>
              <w:widowControl/>
              <w:ind w:firstLine="0" w:firstLineChars="0"/>
              <w:jc w:val="center"/>
              <w:rPr>
                <w:rFonts w:ascii="宋体" w:hAnsi="宋体" w:cs="Arial"/>
                <w:kern w:val="0"/>
                <w:sz w:val="24"/>
                <w:szCs w:val="24"/>
              </w:rPr>
            </w:pPr>
            <w:r>
              <w:rPr>
                <w:rFonts w:ascii="宋体" w:hAnsi="宋体" w:cs="Arial"/>
                <w:kern w:val="0"/>
                <w:sz w:val="24"/>
                <w:szCs w:val="24"/>
              </w:rPr>
              <w:t>07</w:t>
            </w:r>
          </w:p>
        </w:tc>
        <w:tc>
          <w:tcPr>
            <w:tcW w:w="3118" w:type="dxa"/>
            <w:tcBorders>
              <w:top w:val="nil"/>
              <w:left w:val="nil"/>
              <w:bottom w:val="single" w:color="auto" w:sz="4" w:space="0"/>
              <w:right w:val="single" w:color="auto" w:sz="4" w:space="0"/>
            </w:tcBorders>
            <w:shd w:val="clear" w:color="auto" w:fill="auto"/>
            <w:vAlign w:val="center"/>
          </w:tcPr>
          <w:p w14:paraId="606B8763">
            <w:pPr>
              <w:widowControl/>
              <w:ind w:firstLine="0" w:firstLineChars="0"/>
              <w:jc w:val="center"/>
              <w:rPr>
                <w:rFonts w:ascii="宋体" w:hAnsi="宋体" w:cs="Arial"/>
                <w:kern w:val="0"/>
                <w:sz w:val="24"/>
                <w:szCs w:val="24"/>
              </w:rPr>
            </w:pPr>
            <w:r>
              <w:rPr>
                <w:rFonts w:ascii="宋体" w:hAnsi="宋体" w:cs="Arial"/>
                <w:kern w:val="0"/>
                <w:sz w:val="24"/>
                <w:szCs w:val="24"/>
              </w:rPr>
              <w:t>东新五路排水单元</w:t>
            </w:r>
          </w:p>
        </w:tc>
        <w:tc>
          <w:tcPr>
            <w:tcW w:w="1389" w:type="dxa"/>
            <w:tcBorders>
              <w:top w:val="nil"/>
              <w:left w:val="nil"/>
              <w:bottom w:val="single" w:color="auto" w:sz="4" w:space="0"/>
              <w:right w:val="single" w:color="auto" w:sz="4" w:space="0"/>
            </w:tcBorders>
            <w:shd w:val="clear" w:color="auto" w:fill="auto"/>
            <w:vAlign w:val="center"/>
          </w:tcPr>
          <w:p w14:paraId="1835DD46">
            <w:pPr>
              <w:widowControl/>
              <w:ind w:firstLine="0" w:firstLineChars="0"/>
              <w:jc w:val="center"/>
              <w:rPr>
                <w:rFonts w:ascii="宋体" w:hAnsi="宋体" w:cs="Arial"/>
                <w:kern w:val="0"/>
                <w:sz w:val="24"/>
                <w:szCs w:val="24"/>
              </w:rPr>
            </w:pPr>
            <w:r>
              <w:rPr>
                <w:rFonts w:ascii="宋体" w:hAnsi="宋体" w:cs="Arial"/>
                <w:kern w:val="0"/>
                <w:sz w:val="24"/>
                <w:szCs w:val="24"/>
              </w:rPr>
              <w:t>68.6%</w:t>
            </w:r>
          </w:p>
        </w:tc>
        <w:tc>
          <w:tcPr>
            <w:tcW w:w="708" w:type="dxa"/>
            <w:tcBorders>
              <w:top w:val="nil"/>
              <w:left w:val="nil"/>
              <w:bottom w:val="single" w:color="auto" w:sz="4" w:space="0"/>
              <w:right w:val="single" w:color="auto" w:sz="4" w:space="0"/>
            </w:tcBorders>
            <w:shd w:val="clear" w:color="auto" w:fill="auto"/>
            <w:noWrap/>
            <w:vAlign w:val="center"/>
          </w:tcPr>
          <w:p w14:paraId="65768704">
            <w:pPr>
              <w:widowControl/>
              <w:ind w:firstLine="0" w:firstLineChars="0"/>
              <w:jc w:val="center"/>
              <w:rPr>
                <w:rFonts w:ascii="宋体" w:hAnsi="宋体" w:cs="Arial"/>
                <w:kern w:val="0"/>
                <w:sz w:val="24"/>
                <w:szCs w:val="24"/>
              </w:rPr>
            </w:pPr>
            <w:r>
              <w:rPr>
                <w:rFonts w:ascii="宋体" w:hAnsi="宋体" w:cs="Arial"/>
                <w:kern w:val="0"/>
                <w:sz w:val="24"/>
                <w:szCs w:val="24"/>
              </w:rPr>
              <w:t>59</w:t>
            </w:r>
          </w:p>
        </w:tc>
        <w:tc>
          <w:tcPr>
            <w:tcW w:w="2680" w:type="dxa"/>
            <w:tcBorders>
              <w:top w:val="nil"/>
              <w:left w:val="nil"/>
              <w:bottom w:val="single" w:color="auto" w:sz="4" w:space="0"/>
              <w:right w:val="single" w:color="auto" w:sz="4" w:space="0"/>
            </w:tcBorders>
            <w:shd w:val="clear" w:color="auto" w:fill="auto"/>
            <w:noWrap/>
            <w:vAlign w:val="center"/>
          </w:tcPr>
          <w:p w14:paraId="0F269453">
            <w:pPr>
              <w:widowControl/>
              <w:ind w:firstLine="0" w:firstLineChars="0"/>
              <w:jc w:val="center"/>
              <w:rPr>
                <w:rFonts w:ascii="宋体" w:hAnsi="宋体" w:cs="Arial"/>
                <w:kern w:val="0"/>
                <w:sz w:val="24"/>
                <w:szCs w:val="24"/>
              </w:rPr>
            </w:pPr>
            <w:r>
              <w:rPr>
                <w:rFonts w:ascii="宋体" w:hAnsi="宋体" w:cs="Arial"/>
                <w:kern w:val="0"/>
                <w:sz w:val="24"/>
                <w:szCs w:val="24"/>
              </w:rPr>
              <w:t>群二排水单元</w:t>
            </w:r>
          </w:p>
        </w:tc>
        <w:tc>
          <w:tcPr>
            <w:tcW w:w="1276" w:type="dxa"/>
            <w:tcBorders>
              <w:top w:val="nil"/>
              <w:left w:val="nil"/>
              <w:bottom w:val="single" w:color="auto" w:sz="4" w:space="0"/>
              <w:right w:val="single" w:color="auto" w:sz="4" w:space="0"/>
            </w:tcBorders>
            <w:shd w:val="clear" w:color="auto" w:fill="auto"/>
            <w:vAlign w:val="center"/>
          </w:tcPr>
          <w:p w14:paraId="5614EEE5">
            <w:pPr>
              <w:widowControl/>
              <w:ind w:firstLine="0" w:firstLineChars="0"/>
              <w:jc w:val="center"/>
              <w:rPr>
                <w:rFonts w:ascii="宋体" w:hAnsi="宋体" w:cs="Arial"/>
                <w:kern w:val="0"/>
                <w:sz w:val="24"/>
                <w:szCs w:val="24"/>
              </w:rPr>
            </w:pPr>
            <w:r>
              <w:rPr>
                <w:rFonts w:ascii="宋体" w:hAnsi="宋体" w:cs="Arial"/>
                <w:kern w:val="0"/>
                <w:sz w:val="24"/>
                <w:szCs w:val="24"/>
              </w:rPr>
              <w:t>71.9%</w:t>
            </w:r>
          </w:p>
        </w:tc>
      </w:tr>
      <w:tr w14:paraId="0698E0E2">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1A0D66AE">
            <w:pPr>
              <w:widowControl/>
              <w:ind w:firstLine="0" w:firstLineChars="0"/>
              <w:jc w:val="center"/>
              <w:rPr>
                <w:rFonts w:ascii="宋体" w:hAnsi="宋体" w:cs="Arial"/>
                <w:kern w:val="0"/>
                <w:sz w:val="24"/>
                <w:szCs w:val="24"/>
              </w:rPr>
            </w:pPr>
            <w:r>
              <w:rPr>
                <w:rFonts w:ascii="宋体" w:hAnsi="宋体" w:cs="Arial"/>
                <w:kern w:val="0"/>
                <w:sz w:val="24"/>
                <w:szCs w:val="24"/>
              </w:rPr>
              <w:t>08</w:t>
            </w:r>
          </w:p>
        </w:tc>
        <w:tc>
          <w:tcPr>
            <w:tcW w:w="3118" w:type="dxa"/>
            <w:tcBorders>
              <w:top w:val="nil"/>
              <w:left w:val="nil"/>
              <w:bottom w:val="single" w:color="auto" w:sz="4" w:space="0"/>
              <w:right w:val="single" w:color="auto" w:sz="4" w:space="0"/>
            </w:tcBorders>
            <w:shd w:val="clear" w:color="auto" w:fill="auto"/>
            <w:vAlign w:val="center"/>
          </w:tcPr>
          <w:p w14:paraId="0F28ED91">
            <w:pPr>
              <w:widowControl/>
              <w:ind w:firstLine="0" w:firstLineChars="0"/>
              <w:jc w:val="center"/>
              <w:rPr>
                <w:rFonts w:ascii="宋体" w:hAnsi="宋体" w:cs="Arial"/>
                <w:kern w:val="0"/>
                <w:sz w:val="24"/>
                <w:szCs w:val="24"/>
              </w:rPr>
            </w:pPr>
            <w:r>
              <w:rPr>
                <w:rFonts w:ascii="宋体" w:hAnsi="宋体" w:cs="Arial"/>
                <w:kern w:val="0"/>
                <w:sz w:val="24"/>
                <w:szCs w:val="24"/>
              </w:rPr>
              <w:t>东新二路排水单元</w:t>
            </w:r>
          </w:p>
        </w:tc>
        <w:tc>
          <w:tcPr>
            <w:tcW w:w="1389" w:type="dxa"/>
            <w:tcBorders>
              <w:top w:val="nil"/>
              <w:left w:val="nil"/>
              <w:bottom w:val="single" w:color="auto" w:sz="4" w:space="0"/>
              <w:right w:val="single" w:color="auto" w:sz="4" w:space="0"/>
            </w:tcBorders>
            <w:shd w:val="clear" w:color="auto" w:fill="auto"/>
            <w:vAlign w:val="center"/>
          </w:tcPr>
          <w:p w14:paraId="302E8AAD">
            <w:pPr>
              <w:widowControl/>
              <w:ind w:firstLine="0" w:firstLineChars="0"/>
              <w:jc w:val="center"/>
              <w:rPr>
                <w:rFonts w:ascii="宋体" w:hAnsi="宋体" w:cs="Arial"/>
                <w:kern w:val="0"/>
                <w:sz w:val="24"/>
                <w:szCs w:val="24"/>
              </w:rPr>
            </w:pPr>
            <w:r>
              <w:rPr>
                <w:rFonts w:ascii="宋体" w:hAnsi="宋体" w:cs="Arial"/>
                <w:kern w:val="0"/>
                <w:sz w:val="24"/>
                <w:szCs w:val="24"/>
              </w:rPr>
              <w:t>66.5%</w:t>
            </w:r>
          </w:p>
        </w:tc>
        <w:tc>
          <w:tcPr>
            <w:tcW w:w="708" w:type="dxa"/>
            <w:tcBorders>
              <w:top w:val="nil"/>
              <w:left w:val="nil"/>
              <w:bottom w:val="single" w:color="auto" w:sz="4" w:space="0"/>
              <w:right w:val="single" w:color="auto" w:sz="4" w:space="0"/>
            </w:tcBorders>
            <w:shd w:val="clear" w:color="auto" w:fill="auto"/>
            <w:noWrap/>
            <w:vAlign w:val="center"/>
          </w:tcPr>
          <w:p w14:paraId="048ACEC4">
            <w:pPr>
              <w:widowControl/>
              <w:ind w:firstLine="0" w:firstLineChars="0"/>
              <w:jc w:val="center"/>
              <w:rPr>
                <w:rFonts w:ascii="宋体" w:hAnsi="宋体" w:cs="Arial"/>
                <w:kern w:val="0"/>
                <w:sz w:val="24"/>
                <w:szCs w:val="24"/>
              </w:rPr>
            </w:pPr>
            <w:r>
              <w:rPr>
                <w:rFonts w:ascii="宋体" w:hAnsi="宋体" w:cs="Arial"/>
                <w:kern w:val="0"/>
                <w:sz w:val="24"/>
                <w:szCs w:val="24"/>
              </w:rPr>
              <w:t>60</w:t>
            </w:r>
          </w:p>
        </w:tc>
        <w:tc>
          <w:tcPr>
            <w:tcW w:w="2680" w:type="dxa"/>
            <w:tcBorders>
              <w:top w:val="nil"/>
              <w:left w:val="nil"/>
              <w:bottom w:val="single" w:color="auto" w:sz="4" w:space="0"/>
              <w:right w:val="single" w:color="auto" w:sz="4" w:space="0"/>
            </w:tcBorders>
            <w:shd w:val="clear" w:color="auto" w:fill="auto"/>
            <w:noWrap/>
            <w:vAlign w:val="center"/>
          </w:tcPr>
          <w:p w14:paraId="5C2AE65B">
            <w:pPr>
              <w:widowControl/>
              <w:ind w:firstLine="0" w:firstLineChars="0"/>
              <w:jc w:val="center"/>
              <w:rPr>
                <w:rFonts w:ascii="宋体" w:hAnsi="宋体" w:cs="Arial"/>
                <w:kern w:val="0"/>
                <w:sz w:val="24"/>
                <w:szCs w:val="24"/>
              </w:rPr>
            </w:pPr>
            <w:r>
              <w:rPr>
                <w:rFonts w:ascii="宋体" w:hAnsi="宋体" w:cs="Arial"/>
                <w:kern w:val="0"/>
                <w:sz w:val="24"/>
                <w:szCs w:val="24"/>
              </w:rPr>
              <w:t>三钢高水压排区</w:t>
            </w:r>
          </w:p>
        </w:tc>
        <w:tc>
          <w:tcPr>
            <w:tcW w:w="1276" w:type="dxa"/>
            <w:tcBorders>
              <w:top w:val="nil"/>
              <w:left w:val="nil"/>
              <w:bottom w:val="single" w:color="auto" w:sz="4" w:space="0"/>
              <w:right w:val="single" w:color="auto" w:sz="4" w:space="0"/>
            </w:tcBorders>
            <w:shd w:val="clear" w:color="auto" w:fill="auto"/>
            <w:vAlign w:val="center"/>
          </w:tcPr>
          <w:p w14:paraId="74D410E4">
            <w:pPr>
              <w:widowControl/>
              <w:ind w:firstLine="0" w:firstLineChars="0"/>
              <w:jc w:val="center"/>
              <w:rPr>
                <w:rFonts w:ascii="宋体" w:hAnsi="宋体" w:cs="Arial"/>
                <w:kern w:val="0"/>
                <w:sz w:val="24"/>
                <w:szCs w:val="24"/>
              </w:rPr>
            </w:pPr>
            <w:r>
              <w:rPr>
                <w:rFonts w:ascii="宋体" w:hAnsi="宋体" w:cs="Arial"/>
                <w:kern w:val="0"/>
                <w:sz w:val="24"/>
                <w:szCs w:val="24"/>
              </w:rPr>
              <w:t>69.1%</w:t>
            </w:r>
          </w:p>
        </w:tc>
      </w:tr>
      <w:tr w14:paraId="07BEFF36">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31F800DD">
            <w:pPr>
              <w:widowControl/>
              <w:ind w:firstLine="0" w:firstLineChars="0"/>
              <w:jc w:val="center"/>
              <w:rPr>
                <w:rFonts w:ascii="宋体" w:hAnsi="宋体" w:cs="Arial"/>
                <w:kern w:val="0"/>
                <w:sz w:val="24"/>
                <w:szCs w:val="24"/>
              </w:rPr>
            </w:pPr>
            <w:r>
              <w:rPr>
                <w:rFonts w:ascii="宋体" w:hAnsi="宋体" w:cs="Arial"/>
                <w:kern w:val="0"/>
                <w:sz w:val="24"/>
                <w:szCs w:val="24"/>
              </w:rPr>
              <w:t>09</w:t>
            </w:r>
          </w:p>
        </w:tc>
        <w:tc>
          <w:tcPr>
            <w:tcW w:w="3118" w:type="dxa"/>
            <w:tcBorders>
              <w:top w:val="nil"/>
              <w:left w:val="nil"/>
              <w:bottom w:val="single" w:color="auto" w:sz="4" w:space="0"/>
              <w:right w:val="single" w:color="auto" w:sz="4" w:space="0"/>
            </w:tcBorders>
            <w:shd w:val="clear" w:color="auto" w:fill="auto"/>
            <w:vAlign w:val="center"/>
          </w:tcPr>
          <w:p w14:paraId="1245F20F">
            <w:pPr>
              <w:widowControl/>
              <w:ind w:left="1" w:leftChars="-39" w:right="-218" w:rightChars="-78" w:hanging="110" w:hangingChars="46"/>
              <w:jc w:val="center"/>
              <w:rPr>
                <w:rFonts w:ascii="宋体" w:hAnsi="宋体" w:cs="Arial"/>
                <w:kern w:val="0"/>
                <w:sz w:val="24"/>
                <w:szCs w:val="24"/>
              </w:rPr>
            </w:pPr>
            <w:r>
              <w:rPr>
                <w:rFonts w:ascii="宋体" w:hAnsi="宋体" w:cs="Arial"/>
                <w:kern w:val="0"/>
                <w:sz w:val="24"/>
                <w:szCs w:val="24"/>
              </w:rPr>
              <w:t>东新一路排涝站排水单元</w:t>
            </w:r>
          </w:p>
        </w:tc>
        <w:tc>
          <w:tcPr>
            <w:tcW w:w="1389" w:type="dxa"/>
            <w:tcBorders>
              <w:top w:val="nil"/>
              <w:left w:val="nil"/>
              <w:bottom w:val="single" w:color="auto" w:sz="4" w:space="0"/>
              <w:right w:val="single" w:color="auto" w:sz="4" w:space="0"/>
            </w:tcBorders>
            <w:shd w:val="clear" w:color="auto" w:fill="auto"/>
            <w:vAlign w:val="center"/>
          </w:tcPr>
          <w:p w14:paraId="2063DFC6">
            <w:pPr>
              <w:widowControl/>
              <w:ind w:firstLine="0" w:firstLineChars="0"/>
              <w:jc w:val="center"/>
              <w:rPr>
                <w:rFonts w:ascii="宋体" w:hAnsi="宋体" w:cs="Arial"/>
                <w:kern w:val="0"/>
                <w:sz w:val="24"/>
                <w:szCs w:val="24"/>
              </w:rPr>
            </w:pPr>
            <w:r>
              <w:rPr>
                <w:rFonts w:ascii="宋体" w:hAnsi="宋体" w:cs="Arial"/>
                <w:kern w:val="0"/>
                <w:sz w:val="24"/>
                <w:szCs w:val="24"/>
              </w:rPr>
              <w:t>69.8%</w:t>
            </w:r>
          </w:p>
        </w:tc>
        <w:tc>
          <w:tcPr>
            <w:tcW w:w="708" w:type="dxa"/>
            <w:tcBorders>
              <w:top w:val="nil"/>
              <w:left w:val="nil"/>
              <w:bottom w:val="single" w:color="auto" w:sz="4" w:space="0"/>
              <w:right w:val="single" w:color="auto" w:sz="4" w:space="0"/>
            </w:tcBorders>
            <w:shd w:val="clear" w:color="auto" w:fill="auto"/>
            <w:noWrap/>
            <w:vAlign w:val="center"/>
          </w:tcPr>
          <w:p w14:paraId="328C7CDB">
            <w:pPr>
              <w:widowControl/>
              <w:ind w:firstLine="0" w:firstLineChars="0"/>
              <w:jc w:val="center"/>
              <w:rPr>
                <w:rFonts w:ascii="宋体" w:hAnsi="宋体" w:cs="Arial"/>
                <w:kern w:val="0"/>
                <w:sz w:val="24"/>
                <w:szCs w:val="24"/>
              </w:rPr>
            </w:pPr>
            <w:r>
              <w:rPr>
                <w:rFonts w:ascii="宋体" w:hAnsi="宋体" w:cs="Arial"/>
                <w:kern w:val="0"/>
                <w:sz w:val="24"/>
                <w:szCs w:val="24"/>
              </w:rPr>
              <w:t>61</w:t>
            </w:r>
          </w:p>
        </w:tc>
        <w:tc>
          <w:tcPr>
            <w:tcW w:w="2680" w:type="dxa"/>
            <w:tcBorders>
              <w:top w:val="nil"/>
              <w:left w:val="nil"/>
              <w:bottom w:val="single" w:color="auto" w:sz="4" w:space="0"/>
              <w:right w:val="single" w:color="auto" w:sz="4" w:space="0"/>
            </w:tcBorders>
            <w:shd w:val="clear" w:color="auto" w:fill="auto"/>
            <w:noWrap/>
            <w:vAlign w:val="center"/>
          </w:tcPr>
          <w:p w14:paraId="529EB3CD">
            <w:pPr>
              <w:widowControl/>
              <w:ind w:firstLine="0" w:firstLineChars="0"/>
              <w:jc w:val="center"/>
              <w:rPr>
                <w:rFonts w:ascii="宋体" w:hAnsi="宋体" w:cs="Arial"/>
                <w:kern w:val="0"/>
                <w:sz w:val="24"/>
                <w:szCs w:val="24"/>
              </w:rPr>
            </w:pPr>
            <w:r>
              <w:rPr>
                <w:rFonts w:ascii="宋体" w:hAnsi="宋体" w:cs="Arial"/>
                <w:kern w:val="0"/>
                <w:sz w:val="24"/>
                <w:szCs w:val="24"/>
              </w:rPr>
              <w:t>列西排涝站排水单元</w:t>
            </w:r>
          </w:p>
        </w:tc>
        <w:tc>
          <w:tcPr>
            <w:tcW w:w="1276" w:type="dxa"/>
            <w:tcBorders>
              <w:top w:val="nil"/>
              <w:left w:val="nil"/>
              <w:bottom w:val="single" w:color="auto" w:sz="4" w:space="0"/>
              <w:right w:val="single" w:color="auto" w:sz="4" w:space="0"/>
            </w:tcBorders>
            <w:shd w:val="clear" w:color="auto" w:fill="auto"/>
            <w:vAlign w:val="center"/>
          </w:tcPr>
          <w:p w14:paraId="2D649BF0">
            <w:pPr>
              <w:widowControl/>
              <w:ind w:firstLine="0" w:firstLineChars="0"/>
              <w:jc w:val="center"/>
              <w:rPr>
                <w:rFonts w:ascii="宋体" w:hAnsi="宋体" w:cs="Arial"/>
                <w:kern w:val="0"/>
                <w:sz w:val="24"/>
                <w:szCs w:val="24"/>
              </w:rPr>
            </w:pPr>
            <w:r>
              <w:rPr>
                <w:rFonts w:ascii="宋体" w:hAnsi="宋体" w:cs="Arial"/>
                <w:kern w:val="0"/>
                <w:sz w:val="24"/>
                <w:szCs w:val="24"/>
              </w:rPr>
              <w:t>67.9%</w:t>
            </w:r>
          </w:p>
        </w:tc>
      </w:tr>
      <w:tr w14:paraId="2D2E1AAA">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55176DC">
            <w:pPr>
              <w:widowControl/>
              <w:ind w:firstLine="0" w:firstLineChars="0"/>
              <w:jc w:val="center"/>
              <w:rPr>
                <w:rFonts w:ascii="宋体" w:hAnsi="宋体" w:cs="Arial"/>
                <w:kern w:val="0"/>
                <w:sz w:val="24"/>
                <w:szCs w:val="24"/>
              </w:rPr>
            </w:pPr>
            <w:r>
              <w:rPr>
                <w:rFonts w:ascii="宋体" w:hAnsi="宋体" w:cs="Arial"/>
                <w:kern w:val="0"/>
                <w:sz w:val="24"/>
                <w:szCs w:val="24"/>
              </w:rPr>
              <w:t>10</w:t>
            </w:r>
          </w:p>
        </w:tc>
        <w:tc>
          <w:tcPr>
            <w:tcW w:w="3118" w:type="dxa"/>
            <w:tcBorders>
              <w:top w:val="nil"/>
              <w:left w:val="nil"/>
              <w:bottom w:val="single" w:color="auto" w:sz="4" w:space="0"/>
              <w:right w:val="single" w:color="auto" w:sz="4" w:space="0"/>
            </w:tcBorders>
            <w:shd w:val="clear" w:color="auto" w:fill="auto"/>
            <w:vAlign w:val="center"/>
          </w:tcPr>
          <w:p w14:paraId="6149B142">
            <w:pPr>
              <w:widowControl/>
              <w:ind w:firstLine="0" w:firstLineChars="0"/>
              <w:jc w:val="center"/>
              <w:rPr>
                <w:rFonts w:ascii="宋体" w:hAnsi="宋体" w:cs="Arial"/>
                <w:kern w:val="0"/>
                <w:sz w:val="24"/>
                <w:szCs w:val="24"/>
              </w:rPr>
            </w:pPr>
            <w:r>
              <w:rPr>
                <w:rFonts w:ascii="宋体" w:hAnsi="宋体" w:cs="Arial"/>
                <w:kern w:val="0"/>
                <w:sz w:val="24"/>
                <w:szCs w:val="24"/>
              </w:rPr>
              <w:t>高岩路排水单元</w:t>
            </w:r>
          </w:p>
        </w:tc>
        <w:tc>
          <w:tcPr>
            <w:tcW w:w="1389" w:type="dxa"/>
            <w:tcBorders>
              <w:top w:val="nil"/>
              <w:left w:val="nil"/>
              <w:bottom w:val="single" w:color="auto" w:sz="4" w:space="0"/>
              <w:right w:val="single" w:color="auto" w:sz="4" w:space="0"/>
            </w:tcBorders>
            <w:shd w:val="clear" w:color="auto" w:fill="auto"/>
            <w:vAlign w:val="center"/>
          </w:tcPr>
          <w:p w14:paraId="63221AEC">
            <w:pPr>
              <w:widowControl/>
              <w:ind w:firstLine="0" w:firstLineChars="0"/>
              <w:jc w:val="center"/>
              <w:rPr>
                <w:rFonts w:ascii="宋体" w:hAnsi="宋体" w:cs="Arial"/>
                <w:kern w:val="0"/>
                <w:sz w:val="24"/>
                <w:szCs w:val="24"/>
              </w:rPr>
            </w:pPr>
            <w:r>
              <w:rPr>
                <w:rFonts w:ascii="宋体" w:hAnsi="宋体" w:cs="Arial"/>
                <w:kern w:val="0"/>
                <w:sz w:val="24"/>
                <w:szCs w:val="24"/>
              </w:rPr>
              <w:t>79.0%</w:t>
            </w:r>
          </w:p>
        </w:tc>
        <w:tc>
          <w:tcPr>
            <w:tcW w:w="708" w:type="dxa"/>
            <w:tcBorders>
              <w:top w:val="nil"/>
              <w:left w:val="nil"/>
              <w:bottom w:val="single" w:color="auto" w:sz="4" w:space="0"/>
              <w:right w:val="single" w:color="auto" w:sz="4" w:space="0"/>
            </w:tcBorders>
            <w:shd w:val="clear" w:color="auto" w:fill="auto"/>
            <w:noWrap/>
            <w:vAlign w:val="center"/>
          </w:tcPr>
          <w:p w14:paraId="2E6FC9CB">
            <w:pPr>
              <w:widowControl/>
              <w:ind w:firstLine="0" w:firstLineChars="0"/>
              <w:jc w:val="center"/>
              <w:rPr>
                <w:rFonts w:ascii="宋体" w:hAnsi="宋体" w:cs="Arial"/>
                <w:kern w:val="0"/>
                <w:sz w:val="24"/>
                <w:szCs w:val="24"/>
              </w:rPr>
            </w:pPr>
            <w:r>
              <w:rPr>
                <w:rFonts w:ascii="宋体" w:hAnsi="宋体" w:cs="Arial"/>
                <w:kern w:val="0"/>
                <w:sz w:val="24"/>
                <w:szCs w:val="24"/>
              </w:rPr>
              <w:t>62</w:t>
            </w:r>
          </w:p>
        </w:tc>
        <w:tc>
          <w:tcPr>
            <w:tcW w:w="2680" w:type="dxa"/>
            <w:tcBorders>
              <w:top w:val="nil"/>
              <w:left w:val="nil"/>
              <w:bottom w:val="single" w:color="auto" w:sz="4" w:space="0"/>
              <w:right w:val="single" w:color="auto" w:sz="4" w:space="0"/>
            </w:tcBorders>
            <w:shd w:val="clear" w:color="auto" w:fill="auto"/>
            <w:noWrap/>
            <w:vAlign w:val="center"/>
          </w:tcPr>
          <w:p w14:paraId="119D4678">
            <w:pPr>
              <w:widowControl/>
              <w:ind w:firstLine="0" w:firstLineChars="0"/>
              <w:jc w:val="center"/>
              <w:rPr>
                <w:rFonts w:ascii="宋体" w:hAnsi="宋体" w:cs="Arial"/>
                <w:kern w:val="0"/>
                <w:sz w:val="24"/>
                <w:szCs w:val="24"/>
              </w:rPr>
            </w:pPr>
            <w:r>
              <w:rPr>
                <w:rFonts w:ascii="宋体" w:hAnsi="宋体" w:cs="Arial"/>
                <w:kern w:val="0"/>
                <w:sz w:val="24"/>
                <w:szCs w:val="24"/>
              </w:rPr>
              <w:t>下村洋山区排水单元</w:t>
            </w:r>
          </w:p>
        </w:tc>
        <w:tc>
          <w:tcPr>
            <w:tcW w:w="1276" w:type="dxa"/>
            <w:tcBorders>
              <w:top w:val="nil"/>
              <w:left w:val="nil"/>
              <w:bottom w:val="single" w:color="auto" w:sz="4" w:space="0"/>
              <w:right w:val="single" w:color="auto" w:sz="4" w:space="0"/>
            </w:tcBorders>
            <w:shd w:val="clear" w:color="auto" w:fill="auto"/>
            <w:vAlign w:val="center"/>
          </w:tcPr>
          <w:p w14:paraId="59A51547">
            <w:pPr>
              <w:widowControl/>
              <w:ind w:firstLine="0" w:firstLineChars="0"/>
              <w:jc w:val="center"/>
              <w:rPr>
                <w:rFonts w:ascii="宋体" w:hAnsi="宋体" w:cs="Arial"/>
                <w:kern w:val="0"/>
                <w:sz w:val="24"/>
                <w:szCs w:val="24"/>
              </w:rPr>
            </w:pPr>
            <w:r>
              <w:rPr>
                <w:rFonts w:ascii="宋体" w:hAnsi="宋体" w:cs="Arial"/>
                <w:kern w:val="0"/>
                <w:sz w:val="24"/>
                <w:szCs w:val="24"/>
              </w:rPr>
              <w:t>74.2%</w:t>
            </w:r>
          </w:p>
        </w:tc>
      </w:tr>
      <w:tr w14:paraId="02EDE1C6">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5CC1A560">
            <w:pPr>
              <w:widowControl/>
              <w:ind w:firstLine="0" w:firstLineChars="0"/>
              <w:jc w:val="center"/>
              <w:rPr>
                <w:rFonts w:ascii="宋体" w:hAnsi="宋体" w:cs="Arial"/>
                <w:kern w:val="0"/>
                <w:sz w:val="24"/>
                <w:szCs w:val="24"/>
              </w:rPr>
            </w:pPr>
            <w:r>
              <w:rPr>
                <w:rFonts w:ascii="宋体" w:hAnsi="宋体" w:cs="Arial"/>
                <w:kern w:val="0"/>
                <w:sz w:val="24"/>
                <w:szCs w:val="24"/>
              </w:rPr>
              <w:t>11</w:t>
            </w:r>
          </w:p>
        </w:tc>
        <w:tc>
          <w:tcPr>
            <w:tcW w:w="3118" w:type="dxa"/>
            <w:tcBorders>
              <w:top w:val="nil"/>
              <w:left w:val="nil"/>
              <w:bottom w:val="single" w:color="auto" w:sz="4" w:space="0"/>
              <w:right w:val="single" w:color="auto" w:sz="4" w:space="0"/>
            </w:tcBorders>
            <w:shd w:val="clear" w:color="auto" w:fill="auto"/>
            <w:vAlign w:val="center"/>
          </w:tcPr>
          <w:p w14:paraId="0BF247DE">
            <w:pPr>
              <w:widowControl/>
              <w:ind w:firstLine="0" w:firstLineChars="0"/>
              <w:jc w:val="center"/>
              <w:rPr>
                <w:rFonts w:ascii="宋体" w:hAnsi="宋体" w:cs="Arial"/>
                <w:kern w:val="0"/>
                <w:sz w:val="24"/>
                <w:szCs w:val="24"/>
              </w:rPr>
            </w:pPr>
            <w:r>
              <w:rPr>
                <w:rFonts w:ascii="宋体" w:hAnsi="宋体" w:cs="Arial"/>
                <w:kern w:val="0"/>
                <w:sz w:val="24"/>
                <w:szCs w:val="24"/>
              </w:rPr>
              <w:t>新泉路排水单元</w:t>
            </w:r>
          </w:p>
        </w:tc>
        <w:tc>
          <w:tcPr>
            <w:tcW w:w="1389" w:type="dxa"/>
            <w:tcBorders>
              <w:top w:val="nil"/>
              <w:left w:val="nil"/>
              <w:bottom w:val="single" w:color="auto" w:sz="4" w:space="0"/>
              <w:right w:val="single" w:color="auto" w:sz="4" w:space="0"/>
            </w:tcBorders>
            <w:shd w:val="clear" w:color="auto" w:fill="auto"/>
            <w:vAlign w:val="center"/>
          </w:tcPr>
          <w:p w14:paraId="68BBCA04">
            <w:pPr>
              <w:widowControl/>
              <w:ind w:firstLine="0" w:firstLineChars="0"/>
              <w:jc w:val="center"/>
              <w:rPr>
                <w:rFonts w:ascii="宋体" w:hAnsi="宋体" w:cs="Arial"/>
                <w:kern w:val="0"/>
                <w:sz w:val="24"/>
                <w:szCs w:val="24"/>
              </w:rPr>
            </w:pPr>
            <w:r>
              <w:rPr>
                <w:rFonts w:ascii="宋体" w:hAnsi="宋体" w:cs="Arial"/>
                <w:kern w:val="0"/>
                <w:sz w:val="24"/>
                <w:szCs w:val="24"/>
              </w:rPr>
              <w:t>77.6%</w:t>
            </w:r>
          </w:p>
        </w:tc>
        <w:tc>
          <w:tcPr>
            <w:tcW w:w="708" w:type="dxa"/>
            <w:tcBorders>
              <w:top w:val="nil"/>
              <w:left w:val="nil"/>
              <w:bottom w:val="single" w:color="auto" w:sz="4" w:space="0"/>
              <w:right w:val="single" w:color="auto" w:sz="4" w:space="0"/>
            </w:tcBorders>
            <w:shd w:val="clear" w:color="auto" w:fill="auto"/>
            <w:noWrap/>
            <w:vAlign w:val="center"/>
          </w:tcPr>
          <w:p w14:paraId="0741E867">
            <w:pPr>
              <w:widowControl/>
              <w:ind w:firstLine="0" w:firstLineChars="0"/>
              <w:jc w:val="center"/>
              <w:rPr>
                <w:rFonts w:ascii="宋体" w:hAnsi="宋体" w:cs="Arial"/>
                <w:kern w:val="0"/>
                <w:sz w:val="24"/>
                <w:szCs w:val="24"/>
              </w:rPr>
            </w:pPr>
            <w:r>
              <w:rPr>
                <w:rFonts w:ascii="宋体" w:hAnsi="宋体" w:cs="Arial"/>
                <w:kern w:val="0"/>
                <w:sz w:val="24"/>
                <w:szCs w:val="24"/>
              </w:rPr>
              <w:t>63</w:t>
            </w:r>
          </w:p>
        </w:tc>
        <w:tc>
          <w:tcPr>
            <w:tcW w:w="2680" w:type="dxa"/>
            <w:tcBorders>
              <w:top w:val="nil"/>
              <w:left w:val="nil"/>
              <w:bottom w:val="single" w:color="auto" w:sz="4" w:space="0"/>
              <w:right w:val="single" w:color="auto" w:sz="4" w:space="0"/>
            </w:tcBorders>
            <w:shd w:val="clear" w:color="auto" w:fill="auto"/>
            <w:noWrap/>
            <w:vAlign w:val="center"/>
          </w:tcPr>
          <w:p w14:paraId="067D6EF2">
            <w:pPr>
              <w:widowControl/>
              <w:ind w:firstLine="0" w:firstLineChars="0"/>
              <w:jc w:val="center"/>
              <w:rPr>
                <w:rFonts w:ascii="宋体" w:hAnsi="宋体" w:cs="Arial"/>
                <w:kern w:val="0"/>
                <w:sz w:val="24"/>
                <w:szCs w:val="24"/>
              </w:rPr>
            </w:pPr>
            <w:r>
              <w:rPr>
                <w:rFonts w:ascii="宋体" w:hAnsi="宋体" w:cs="Arial"/>
                <w:kern w:val="0"/>
                <w:sz w:val="24"/>
                <w:szCs w:val="24"/>
              </w:rPr>
              <w:t>下村洋溪排水单元</w:t>
            </w:r>
          </w:p>
        </w:tc>
        <w:tc>
          <w:tcPr>
            <w:tcW w:w="1276" w:type="dxa"/>
            <w:tcBorders>
              <w:top w:val="nil"/>
              <w:left w:val="nil"/>
              <w:bottom w:val="single" w:color="auto" w:sz="4" w:space="0"/>
              <w:right w:val="single" w:color="auto" w:sz="4" w:space="0"/>
            </w:tcBorders>
            <w:shd w:val="clear" w:color="auto" w:fill="auto"/>
            <w:vAlign w:val="center"/>
          </w:tcPr>
          <w:p w14:paraId="1515DDE2">
            <w:pPr>
              <w:widowControl/>
              <w:ind w:firstLine="0" w:firstLineChars="0"/>
              <w:jc w:val="center"/>
              <w:rPr>
                <w:rFonts w:ascii="宋体" w:hAnsi="宋体" w:cs="Arial"/>
                <w:kern w:val="0"/>
                <w:sz w:val="24"/>
                <w:szCs w:val="24"/>
              </w:rPr>
            </w:pPr>
            <w:r>
              <w:rPr>
                <w:rFonts w:ascii="宋体" w:hAnsi="宋体" w:cs="Arial"/>
                <w:kern w:val="0"/>
                <w:sz w:val="24"/>
                <w:szCs w:val="24"/>
              </w:rPr>
              <w:t>72.9%</w:t>
            </w:r>
          </w:p>
        </w:tc>
      </w:tr>
      <w:tr w14:paraId="14A9E673">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7AFB2505">
            <w:pPr>
              <w:widowControl/>
              <w:ind w:firstLine="0" w:firstLineChars="0"/>
              <w:jc w:val="center"/>
              <w:rPr>
                <w:rFonts w:ascii="宋体" w:hAnsi="宋体" w:cs="Arial"/>
                <w:kern w:val="0"/>
                <w:sz w:val="24"/>
                <w:szCs w:val="24"/>
              </w:rPr>
            </w:pPr>
            <w:r>
              <w:rPr>
                <w:rFonts w:ascii="宋体" w:hAnsi="宋体" w:cs="Arial"/>
                <w:kern w:val="0"/>
                <w:sz w:val="24"/>
                <w:szCs w:val="24"/>
              </w:rPr>
              <w:t>12</w:t>
            </w:r>
          </w:p>
        </w:tc>
        <w:tc>
          <w:tcPr>
            <w:tcW w:w="3118" w:type="dxa"/>
            <w:tcBorders>
              <w:top w:val="nil"/>
              <w:left w:val="nil"/>
              <w:bottom w:val="single" w:color="auto" w:sz="4" w:space="0"/>
              <w:right w:val="single" w:color="auto" w:sz="4" w:space="0"/>
            </w:tcBorders>
            <w:shd w:val="clear" w:color="auto" w:fill="auto"/>
            <w:vAlign w:val="center"/>
          </w:tcPr>
          <w:p w14:paraId="0FC82496">
            <w:pPr>
              <w:widowControl/>
              <w:ind w:firstLine="0" w:firstLineChars="0"/>
              <w:jc w:val="center"/>
              <w:rPr>
                <w:rFonts w:ascii="宋体" w:hAnsi="宋体" w:cs="Arial"/>
                <w:kern w:val="0"/>
                <w:sz w:val="24"/>
                <w:szCs w:val="24"/>
              </w:rPr>
            </w:pPr>
            <w:r>
              <w:rPr>
                <w:rFonts w:ascii="宋体" w:hAnsi="宋体" w:cs="Arial"/>
                <w:kern w:val="0"/>
                <w:sz w:val="24"/>
                <w:szCs w:val="24"/>
              </w:rPr>
              <w:t>会展排水单元</w:t>
            </w:r>
          </w:p>
        </w:tc>
        <w:tc>
          <w:tcPr>
            <w:tcW w:w="1389" w:type="dxa"/>
            <w:tcBorders>
              <w:top w:val="nil"/>
              <w:left w:val="nil"/>
              <w:bottom w:val="single" w:color="auto" w:sz="4" w:space="0"/>
              <w:right w:val="single" w:color="auto" w:sz="4" w:space="0"/>
            </w:tcBorders>
            <w:shd w:val="clear" w:color="auto" w:fill="auto"/>
            <w:vAlign w:val="center"/>
          </w:tcPr>
          <w:p w14:paraId="0C304AF6">
            <w:pPr>
              <w:widowControl/>
              <w:ind w:firstLine="0" w:firstLineChars="0"/>
              <w:jc w:val="center"/>
              <w:rPr>
                <w:rFonts w:ascii="宋体" w:hAnsi="宋体" w:cs="Arial"/>
                <w:kern w:val="0"/>
                <w:sz w:val="24"/>
                <w:szCs w:val="24"/>
              </w:rPr>
            </w:pPr>
            <w:r>
              <w:rPr>
                <w:rFonts w:ascii="宋体" w:hAnsi="宋体" w:cs="Arial"/>
                <w:kern w:val="0"/>
                <w:sz w:val="24"/>
                <w:szCs w:val="24"/>
              </w:rPr>
              <w:t>78.7%</w:t>
            </w:r>
          </w:p>
        </w:tc>
        <w:tc>
          <w:tcPr>
            <w:tcW w:w="708" w:type="dxa"/>
            <w:tcBorders>
              <w:top w:val="nil"/>
              <w:left w:val="nil"/>
              <w:bottom w:val="single" w:color="auto" w:sz="4" w:space="0"/>
              <w:right w:val="single" w:color="auto" w:sz="4" w:space="0"/>
            </w:tcBorders>
            <w:shd w:val="clear" w:color="auto" w:fill="auto"/>
            <w:noWrap/>
            <w:vAlign w:val="center"/>
          </w:tcPr>
          <w:p w14:paraId="33B8893F">
            <w:pPr>
              <w:widowControl/>
              <w:ind w:firstLine="0" w:firstLineChars="0"/>
              <w:jc w:val="center"/>
              <w:rPr>
                <w:rFonts w:ascii="宋体" w:hAnsi="宋体" w:cs="Arial"/>
                <w:kern w:val="0"/>
                <w:sz w:val="24"/>
                <w:szCs w:val="24"/>
              </w:rPr>
            </w:pPr>
            <w:r>
              <w:rPr>
                <w:rFonts w:ascii="宋体" w:hAnsi="宋体" w:cs="Arial"/>
                <w:kern w:val="0"/>
                <w:sz w:val="24"/>
                <w:szCs w:val="24"/>
              </w:rPr>
              <w:t>64</w:t>
            </w:r>
          </w:p>
        </w:tc>
        <w:tc>
          <w:tcPr>
            <w:tcW w:w="2680" w:type="dxa"/>
            <w:tcBorders>
              <w:top w:val="nil"/>
              <w:left w:val="nil"/>
              <w:bottom w:val="single" w:color="auto" w:sz="4" w:space="0"/>
              <w:right w:val="single" w:color="auto" w:sz="4" w:space="0"/>
            </w:tcBorders>
            <w:shd w:val="clear" w:color="auto" w:fill="auto"/>
            <w:noWrap/>
            <w:vAlign w:val="center"/>
          </w:tcPr>
          <w:p w14:paraId="49761379">
            <w:pPr>
              <w:widowControl/>
              <w:ind w:firstLine="0" w:firstLineChars="0"/>
              <w:jc w:val="center"/>
              <w:rPr>
                <w:rFonts w:ascii="宋体" w:hAnsi="宋体" w:cs="Arial"/>
                <w:kern w:val="0"/>
                <w:sz w:val="24"/>
                <w:szCs w:val="24"/>
              </w:rPr>
            </w:pPr>
            <w:r>
              <w:rPr>
                <w:rFonts w:ascii="宋体" w:hAnsi="宋体" w:cs="Arial"/>
                <w:kern w:val="0"/>
                <w:sz w:val="24"/>
                <w:szCs w:val="24"/>
              </w:rPr>
              <w:t>三明东站排水单元</w:t>
            </w:r>
          </w:p>
        </w:tc>
        <w:tc>
          <w:tcPr>
            <w:tcW w:w="1276" w:type="dxa"/>
            <w:tcBorders>
              <w:top w:val="nil"/>
              <w:left w:val="nil"/>
              <w:bottom w:val="single" w:color="auto" w:sz="4" w:space="0"/>
              <w:right w:val="single" w:color="auto" w:sz="4" w:space="0"/>
            </w:tcBorders>
            <w:shd w:val="clear" w:color="auto" w:fill="auto"/>
            <w:vAlign w:val="center"/>
          </w:tcPr>
          <w:p w14:paraId="51D5DDC6">
            <w:pPr>
              <w:widowControl/>
              <w:ind w:firstLine="0" w:firstLineChars="0"/>
              <w:jc w:val="center"/>
              <w:rPr>
                <w:rFonts w:ascii="宋体" w:hAnsi="宋体" w:cs="Arial"/>
                <w:kern w:val="0"/>
                <w:sz w:val="24"/>
                <w:szCs w:val="24"/>
              </w:rPr>
            </w:pPr>
            <w:r>
              <w:rPr>
                <w:rFonts w:ascii="宋体" w:hAnsi="宋体" w:cs="Arial"/>
                <w:kern w:val="0"/>
                <w:sz w:val="24"/>
                <w:szCs w:val="24"/>
              </w:rPr>
              <w:t>63.7%</w:t>
            </w:r>
          </w:p>
        </w:tc>
      </w:tr>
      <w:tr w14:paraId="09866245">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54FA845F">
            <w:pPr>
              <w:widowControl/>
              <w:ind w:firstLine="0" w:firstLineChars="0"/>
              <w:jc w:val="center"/>
              <w:rPr>
                <w:rFonts w:ascii="宋体" w:hAnsi="宋体" w:cs="Arial"/>
                <w:kern w:val="0"/>
                <w:sz w:val="24"/>
                <w:szCs w:val="24"/>
              </w:rPr>
            </w:pPr>
            <w:r>
              <w:rPr>
                <w:rFonts w:ascii="宋体" w:hAnsi="宋体" w:cs="Arial"/>
                <w:kern w:val="0"/>
                <w:sz w:val="24"/>
                <w:szCs w:val="24"/>
              </w:rPr>
              <w:t>13</w:t>
            </w:r>
          </w:p>
        </w:tc>
        <w:tc>
          <w:tcPr>
            <w:tcW w:w="3118" w:type="dxa"/>
            <w:tcBorders>
              <w:top w:val="nil"/>
              <w:left w:val="nil"/>
              <w:bottom w:val="single" w:color="auto" w:sz="4" w:space="0"/>
              <w:right w:val="single" w:color="auto" w:sz="4" w:space="0"/>
            </w:tcBorders>
            <w:shd w:val="clear" w:color="auto" w:fill="auto"/>
            <w:vAlign w:val="center"/>
          </w:tcPr>
          <w:p w14:paraId="29B50C00">
            <w:pPr>
              <w:widowControl/>
              <w:ind w:firstLine="0" w:firstLineChars="0"/>
              <w:jc w:val="center"/>
              <w:rPr>
                <w:rFonts w:ascii="宋体" w:hAnsi="宋体" w:cs="Arial"/>
                <w:kern w:val="0"/>
                <w:sz w:val="24"/>
                <w:szCs w:val="24"/>
              </w:rPr>
            </w:pPr>
            <w:r>
              <w:rPr>
                <w:rFonts w:ascii="宋体" w:hAnsi="宋体" w:cs="Arial"/>
                <w:kern w:val="0"/>
                <w:sz w:val="24"/>
                <w:szCs w:val="24"/>
              </w:rPr>
              <w:t>育才路排水单元</w:t>
            </w:r>
          </w:p>
        </w:tc>
        <w:tc>
          <w:tcPr>
            <w:tcW w:w="1389" w:type="dxa"/>
            <w:tcBorders>
              <w:top w:val="nil"/>
              <w:left w:val="nil"/>
              <w:bottom w:val="single" w:color="auto" w:sz="4" w:space="0"/>
              <w:right w:val="single" w:color="auto" w:sz="4" w:space="0"/>
            </w:tcBorders>
            <w:shd w:val="clear" w:color="auto" w:fill="auto"/>
            <w:vAlign w:val="center"/>
          </w:tcPr>
          <w:p w14:paraId="219A2D86">
            <w:pPr>
              <w:widowControl/>
              <w:ind w:firstLine="0" w:firstLineChars="0"/>
              <w:jc w:val="center"/>
              <w:rPr>
                <w:rFonts w:ascii="宋体" w:hAnsi="宋体" w:cs="Arial"/>
                <w:kern w:val="0"/>
                <w:sz w:val="24"/>
                <w:szCs w:val="24"/>
              </w:rPr>
            </w:pPr>
            <w:r>
              <w:rPr>
                <w:rFonts w:ascii="宋体" w:hAnsi="宋体" w:cs="Arial"/>
                <w:kern w:val="0"/>
                <w:sz w:val="24"/>
                <w:szCs w:val="24"/>
              </w:rPr>
              <w:t>84.0%</w:t>
            </w:r>
          </w:p>
        </w:tc>
        <w:tc>
          <w:tcPr>
            <w:tcW w:w="708" w:type="dxa"/>
            <w:tcBorders>
              <w:top w:val="nil"/>
              <w:left w:val="nil"/>
              <w:bottom w:val="single" w:color="auto" w:sz="4" w:space="0"/>
              <w:right w:val="single" w:color="auto" w:sz="4" w:space="0"/>
            </w:tcBorders>
            <w:shd w:val="clear" w:color="auto" w:fill="auto"/>
            <w:noWrap/>
            <w:vAlign w:val="center"/>
          </w:tcPr>
          <w:p w14:paraId="32D13922">
            <w:pPr>
              <w:widowControl/>
              <w:ind w:firstLine="0" w:firstLineChars="0"/>
              <w:jc w:val="center"/>
              <w:rPr>
                <w:rFonts w:ascii="宋体" w:hAnsi="宋体" w:cs="Arial"/>
                <w:kern w:val="0"/>
                <w:sz w:val="24"/>
                <w:szCs w:val="24"/>
              </w:rPr>
            </w:pPr>
            <w:r>
              <w:rPr>
                <w:rFonts w:ascii="宋体" w:hAnsi="宋体" w:cs="Arial"/>
                <w:kern w:val="0"/>
                <w:sz w:val="24"/>
                <w:szCs w:val="24"/>
              </w:rPr>
              <w:t>65</w:t>
            </w:r>
          </w:p>
        </w:tc>
        <w:tc>
          <w:tcPr>
            <w:tcW w:w="2680" w:type="dxa"/>
            <w:tcBorders>
              <w:top w:val="nil"/>
              <w:left w:val="nil"/>
              <w:bottom w:val="single" w:color="auto" w:sz="4" w:space="0"/>
              <w:right w:val="single" w:color="auto" w:sz="4" w:space="0"/>
            </w:tcBorders>
            <w:shd w:val="clear" w:color="auto" w:fill="auto"/>
            <w:noWrap/>
            <w:vAlign w:val="center"/>
          </w:tcPr>
          <w:p w14:paraId="1F89A3D2">
            <w:pPr>
              <w:widowControl/>
              <w:ind w:firstLine="0" w:firstLineChars="0"/>
              <w:jc w:val="center"/>
              <w:rPr>
                <w:rFonts w:ascii="宋体" w:hAnsi="宋体" w:cs="Arial"/>
                <w:kern w:val="0"/>
                <w:sz w:val="24"/>
                <w:szCs w:val="24"/>
              </w:rPr>
            </w:pPr>
            <w:r>
              <w:rPr>
                <w:rFonts w:ascii="宋体" w:hAnsi="宋体" w:cs="Arial"/>
                <w:kern w:val="0"/>
                <w:sz w:val="24"/>
                <w:szCs w:val="24"/>
              </w:rPr>
              <w:t>油库排水单元</w:t>
            </w:r>
          </w:p>
        </w:tc>
        <w:tc>
          <w:tcPr>
            <w:tcW w:w="1276" w:type="dxa"/>
            <w:tcBorders>
              <w:top w:val="nil"/>
              <w:left w:val="nil"/>
              <w:bottom w:val="single" w:color="auto" w:sz="4" w:space="0"/>
              <w:right w:val="single" w:color="auto" w:sz="4" w:space="0"/>
            </w:tcBorders>
            <w:shd w:val="clear" w:color="auto" w:fill="auto"/>
            <w:vAlign w:val="center"/>
          </w:tcPr>
          <w:p w14:paraId="7E5E7A4A">
            <w:pPr>
              <w:widowControl/>
              <w:ind w:firstLine="0" w:firstLineChars="0"/>
              <w:jc w:val="center"/>
              <w:rPr>
                <w:rFonts w:ascii="宋体" w:hAnsi="宋体" w:cs="Arial"/>
                <w:kern w:val="0"/>
                <w:sz w:val="24"/>
                <w:szCs w:val="24"/>
              </w:rPr>
            </w:pPr>
            <w:r>
              <w:rPr>
                <w:rFonts w:ascii="宋体" w:hAnsi="宋体" w:cs="Arial"/>
                <w:kern w:val="0"/>
                <w:sz w:val="24"/>
                <w:szCs w:val="24"/>
              </w:rPr>
              <w:t>72.3%</w:t>
            </w:r>
          </w:p>
        </w:tc>
      </w:tr>
      <w:tr w14:paraId="0089EA6D">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374AE70">
            <w:pPr>
              <w:widowControl/>
              <w:ind w:firstLine="0" w:firstLineChars="0"/>
              <w:jc w:val="center"/>
              <w:rPr>
                <w:rFonts w:ascii="宋体" w:hAnsi="宋体" w:cs="Arial"/>
                <w:kern w:val="0"/>
                <w:sz w:val="24"/>
                <w:szCs w:val="24"/>
              </w:rPr>
            </w:pPr>
            <w:r>
              <w:rPr>
                <w:rFonts w:ascii="宋体" w:hAnsi="宋体" w:cs="Arial"/>
                <w:kern w:val="0"/>
                <w:sz w:val="24"/>
                <w:szCs w:val="24"/>
              </w:rPr>
              <w:t>14</w:t>
            </w:r>
          </w:p>
        </w:tc>
        <w:tc>
          <w:tcPr>
            <w:tcW w:w="3118" w:type="dxa"/>
            <w:tcBorders>
              <w:top w:val="nil"/>
              <w:left w:val="nil"/>
              <w:bottom w:val="single" w:color="auto" w:sz="4" w:space="0"/>
              <w:right w:val="single" w:color="auto" w:sz="4" w:space="0"/>
            </w:tcBorders>
            <w:shd w:val="clear" w:color="auto" w:fill="auto"/>
            <w:vAlign w:val="center"/>
          </w:tcPr>
          <w:p w14:paraId="2E54A919">
            <w:pPr>
              <w:widowControl/>
              <w:ind w:firstLine="0" w:firstLineChars="0"/>
              <w:jc w:val="center"/>
              <w:rPr>
                <w:rFonts w:ascii="宋体" w:hAnsi="宋体" w:cs="Arial"/>
                <w:kern w:val="0"/>
                <w:sz w:val="24"/>
                <w:szCs w:val="24"/>
              </w:rPr>
            </w:pPr>
            <w:r>
              <w:rPr>
                <w:rFonts w:ascii="宋体" w:hAnsi="宋体" w:cs="Arial"/>
                <w:kern w:val="0"/>
                <w:sz w:val="24"/>
                <w:szCs w:val="24"/>
              </w:rPr>
              <w:t>芙蓉排涝站排水单元</w:t>
            </w:r>
          </w:p>
        </w:tc>
        <w:tc>
          <w:tcPr>
            <w:tcW w:w="1389" w:type="dxa"/>
            <w:tcBorders>
              <w:top w:val="nil"/>
              <w:left w:val="nil"/>
              <w:bottom w:val="single" w:color="auto" w:sz="4" w:space="0"/>
              <w:right w:val="single" w:color="auto" w:sz="4" w:space="0"/>
            </w:tcBorders>
            <w:shd w:val="clear" w:color="auto" w:fill="auto"/>
            <w:vAlign w:val="center"/>
          </w:tcPr>
          <w:p w14:paraId="00E7F695">
            <w:pPr>
              <w:widowControl/>
              <w:ind w:firstLine="0" w:firstLineChars="0"/>
              <w:jc w:val="center"/>
              <w:rPr>
                <w:rFonts w:ascii="宋体" w:hAnsi="宋体" w:cs="Arial"/>
                <w:kern w:val="0"/>
                <w:sz w:val="24"/>
                <w:szCs w:val="24"/>
              </w:rPr>
            </w:pPr>
            <w:r>
              <w:rPr>
                <w:rFonts w:ascii="宋体" w:hAnsi="宋体" w:cs="Arial"/>
                <w:kern w:val="0"/>
                <w:sz w:val="24"/>
                <w:szCs w:val="24"/>
              </w:rPr>
              <w:t>68.3%</w:t>
            </w:r>
          </w:p>
        </w:tc>
        <w:tc>
          <w:tcPr>
            <w:tcW w:w="708" w:type="dxa"/>
            <w:tcBorders>
              <w:top w:val="nil"/>
              <w:left w:val="nil"/>
              <w:bottom w:val="single" w:color="auto" w:sz="4" w:space="0"/>
              <w:right w:val="single" w:color="auto" w:sz="4" w:space="0"/>
            </w:tcBorders>
            <w:shd w:val="clear" w:color="auto" w:fill="auto"/>
            <w:noWrap/>
            <w:vAlign w:val="center"/>
          </w:tcPr>
          <w:p w14:paraId="5DEB6514">
            <w:pPr>
              <w:widowControl/>
              <w:ind w:firstLine="0" w:firstLineChars="0"/>
              <w:jc w:val="center"/>
              <w:rPr>
                <w:rFonts w:ascii="宋体" w:hAnsi="宋体" w:cs="Arial"/>
                <w:kern w:val="0"/>
                <w:sz w:val="24"/>
                <w:szCs w:val="24"/>
              </w:rPr>
            </w:pPr>
            <w:r>
              <w:rPr>
                <w:rFonts w:ascii="宋体" w:hAnsi="宋体" w:cs="Arial"/>
                <w:kern w:val="0"/>
                <w:sz w:val="24"/>
                <w:szCs w:val="24"/>
              </w:rPr>
              <w:t>66</w:t>
            </w:r>
          </w:p>
        </w:tc>
        <w:tc>
          <w:tcPr>
            <w:tcW w:w="2680" w:type="dxa"/>
            <w:tcBorders>
              <w:top w:val="nil"/>
              <w:left w:val="nil"/>
              <w:bottom w:val="single" w:color="auto" w:sz="4" w:space="0"/>
              <w:right w:val="single" w:color="auto" w:sz="4" w:space="0"/>
            </w:tcBorders>
            <w:shd w:val="clear" w:color="auto" w:fill="auto"/>
            <w:noWrap/>
            <w:vAlign w:val="center"/>
          </w:tcPr>
          <w:p w14:paraId="2A919DE3">
            <w:pPr>
              <w:widowControl/>
              <w:ind w:firstLine="0" w:firstLineChars="0"/>
              <w:jc w:val="center"/>
              <w:rPr>
                <w:rFonts w:ascii="宋体" w:hAnsi="宋体" w:cs="Arial"/>
                <w:kern w:val="0"/>
                <w:sz w:val="24"/>
                <w:szCs w:val="24"/>
              </w:rPr>
            </w:pPr>
            <w:r>
              <w:rPr>
                <w:rFonts w:ascii="宋体" w:hAnsi="宋体" w:cs="Arial"/>
                <w:kern w:val="0"/>
                <w:sz w:val="24"/>
                <w:szCs w:val="24"/>
              </w:rPr>
              <w:t>翁墩排水单元</w:t>
            </w:r>
          </w:p>
        </w:tc>
        <w:tc>
          <w:tcPr>
            <w:tcW w:w="1276" w:type="dxa"/>
            <w:tcBorders>
              <w:top w:val="nil"/>
              <w:left w:val="nil"/>
              <w:bottom w:val="single" w:color="auto" w:sz="4" w:space="0"/>
              <w:right w:val="single" w:color="auto" w:sz="4" w:space="0"/>
            </w:tcBorders>
            <w:shd w:val="clear" w:color="auto" w:fill="auto"/>
            <w:vAlign w:val="center"/>
          </w:tcPr>
          <w:p w14:paraId="2F62E8CE">
            <w:pPr>
              <w:widowControl/>
              <w:ind w:firstLine="0" w:firstLineChars="0"/>
              <w:jc w:val="center"/>
              <w:rPr>
                <w:rFonts w:ascii="宋体" w:hAnsi="宋体" w:cs="Arial"/>
                <w:kern w:val="0"/>
                <w:sz w:val="24"/>
                <w:szCs w:val="24"/>
              </w:rPr>
            </w:pPr>
            <w:r>
              <w:rPr>
                <w:rFonts w:ascii="宋体" w:hAnsi="宋体" w:cs="Arial"/>
                <w:kern w:val="0"/>
                <w:sz w:val="24"/>
                <w:szCs w:val="24"/>
              </w:rPr>
              <w:t>71.7%</w:t>
            </w:r>
          </w:p>
        </w:tc>
      </w:tr>
      <w:tr w14:paraId="69A1F40A">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5F304EE">
            <w:pPr>
              <w:widowControl/>
              <w:ind w:firstLine="0" w:firstLineChars="0"/>
              <w:jc w:val="center"/>
              <w:rPr>
                <w:rFonts w:ascii="宋体" w:hAnsi="宋体" w:cs="Arial"/>
                <w:kern w:val="0"/>
                <w:sz w:val="24"/>
                <w:szCs w:val="24"/>
              </w:rPr>
            </w:pPr>
            <w:r>
              <w:rPr>
                <w:rFonts w:ascii="宋体" w:hAnsi="宋体" w:cs="Arial"/>
                <w:kern w:val="0"/>
                <w:sz w:val="24"/>
                <w:szCs w:val="24"/>
              </w:rPr>
              <w:t>15</w:t>
            </w:r>
          </w:p>
        </w:tc>
        <w:tc>
          <w:tcPr>
            <w:tcW w:w="3118" w:type="dxa"/>
            <w:tcBorders>
              <w:top w:val="nil"/>
              <w:left w:val="nil"/>
              <w:bottom w:val="single" w:color="auto" w:sz="4" w:space="0"/>
              <w:right w:val="single" w:color="auto" w:sz="4" w:space="0"/>
            </w:tcBorders>
            <w:shd w:val="clear" w:color="auto" w:fill="auto"/>
            <w:vAlign w:val="center"/>
          </w:tcPr>
          <w:p w14:paraId="1710F42F">
            <w:pPr>
              <w:widowControl/>
              <w:ind w:left="1" w:leftChars="-39" w:right="-76" w:rightChars="-27" w:hanging="110" w:hangingChars="46"/>
              <w:jc w:val="center"/>
              <w:rPr>
                <w:rFonts w:ascii="宋体" w:hAnsi="宋体" w:cs="Arial"/>
                <w:kern w:val="0"/>
                <w:sz w:val="24"/>
                <w:szCs w:val="24"/>
              </w:rPr>
            </w:pPr>
            <w:r>
              <w:rPr>
                <w:rFonts w:ascii="宋体" w:hAnsi="宋体" w:cs="Arial"/>
                <w:kern w:val="0"/>
                <w:sz w:val="24"/>
                <w:szCs w:val="24"/>
              </w:rPr>
              <w:t>胜利路排涝站排水单元</w:t>
            </w:r>
          </w:p>
        </w:tc>
        <w:tc>
          <w:tcPr>
            <w:tcW w:w="1389" w:type="dxa"/>
            <w:tcBorders>
              <w:top w:val="nil"/>
              <w:left w:val="nil"/>
              <w:bottom w:val="single" w:color="auto" w:sz="4" w:space="0"/>
              <w:right w:val="single" w:color="auto" w:sz="4" w:space="0"/>
            </w:tcBorders>
            <w:shd w:val="clear" w:color="auto" w:fill="auto"/>
            <w:vAlign w:val="center"/>
          </w:tcPr>
          <w:p w14:paraId="0074663A">
            <w:pPr>
              <w:widowControl/>
              <w:ind w:firstLine="0" w:firstLineChars="0"/>
              <w:jc w:val="center"/>
              <w:rPr>
                <w:rFonts w:ascii="宋体" w:hAnsi="宋体" w:cs="Arial"/>
                <w:kern w:val="0"/>
                <w:sz w:val="24"/>
                <w:szCs w:val="24"/>
              </w:rPr>
            </w:pPr>
            <w:r>
              <w:rPr>
                <w:rFonts w:ascii="宋体" w:hAnsi="宋体" w:cs="Arial"/>
                <w:kern w:val="0"/>
                <w:sz w:val="24"/>
                <w:szCs w:val="24"/>
              </w:rPr>
              <w:t>65.8%</w:t>
            </w:r>
          </w:p>
        </w:tc>
        <w:tc>
          <w:tcPr>
            <w:tcW w:w="708" w:type="dxa"/>
            <w:tcBorders>
              <w:top w:val="nil"/>
              <w:left w:val="nil"/>
              <w:bottom w:val="single" w:color="auto" w:sz="4" w:space="0"/>
              <w:right w:val="single" w:color="auto" w:sz="4" w:space="0"/>
            </w:tcBorders>
            <w:shd w:val="clear" w:color="auto" w:fill="auto"/>
            <w:noWrap/>
            <w:vAlign w:val="center"/>
          </w:tcPr>
          <w:p w14:paraId="0C826690">
            <w:pPr>
              <w:widowControl/>
              <w:ind w:firstLine="0" w:firstLineChars="0"/>
              <w:jc w:val="center"/>
              <w:rPr>
                <w:rFonts w:ascii="宋体" w:hAnsi="宋体" w:cs="Arial"/>
                <w:kern w:val="0"/>
                <w:sz w:val="24"/>
                <w:szCs w:val="24"/>
              </w:rPr>
            </w:pPr>
            <w:r>
              <w:rPr>
                <w:rFonts w:ascii="宋体" w:hAnsi="宋体" w:cs="Arial"/>
                <w:kern w:val="0"/>
                <w:sz w:val="24"/>
                <w:szCs w:val="24"/>
              </w:rPr>
              <w:t>67</w:t>
            </w:r>
          </w:p>
        </w:tc>
        <w:tc>
          <w:tcPr>
            <w:tcW w:w="2680" w:type="dxa"/>
            <w:tcBorders>
              <w:top w:val="nil"/>
              <w:left w:val="nil"/>
              <w:bottom w:val="single" w:color="auto" w:sz="4" w:space="0"/>
              <w:right w:val="single" w:color="auto" w:sz="4" w:space="0"/>
            </w:tcBorders>
            <w:shd w:val="clear" w:color="auto" w:fill="auto"/>
            <w:noWrap/>
            <w:vAlign w:val="center"/>
          </w:tcPr>
          <w:p w14:paraId="01A54B3B">
            <w:pPr>
              <w:widowControl/>
              <w:ind w:firstLine="0" w:firstLineChars="0"/>
              <w:jc w:val="center"/>
              <w:rPr>
                <w:rFonts w:ascii="宋体" w:hAnsi="宋体" w:cs="Arial"/>
                <w:kern w:val="0"/>
                <w:sz w:val="24"/>
                <w:szCs w:val="24"/>
              </w:rPr>
            </w:pPr>
            <w:r>
              <w:rPr>
                <w:rFonts w:ascii="宋体" w:hAnsi="宋体" w:cs="Arial"/>
                <w:kern w:val="0"/>
                <w:sz w:val="24"/>
                <w:szCs w:val="24"/>
              </w:rPr>
              <w:t>陈大排水单元</w:t>
            </w:r>
          </w:p>
        </w:tc>
        <w:tc>
          <w:tcPr>
            <w:tcW w:w="1276" w:type="dxa"/>
            <w:tcBorders>
              <w:top w:val="nil"/>
              <w:left w:val="nil"/>
              <w:bottom w:val="single" w:color="auto" w:sz="4" w:space="0"/>
              <w:right w:val="single" w:color="auto" w:sz="4" w:space="0"/>
            </w:tcBorders>
            <w:shd w:val="clear" w:color="auto" w:fill="auto"/>
            <w:vAlign w:val="center"/>
          </w:tcPr>
          <w:p w14:paraId="3D43B5CB">
            <w:pPr>
              <w:widowControl/>
              <w:ind w:firstLine="0" w:firstLineChars="0"/>
              <w:jc w:val="center"/>
              <w:rPr>
                <w:rFonts w:ascii="宋体" w:hAnsi="宋体" w:cs="Arial"/>
                <w:kern w:val="0"/>
                <w:sz w:val="24"/>
                <w:szCs w:val="24"/>
              </w:rPr>
            </w:pPr>
            <w:r>
              <w:rPr>
                <w:rFonts w:ascii="宋体" w:hAnsi="宋体" w:cs="Arial"/>
                <w:kern w:val="0"/>
                <w:sz w:val="24"/>
                <w:szCs w:val="24"/>
              </w:rPr>
              <w:t>80.8%</w:t>
            </w:r>
          </w:p>
        </w:tc>
      </w:tr>
      <w:tr w14:paraId="508C8AF3">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51C15AD">
            <w:pPr>
              <w:widowControl/>
              <w:ind w:firstLine="0" w:firstLineChars="0"/>
              <w:jc w:val="center"/>
              <w:rPr>
                <w:rFonts w:ascii="宋体" w:hAnsi="宋体" w:cs="Arial"/>
                <w:kern w:val="0"/>
                <w:sz w:val="24"/>
                <w:szCs w:val="24"/>
              </w:rPr>
            </w:pPr>
            <w:r>
              <w:rPr>
                <w:rFonts w:ascii="宋体" w:hAnsi="宋体" w:cs="Arial"/>
                <w:kern w:val="0"/>
                <w:sz w:val="24"/>
                <w:szCs w:val="24"/>
              </w:rPr>
              <w:t>16</w:t>
            </w:r>
          </w:p>
        </w:tc>
        <w:tc>
          <w:tcPr>
            <w:tcW w:w="3118" w:type="dxa"/>
            <w:tcBorders>
              <w:top w:val="nil"/>
              <w:left w:val="nil"/>
              <w:bottom w:val="single" w:color="auto" w:sz="4" w:space="0"/>
              <w:right w:val="single" w:color="auto" w:sz="4" w:space="0"/>
            </w:tcBorders>
            <w:shd w:val="clear" w:color="auto" w:fill="auto"/>
            <w:vAlign w:val="center"/>
          </w:tcPr>
          <w:p w14:paraId="217852DC">
            <w:pPr>
              <w:widowControl/>
              <w:ind w:firstLine="0" w:firstLineChars="0"/>
              <w:jc w:val="center"/>
              <w:rPr>
                <w:rFonts w:ascii="宋体" w:hAnsi="宋体" w:cs="Arial"/>
                <w:kern w:val="0"/>
                <w:sz w:val="24"/>
                <w:szCs w:val="24"/>
              </w:rPr>
            </w:pPr>
            <w:r>
              <w:rPr>
                <w:rFonts w:ascii="宋体" w:hAnsi="宋体" w:cs="Arial"/>
                <w:kern w:val="0"/>
                <w:sz w:val="24"/>
                <w:szCs w:val="24"/>
              </w:rPr>
              <w:t>城关排水单元</w:t>
            </w:r>
          </w:p>
        </w:tc>
        <w:tc>
          <w:tcPr>
            <w:tcW w:w="1389" w:type="dxa"/>
            <w:tcBorders>
              <w:top w:val="nil"/>
              <w:left w:val="nil"/>
              <w:bottom w:val="single" w:color="auto" w:sz="4" w:space="0"/>
              <w:right w:val="single" w:color="auto" w:sz="4" w:space="0"/>
            </w:tcBorders>
            <w:shd w:val="clear" w:color="auto" w:fill="auto"/>
            <w:vAlign w:val="center"/>
          </w:tcPr>
          <w:p w14:paraId="200F8090">
            <w:pPr>
              <w:widowControl/>
              <w:ind w:firstLine="0" w:firstLineChars="0"/>
              <w:jc w:val="center"/>
              <w:rPr>
                <w:rFonts w:ascii="宋体" w:hAnsi="宋体" w:cs="Arial"/>
                <w:kern w:val="0"/>
                <w:sz w:val="24"/>
                <w:szCs w:val="24"/>
              </w:rPr>
            </w:pPr>
            <w:r>
              <w:rPr>
                <w:rFonts w:ascii="宋体" w:hAnsi="宋体" w:cs="Arial"/>
                <w:kern w:val="0"/>
                <w:sz w:val="24"/>
                <w:szCs w:val="24"/>
              </w:rPr>
              <w:t>64.3%</w:t>
            </w:r>
          </w:p>
        </w:tc>
        <w:tc>
          <w:tcPr>
            <w:tcW w:w="708" w:type="dxa"/>
            <w:tcBorders>
              <w:top w:val="nil"/>
              <w:left w:val="nil"/>
              <w:bottom w:val="single" w:color="auto" w:sz="4" w:space="0"/>
              <w:right w:val="single" w:color="auto" w:sz="4" w:space="0"/>
            </w:tcBorders>
            <w:shd w:val="clear" w:color="auto" w:fill="auto"/>
            <w:noWrap/>
            <w:vAlign w:val="center"/>
          </w:tcPr>
          <w:p w14:paraId="0DC3E876">
            <w:pPr>
              <w:widowControl/>
              <w:ind w:firstLine="0" w:firstLineChars="0"/>
              <w:jc w:val="center"/>
              <w:rPr>
                <w:rFonts w:ascii="宋体" w:hAnsi="宋体" w:cs="Arial"/>
                <w:kern w:val="0"/>
                <w:sz w:val="24"/>
                <w:szCs w:val="24"/>
              </w:rPr>
            </w:pPr>
            <w:r>
              <w:rPr>
                <w:rFonts w:ascii="宋体" w:hAnsi="宋体" w:cs="Arial"/>
                <w:kern w:val="0"/>
                <w:sz w:val="24"/>
                <w:szCs w:val="24"/>
              </w:rPr>
              <w:t>68</w:t>
            </w:r>
          </w:p>
        </w:tc>
        <w:tc>
          <w:tcPr>
            <w:tcW w:w="2680" w:type="dxa"/>
            <w:tcBorders>
              <w:top w:val="nil"/>
              <w:left w:val="nil"/>
              <w:bottom w:val="single" w:color="auto" w:sz="4" w:space="0"/>
              <w:right w:val="single" w:color="auto" w:sz="4" w:space="0"/>
            </w:tcBorders>
            <w:shd w:val="clear" w:color="auto" w:fill="auto"/>
            <w:noWrap/>
            <w:vAlign w:val="center"/>
          </w:tcPr>
          <w:p w14:paraId="2FB9A9AB">
            <w:pPr>
              <w:widowControl/>
              <w:ind w:firstLine="0" w:firstLineChars="0"/>
              <w:jc w:val="center"/>
              <w:rPr>
                <w:rFonts w:ascii="宋体" w:hAnsi="宋体" w:cs="Arial"/>
                <w:kern w:val="0"/>
                <w:sz w:val="24"/>
                <w:szCs w:val="24"/>
              </w:rPr>
            </w:pPr>
            <w:r>
              <w:rPr>
                <w:rFonts w:ascii="宋体" w:hAnsi="宋体" w:cs="Arial"/>
                <w:kern w:val="0"/>
                <w:sz w:val="24"/>
                <w:szCs w:val="24"/>
              </w:rPr>
              <w:t>上河城排水单元</w:t>
            </w:r>
          </w:p>
        </w:tc>
        <w:tc>
          <w:tcPr>
            <w:tcW w:w="1276" w:type="dxa"/>
            <w:tcBorders>
              <w:top w:val="nil"/>
              <w:left w:val="nil"/>
              <w:bottom w:val="single" w:color="auto" w:sz="4" w:space="0"/>
              <w:right w:val="single" w:color="auto" w:sz="4" w:space="0"/>
            </w:tcBorders>
            <w:shd w:val="clear" w:color="auto" w:fill="auto"/>
            <w:vAlign w:val="center"/>
          </w:tcPr>
          <w:p w14:paraId="00AEE4CF">
            <w:pPr>
              <w:widowControl/>
              <w:ind w:firstLine="0" w:firstLineChars="0"/>
              <w:jc w:val="center"/>
              <w:rPr>
                <w:rFonts w:ascii="宋体" w:hAnsi="宋体" w:cs="Arial"/>
                <w:kern w:val="0"/>
                <w:sz w:val="24"/>
                <w:szCs w:val="24"/>
              </w:rPr>
            </w:pPr>
            <w:r>
              <w:rPr>
                <w:rFonts w:ascii="宋体" w:hAnsi="宋体" w:cs="Arial"/>
                <w:kern w:val="0"/>
                <w:sz w:val="24"/>
                <w:szCs w:val="24"/>
              </w:rPr>
              <w:t>77.3%</w:t>
            </w:r>
          </w:p>
        </w:tc>
      </w:tr>
      <w:tr w14:paraId="555CF7F1">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3ABB7D7F">
            <w:pPr>
              <w:widowControl/>
              <w:ind w:firstLine="0" w:firstLineChars="0"/>
              <w:jc w:val="center"/>
              <w:rPr>
                <w:rFonts w:ascii="宋体" w:hAnsi="宋体" w:cs="Arial"/>
                <w:kern w:val="0"/>
                <w:sz w:val="24"/>
                <w:szCs w:val="24"/>
              </w:rPr>
            </w:pPr>
            <w:r>
              <w:rPr>
                <w:rFonts w:ascii="宋体" w:hAnsi="宋体" w:cs="Arial"/>
                <w:kern w:val="0"/>
                <w:sz w:val="24"/>
                <w:szCs w:val="24"/>
              </w:rPr>
              <w:t>17</w:t>
            </w:r>
          </w:p>
        </w:tc>
        <w:tc>
          <w:tcPr>
            <w:tcW w:w="3118" w:type="dxa"/>
            <w:tcBorders>
              <w:top w:val="nil"/>
              <w:left w:val="nil"/>
              <w:bottom w:val="single" w:color="auto" w:sz="4" w:space="0"/>
              <w:right w:val="single" w:color="auto" w:sz="4" w:space="0"/>
            </w:tcBorders>
            <w:shd w:val="clear" w:color="auto" w:fill="auto"/>
            <w:vAlign w:val="center"/>
          </w:tcPr>
          <w:p w14:paraId="45CA41AF">
            <w:pPr>
              <w:widowControl/>
              <w:ind w:firstLine="0" w:firstLineChars="0"/>
              <w:jc w:val="center"/>
              <w:rPr>
                <w:rFonts w:ascii="宋体" w:hAnsi="宋体" w:cs="Arial"/>
                <w:kern w:val="0"/>
                <w:sz w:val="24"/>
                <w:szCs w:val="24"/>
              </w:rPr>
            </w:pPr>
            <w:r>
              <w:rPr>
                <w:rFonts w:ascii="宋体" w:hAnsi="宋体" w:cs="Arial"/>
                <w:kern w:val="0"/>
                <w:sz w:val="24"/>
                <w:szCs w:val="24"/>
              </w:rPr>
              <w:t>富兴堡1排水单元</w:t>
            </w:r>
          </w:p>
        </w:tc>
        <w:tc>
          <w:tcPr>
            <w:tcW w:w="1389" w:type="dxa"/>
            <w:tcBorders>
              <w:top w:val="nil"/>
              <w:left w:val="nil"/>
              <w:bottom w:val="single" w:color="auto" w:sz="4" w:space="0"/>
              <w:right w:val="single" w:color="auto" w:sz="4" w:space="0"/>
            </w:tcBorders>
            <w:shd w:val="clear" w:color="auto" w:fill="auto"/>
            <w:vAlign w:val="center"/>
          </w:tcPr>
          <w:p w14:paraId="7B46BA86">
            <w:pPr>
              <w:widowControl/>
              <w:ind w:firstLine="0" w:firstLineChars="0"/>
              <w:jc w:val="center"/>
              <w:rPr>
                <w:rFonts w:ascii="宋体" w:hAnsi="宋体" w:cs="Arial"/>
                <w:kern w:val="0"/>
                <w:sz w:val="24"/>
                <w:szCs w:val="24"/>
              </w:rPr>
            </w:pPr>
            <w:r>
              <w:rPr>
                <w:rFonts w:ascii="宋体" w:hAnsi="宋体" w:cs="Arial"/>
                <w:kern w:val="0"/>
                <w:sz w:val="24"/>
                <w:szCs w:val="24"/>
              </w:rPr>
              <w:t>75.2%</w:t>
            </w:r>
          </w:p>
        </w:tc>
        <w:tc>
          <w:tcPr>
            <w:tcW w:w="708" w:type="dxa"/>
            <w:tcBorders>
              <w:top w:val="nil"/>
              <w:left w:val="nil"/>
              <w:bottom w:val="single" w:color="auto" w:sz="4" w:space="0"/>
              <w:right w:val="single" w:color="auto" w:sz="4" w:space="0"/>
            </w:tcBorders>
            <w:shd w:val="clear" w:color="auto" w:fill="auto"/>
            <w:noWrap/>
            <w:vAlign w:val="center"/>
          </w:tcPr>
          <w:p w14:paraId="636EB2B8">
            <w:pPr>
              <w:widowControl/>
              <w:ind w:firstLine="0" w:firstLineChars="0"/>
              <w:jc w:val="center"/>
              <w:rPr>
                <w:rFonts w:ascii="宋体" w:hAnsi="宋体" w:cs="Arial"/>
                <w:kern w:val="0"/>
                <w:sz w:val="24"/>
                <w:szCs w:val="24"/>
              </w:rPr>
            </w:pPr>
            <w:r>
              <w:rPr>
                <w:rFonts w:ascii="宋体" w:hAnsi="宋体" w:cs="Arial"/>
                <w:kern w:val="0"/>
                <w:sz w:val="24"/>
                <w:szCs w:val="24"/>
              </w:rPr>
              <w:t>69</w:t>
            </w:r>
          </w:p>
        </w:tc>
        <w:tc>
          <w:tcPr>
            <w:tcW w:w="2680" w:type="dxa"/>
            <w:tcBorders>
              <w:top w:val="nil"/>
              <w:left w:val="nil"/>
              <w:bottom w:val="single" w:color="auto" w:sz="4" w:space="0"/>
              <w:right w:val="single" w:color="auto" w:sz="4" w:space="0"/>
            </w:tcBorders>
            <w:shd w:val="clear" w:color="auto" w:fill="auto"/>
            <w:noWrap/>
            <w:vAlign w:val="center"/>
          </w:tcPr>
          <w:p w14:paraId="28CB296B">
            <w:pPr>
              <w:widowControl/>
              <w:ind w:firstLine="0" w:firstLineChars="0"/>
              <w:jc w:val="center"/>
              <w:rPr>
                <w:rFonts w:ascii="宋体" w:hAnsi="宋体" w:cs="Arial"/>
                <w:kern w:val="0"/>
                <w:sz w:val="24"/>
                <w:szCs w:val="24"/>
              </w:rPr>
            </w:pPr>
            <w:r>
              <w:rPr>
                <w:rFonts w:ascii="宋体" w:hAnsi="宋体" w:cs="Arial"/>
                <w:kern w:val="0"/>
                <w:sz w:val="24"/>
                <w:szCs w:val="24"/>
              </w:rPr>
              <w:t>高源排水单元</w:t>
            </w:r>
          </w:p>
        </w:tc>
        <w:tc>
          <w:tcPr>
            <w:tcW w:w="1276" w:type="dxa"/>
            <w:tcBorders>
              <w:top w:val="nil"/>
              <w:left w:val="nil"/>
              <w:bottom w:val="single" w:color="auto" w:sz="4" w:space="0"/>
              <w:right w:val="single" w:color="auto" w:sz="4" w:space="0"/>
            </w:tcBorders>
            <w:shd w:val="clear" w:color="auto" w:fill="auto"/>
            <w:vAlign w:val="center"/>
          </w:tcPr>
          <w:p w14:paraId="1500A8EB">
            <w:pPr>
              <w:widowControl/>
              <w:ind w:firstLine="0" w:firstLineChars="0"/>
              <w:jc w:val="center"/>
              <w:rPr>
                <w:rFonts w:ascii="宋体" w:hAnsi="宋体" w:cs="Arial"/>
                <w:kern w:val="0"/>
                <w:sz w:val="24"/>
                <w:szCs w:val="24"/>
              </w:rPr>
            </w:pPr>
            <w:r>
              <w:rPr>
                <w:rFonts w:ascii="宋体" w:hAnsi="宋体" w:cs="Arial"/>
                <w:kern w:val="0"/>
                <w:sz w:val="24"/>
                <w:szCs w:val="24"/>
              </w:rPr>
              <w:t>75.0%</w:t>
            </w:r>
          </w:p>
        </w:tc>
      </w:tr>
      <w:tr w14:paraId="272AFEFB">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6AA0B7B5">
            <w:pPr>
              <w:widowControl/>
              <w:ind w:firstLine="0" w:firstLineChars="0"/>
              <w:jc w:val="center"/>
              <w:rPr>
                <w:rFonts w:ascii="宋体" w:hAnsi="宋体" w:cs="Arial"/>
                <w:kern w:val="0"/>
                <w:sz w:val="24"/>
                <w:szCs w:val="24"/>
              </w:rPr>
            </w:pPr>
            <w:r>
              <w:rPr>
                <w:rFonts w:ascii="宋体" w:hAnsi="宋体" w:cs="Arial"/>
                <w:kern w:val="0"/>
                <w:sz w:val="24"/>
                <w:szCs w:val="24"/>
              </w:rPr>
              <w:t>18</w:t>
            </w:r>
          </w:p>
        </w:tc>
        <w:tc>
          <w:tcPr>
            <w:tcW w:w="3118" w:type="dxa"/>
            <w:tcBorders>
              <w:top w:val="nil"/>
              <w:left w:val="nil"/>
              <w:bottom w:val="single" w:color="auto" w:sz="4" w:space="0"/>
              <w:right w:val="single" w:color="auto" w:sz="4" w:space="0"/>
            </w:tcBorders>
            <w:shd w:val="clear" w:color="auto" w:fill="auto"/>
            <w:vAlign w:val="center"/>
          </w:tcPr>
          <w:p w14:paraId="32B48ED2">
            <w:pPr>
              <w:widowControl/>
              <w:ind w:firstLine="0" w:firstLineChars="0"/>
              <w:jc w:val="center"/>
              <w:rPr>
                <w:rFonts w:ascii="宋体" w:hAnsi="宋体" w:cs="Arial"/>
                <w:kern w:val="0"/>
                <w:sz w:val="24"/>
                <w:szCs w:val="24"/>
              </w:rPr>
            </w:pPr>
            <w:r>
              <w:rPr>
                <w:rFonts w:ascii="宋体" w:hAnsi="宋体" w:cs="Arial"/>
                <w:kern w:val="0"/>
                <w:sz w:val="24"/>
                <w:szCs w:val="24"/>
              </w:rPr>
              <w:t>富兴堡2排水单元</w:t>
            </w:r>
          </w:p>
        </w:tc>
        <w:tc>
          <w:tcPr>
            <w:tcW w:w="1389" w:type="dxa"/>
            <w:tcBorders>
              <w:top w:val="nil"/>
              <w:left w:val="nil"/>
              <w:bottom w:val="single" w:color="auto" w:sz="4" w:space="0"/>
              <w:right w:val="single" w:color="auto" w:sz="4" w:space="0"/>
            </w:tcBorders>
            <w:shd w:val="clear" w:color="auto" w:fill="auto"/>
            <w:vAlign w:val="center"/>
          </w:tcPr>
          <w:p w14:paraId="53D7CFA0">
            <w:pPr>
              <w:widowControl/>
              <w:ind w:firstLine="0" w:firstLineChars="0"/>
              <w:jc w:val="center"/>
              <w:rPr>
                <w:rFonts w:ascii="宋体" w:hAnsi="宋体" w:cs="Arial"/>
                <w:kern w:val="0"/>
                <w:sz w:val="24"/>
                <w:szCs w:val="24"/>
              </w:rPr>
            </w:pPr>
            <w:r>
              <w:rPr>
                <w:rFonts w:ascii="宋体" w:hAnsi="宋体" w:cs="Arial"/>
                <w:kern w:val="0"/>
                <w:sz w:val="24"/>
                <w:szCs w:val="24"/>
              </w:rPr>
              <w:t>69.0%</w:t>
            </w:r>
          </w:p>
        </w:tc>
        <w:tc>
          <w:tcPr>
            <w:tcW w:w="708" w:type="dxa"/>
            <w:tcBorders>
              <w:top w:val="nil"/>
              <w:left w:val="nil"/>
              <w:bottom w:val="single" w:color="auto" w:sz="4" w:space="0"/>
              <w:right w:val="single" w:color="auto" w:sz="4" w:space="0"/>
            </w:tcBorders>
            <w:shd w:val="clear" w:color="auto" w:fill="auto"/>
            <w:noWrap/>
            <w:vAlign w:val="center"/>
          </w:tcPr>
          <w:p w14:paraId="194515F4">
            <w:pPr>
              <w:widowControl/>
              <w:ind w:firstLine="0" w:firstLineChars="0"/>
              <w:jc w:val="center"/>
              <w:rPr>
                <w:rFonts w:ascii="宋体" w:hAnsi="宋体" w:cs="Arial"/>
                <w:kern w:val="0"/>
                <w:sz w:val="24"/>
                <w:szCs w:val="24"/>
              </w:rPr>
            </w:pPr>
            <w:r>
              <w:rPr>
                <w:rFonts w:ascii="宋体" w:hAnsi="宋体" w:cs="Arial"/>
                <w:kern w:val="0"/>
                <w:sz w:val="24"/>
                <w:szCs w:val="24"/>
              </w:rPr>
              <w:t>70</w:t>
            </w:r>
          </w:p>
        </w:tc>
        <w:tc>
          <w:tcPr>
            <w:tcW w:w="2680" w:type="dxa"/>
            <w:tcBorders>
              <w:top w:val="nil"/>
              <w:left w:val="nil"/>
              <w:bottom w:val="single" w:color="auto" w:sz="4" w:space="0"/>
              <w:right w:val="single" w:color="auto" w:sz="4" w:space="0"/>
            </w:tcBorders>
            <w:shd w:val="clear" w:color="auto" w:fill="auto"/>
            <w:noWrap/>
            <w:vAlign w:val="center"/>
          </w:tcPr>
          <w:p w14:paraId="0A67E98A">
            <w:pPr>
              <w:widowControl/>
              <w:ind w:firstLine="0" w:firstLineChars="0"/>
              <w:jc w:val="center"/>
              <w:rPr>
                <w:rFonts w:ascii="宋体" w:hAnsi="宋体" w:cs="Arial"/>
                <w:kern w:val="0"/>
                <w:sz w:val="24"/>
                <w:szCs w:val="24"/>
              </w:rPr>
            </w:pPr>
            <w:r>
              <w:rPr>
                <w:rFonts w:ascii="宋体" w:hAnsi="宋体" w:cs="Arial"/>
                <w:kern w:val="0"/>
                <w:sz w:val="24"/>
                <w:szCs w:val="24"/>
              </w:rPr>
              <w:t>斑竹村排水单元</w:t>
            </w:r>
          </w:p>
        </w:tc>
        <w:tc>
          <w:tcPr>
            <w:tcW w:w="1276" w:type="dxa"/>
            <w:tcBorders>
              <w:top w:val="nil"/>
              <w:left w:val="nil"/>
              <w:bottom w:val="single" w:color="auto" w:sz="4" w:space="0"/>
              <w:right w:val="single" w:color="auto" w:sz="4" w:space="0"/>
            </w:tcBorders>
            <w:shd w:val="clear" w:color="auto" w:fill="auto"/>
            <w:vAlign w:val="center"/>
          </w:tcPr>
          <w:p w14:paraId="4F7719F0">
            <w:pPr>
              <w:widowControl/>
              <w:ind w:firstLine="0" w:firstLineChars="0"/>
              <w:jc w:val="center"/>
              <w:rPr>
                <w:rFonts w:ascii="宋体" w:hAnsi="宋体" w:cs="Arial"/>
                <w:kern w:val="0"/>
                <w:sz w:val="24"/>
                <w:szCs w:val="24"/>
              </w:rPr>
            </w:pPr>
            <w:r>
              <w:rPr>
                <w:rFonts w:ascii="宋体" w:hAnsi="宋体" w:cs="Arial"/>
                <w:kern w:val="0"/>
                <w:sz w:val="24"/>
                <w:szCs w:val="24"/>
              </w:rPr>
              <w:t>62.9%</w:t>
            </w:r>
          </w:p>
        </w:tc>
      </w:tr>
      <w:tr w14:paraId="16A174A7">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3784A126">
            <w:pPr>
              <w:widowControl/>
              <w:ind w:firstLine="0" w:firstLineChars="0"/>
              <w:jc w:val="center"/>
              <w:rPr>
                <w:rFonts w:ascii="宋体" w:hAnsi="宋体" w:cs="Arial"/>
                <w:kern w:val="0"/>
                <w:sz w:val="24"/>
                <w:szCs w:val="24"/>
              </w:rPr>
            </w:pPr>
            <w:r>
              <w:rPr>
                <w:rFonts w:ascii="宋体" w:hAnsi="宋体" w:cs="Arial"/>
                <w:kern w:val="0"/>
                <w:sz w:val="24"/>
                <w:szCs w:val="24"/>
              </w:rPr>
              <w:t>19</w:t>
            </w:r>
          </w:p>
        </w:tc>
        <w:tc>
          <w:tcPr>
            <w:tcW w:w="3118" w:type="dxa"/>
            <w:tcBorders>
              <w:top w:val="nil"/>
              <w:left w:val="nil"/>
              <w:bottom w:val="single" w:color="auto" w:sz="4" w:space="0"/>
              <w:right w:val="single" w:color="auto" w:sz="4" w:space="0"/>
            </w:tcBorders>
            <w:shd w:val="clear" w:color="auto" w:fill="auto"/>
            <w:vAlign w:val="center"/>
          </w:tcPr>
          <w:p w14:paraId="762710F5">
            <w:pPr>
              <w:widowControl/>
              <w:ind w:firstLine="0" w:firstLineChars="0"/>
              <w:jc w:val="center"/>
              <w:rPr>
                <w:rFonts w:ascii="宋体" w:hAnsi="宋体" w:cs="Arial"/>
                <w:kern w:val="0"/>
                <w:sz w:val="24"/>
                <w:szCs w:val="24"/>
              </w:rPr>
            </w:pPr>
            <w:r>
              <w:rPr>
                <w:rFonts w:ascii="宋体" w:hAnsi="宋体" w:cs="Arial"/>
                <w:kern w:val="0"/>
                <w:sz w:val="24"/>
                <w:szCs w:val="24"/>
              </w:rPr>
              <w:t>富兴堡3排水单元</w:t>
            </w:r>
          </w:p>
        </w:tc>
        <w:tc>
          <w:tcPr>
            <w:tcW w:w="1389" w:type="dxa"/>
            <w:tcBorders>
              <w:top w:val="nil"/>
              <w:left w:val="nil"/>
              <w:bottom w:val="single" w:color="auto" w:sz="4" w:space="0"/>
              <w:right w:val="single" w:color="auto" w:sz="4" w:space="0"/>
            </w:tcBorders>
            <w:shd w:val="clear" w:color="auto" w:fill="auto"/>
            <w:vAlign w:val="center"/>
          </w:tcPr>
          <w:p w14:paraId="53C28542">
            <w:pPr>
              <w:widowControl/>
              <w:ind w:firstLine="0" w:firstLineChars="0"/>
              <w:jc w:val="center"/>
              <w:rPr>
                <w:rFonts w:ascii="宋体" w:hAnsi="宋体" w:cs="Arial"/>
                <w:kern w:val="0"/>
                <w:sz w:val="24"/>
                <w:szCs w:val="24"/>
              </w:rPr>
            </w:pPr>
            <w:r>
              <w:rPr>
                <w:rFonts w:ascii="宋体" w:hAnsi="宋体" w:cs="Arial"/>
                <w:kern w:val="0"/>
                <w:sz w:val="24"/>
                <w:szCs w:val="24"/>
              </w:rPr>
              <w:t>63.6%</w:t>
            </w:r>
          </w:p>
        </w:tc>
        <w:tc>
          <w:tcPr>
            <w:tcW w:w="708" w:type="dxa"/>
            <w:tcBorders>
              <w:top w:val="nil"/>
              <w:left w:val="nil"/>
              <w:bottom w:val="single" w:color="auto" w:sz="4" w:space="0"/>
              <w:right w:val="single" w:color="auto" w:sz="4" w:space="0"/>
            </w:tcBorders>
            <w:shd w:val="clear" w:color="auto" w:fill="auto"/>
            <w:noWrap/>
            <w:vAlign w:val="center"/>
          </w:tcPr>
          <w:p w14:paraId="687F115C">
            <w:pPr>
              <w:widowControl/>
              <w:ind w:firstLine="0" w:firstLineChars="0"/>
              <w:jc w:val="center"/>
              <w:rPr>
                <w:rFonts w:ascii="宋体" w:hAnsi="宋体" w:cs="Arial"/>
                <w:kern w:val="0"/>
                <w:sz w:val="24"/>
                <w:szCs w:val="24"/>
              </w:rPr>
            </w:pPr>
            <w:r>
              <w:rPr>
                <w:rFonts w:ascii="宋体" w:hAnsi="宋体" w:cs="Arial"/>
                <w:kern w:val="0"/>
                <w:sz w:val="24"/>
                <w:szCs w:val="24"/>
              </w:rPr>
              <w:t>71</w:t>
            </w:r>
          </w:p>
        </w:tc>
        <w:tc>
          <w:tcPr>
            <w:tcW w:w="2680" w:type="dxa"/>
            <w:tcBorders>
              <w:top w:val="nil"/>
              <w:left w:val="nil"/>
              <w:bottom w:val="single" w:color="auto" w:sz="4" w:space="0"/>
              <w:right w:val="single" w:color="auto" w:sz="4" w:space="0"/>
            </w:tcBorders>
            <w:shd w:val="clear" w:color="auto" w:fill="auto"/>
            <w:noWrap/>
            <w:vAlign w:val="center"/>
          </w:tcPr>
          <w:p w14:paraId="6DC9F533">
            <w:pPr>
              <w:widowControl/>
              <w:ind w:firstLine="0" w:firstLineChars="0"/>
              <w:jc w:val="center"/>
              <w:rPr>
                <w:rFonts w:ascii="宋体" w:hAnsi="宋体" w:cs="Arial"/>
                <w:kern w:val="0"/>
                <w:sz w:val="24"/>
                <w:szCs w:val="24"/>
              </w:rPr>
            </w:pPr>
            <w:r>
              <w:rPr>
                <w:rFonts w:ascii="宋体" w:hAnsi="宋体" w:cs="Arial"/>
                <w:kern w:val="0"/>
                <w:sz w:val="24"/>
                <w:szCs w:val="24"/>
              </w:rPr>
              <w:t>孝坑溪排水单元</w:t>
            </w:r>
          </w:p>
        </w:tc>
        <w:tc>
          <w:tcPr>
            <w:tcW w:w="1276" w:type="dxa"/>
            <w:tcBorders>
              <w:top w:val="nil"/>
              <w:left w:val="nil"/>
              <w:bottom w:val="single" w:color="auto" w:sz="4" w:space="0"/>
              <w:right w:val="single" w:color="auto" w:sz="4" w:space="0"/>
            </w:tcBorders>
            <w:shd w:val="clear" w:color="auto" w:fill="auto"/>
            <w:vAlign w:val="center"/>
          </w:tcPr>
          <w:p w14:paraId="77D08C40">
            <w:pPr>
              <w:widowControl/>
              <w:ind w:firstLine="0" w:firstLineChars="0"/>
              <w:jc w:val="center"/>
              <w:rPr>
                <w:rFonts w:ascii="宋体" w:hAnsi="宋体" w:cs="Arial"/>
                <w:kern w:val="0"/>
                <w:sz w:val="24"/>
                <w:szCs w:val="24"/>
              </w:rPr>
            </w:pPr>
            <w:r>
              <w:rPr>
                <w:rFonts w:ascii="宋体" w:hAnsi="宋体" w:cs="Arial"/>
                <w:kern w:val="0"/>
                <w:sz w:val="24"/>
                <w:szCs w:val="24"/>
              </w:rPr>
              <w:t>82.1%</w:t>
            </w:r>
          </w:p>
        </w:tc>
      </w:tr>
      <w:tr w14:paraId="01DF00DA">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B04F8D1">
            <w:pPr>
              <w:widowControl/>
              <w:ind w:firstLine="0" w:firstLineChars="0"/>
              <w:jc w:val="center"/>
              <w:rPr>
                <w:rFonts w:ascii="宋体" w:hAnsi="宋体" w:cs="Arial"/>
                <w:kern w:val="0"/>
                <w:sz w:val="24"/>
                <w:szCs w:val="24"/>
              </w:rPr>
            </w:pPr>
            <w:r>
              <w:rPr>
                <w:rFonts w:ascii="宋体" w:hAnsi="宋体" w:cs="Arial"/>
                <w:kern w:val="0"/>
                <w:sz w:val="24"/>
                <w:szCs w:val="24"/>
              </w:rPr>
              <w:t>20</w:t>
            </w:r>
          </w:p>
        </w:tc>
        <w:tc>
          <w:tcPr>
            <w:tcW w:w="3118" w:type="dxa"/>
            <w:tcBorders>
              <w:top w:val="nil"/>
              <w:left w:val="nil"/>
              <w:bottom w:val="single" w:color="auto" w:sz="4" w:space="0"/>
              <w:right w:val="single" w:color="auto" w:sz="4" w:space="0"/>
            </w:tcBorders>
            <w:shd w:val="clear" w:color="auto" w:fill="auto"/>
            <w:vAlign w:val="center"/>
          </w:tcPr>
          <w:p w14:paraId="18CA5513">
            <w:pPr>
              <w:widowControl/>
              <w:ind w:firstLine="0" w:firstLineChars="0"/>
              <w:jc w:val="center"/>
              <w:rPr>
                <w:rFonts w:ascii="宋体" w:hAnsi="宋体" w:cs="Arial"/>
                <w:kern w:val="0"/>
                <w:sz w:val="24"/>
                <w:szCs w:val="24"/>
              </w:rPr>
            </w:pPr>
            <w:r>
              <w:rPr>
                <w:rFonts w:ascii="宋体" w:hAnsi="宋体" w:cs="Arial"/>
                <w:kern w:val="0"/>
                <w:sz w:val="24"/>
                <w:szCs w:val="24"/>
              </w:rPr>
              <w:t>富兴堡4排水单元</w:t>
            </w:r>
          </w:p>
        </w:tc>
        <w:tc>
          <w:tcPr>
            <w:tcW w:w="1389" w:type="dxa"/>
            <w:tcBorders>
              <w:top w:val="nil"/>
              <w:left w:val="nil"/>
              <w:bottom w:val="single" w:color="auto" w:sz="4" w:space="0"/>
              <w:right w:val="single" w:color="auto" w:sz="4" w:space="0"/>
            </w:tcBorders>
            <w:shd w:val="clear" w:color="auto" w:fill="auto"/>
            <w:vAlign w:val="center"/>
          </w:tcPr>
          <w:p w14:paraId="252E8A01">
            <w:pPr>
              <w:widowControl/>
              <w:ind w:firstLine="0" w:firstLineChars="0"/>
              <w:jc w:val="center"/>
              <w:rPr>
                <w:rFonts w:ascii="宋体" w:hAnsi="宋体" w:cs="Arial"/>
                <w:kern w:val="0"/>
                <w:sz w:val="24"/>
                <w:szCs w:val="24"/>
              </w:rPr>
            </w:pPr>
            <w:r>
              <w:rPr>
                <w:rFonts w:ascii="宋体" w:hAnsi="宋体" w:cs="Arial"/>
                <w:kern w:val="0"/>
                <w:sz w:val="24"/>
                <w:szCs w:val="24"/>
              </w:rPr>
              <w:t>67.3%</w:t>
            </w:r>
          </w:p>
        </w:tc>
        <w:tc>
          <w:tcPr>
            <w:tcW w:w="708" w:type="dxa"/>
            <w:tcBorders>
              <w:top w:val="nil"/>
              <w:left w:val="nil"/>
              <w:bottom w:val="single" w:color="auto" w:sz="4" w:space="0"/>
              <w:right w:val="single" w:color="auto" w:sz="4" w:space="0"/>
            </w:tcBorders>
            <w:shd w:val="clear" w:color="auto" w:fill="auto"/>
            <w:noWrap/>
            <w:vAlign w:val="center"/>
          </w:tcPr>
          <w:p w14:paraId="05710283">
            <w:pPr>
              <w:widowControl/>
              <w:ind w:firstLine="0" w:firstLineChars="0"/>
              <w:jc w:val="center"/>
              <w:rPr>
                <w:rFonts w:ascii="宋体" w:hAnsi="宋体" w:cs="Arial"/>
                <w:kern w:val="0"/>
                <w:sz w:val="24"/>
                <w:szCs w:val="24"/>
              </w:rPr>
            </w:pPr>
            <w:r>
              <w:rPr>
                <w:rFonts w:ascii="宋体" w:hAnsi="宋体" w:cs="Arial"/>
                <w:kern w:val="0"/>
                <w:sz w:val="24"/>
                <w:szCs w:val="24"/>
              </w:rPr>
              <w:t>72</w:t>
            </w:r>
          </w:p>
        </w:tc>
        <w:tc>
          <w:tcPr>
            <w:tcW w:w="2680" w:type="dxa"/>
            <w:tcBorders>
              <w:top w:val="nil"/>
              <w:left w:val="nil"/>
              <w:bottom w:val="single" w:color="auto" w:sz="4" w:space="0"/>
              <w:right w:val="single" w:color="auto" w:sz="4" w:space="0"/>
            </w:tcBorders>
            <w:shd w:val="clear" w:color="auto" w:fill="auto"/>
            <w:noWrap/>
            <w:vAlign w:val="center"/>
          </w:tcPr>
          <w:p w14:paraId="5B7A0D44">
            <w:pPr>
              <w:widowControl/>
              <w:ind w:firstLine="0" w:firstLineChars="0"/>
              <w:jc w:val="center"/>
              <w:rPr>
                <w:rFonts w:ascii="宋体" w:hAnsi="宋体" w:cs="Arial"/>
                <w:kern w:val="0"/>
                <w:sz w:val="24"/>
                <w:szCs w:val="24"/>
              </w:rPr>
            </w:pPr>
            <w:r>
              <w:rPr>
                <w:rFonts w:ascii="宋体" w:hAnsi="宋体" w:cs="Arial"/>
                <w:kern w:val="0"/>
                <w:sz w:val="24"/>
                <w:szCs w:val="24"/>
              </w:rPr>
              <w:t>半路洋排水单元</w:t>
            </w:r>
          </w:p>
        </w:tc>
        <w:tc>
          <w:tcPr>
            <w:tcW w:w="1276" w:type="dxa"/>
            <w:tcBorders>
              <w:top w:val="nil"/>
              <w:left w:val="nil"/>
              <w:bottom w:val="single" w:color="auto" w:sz="4" w:space="0"/>
              <w:right w:val="single" w:color="auto" w:sz="4" w:space="0"/>
            </w:tcBorders>
            <w:shd w:val="clear" w:color="auto" w:fill="auto"/>
            <w:vAlign w:val="center"/>
          </w:tcPr>
          <w:p w14:paraId="745BD3F3">
            <w:pPr>
              <w:widowControl/>
              <w:ind w:firstLine="0" w:firstLineChars="0"/>
              <w:jc w:val="center"/>
              <w:rPr>
                <w:rFonts w:ascii="宋体" w:hAnsi="宋体" w:cs="Arial"/>
                <w:kern w:val="0"/>
                <w:sz w:val="24"/>
                <w:szCs w:val="24"/>
              </w:rPr>
            </w:pPr>
            <w:r>
              <w:rPr>
                <w:rFonts w:ascii="宋体" w:hAnsi="宋体" w:cs="Arial"/>
                <w:kern w:val="0"/>
                <w:sz w:val="24"/>
                <w:szCs w:val="24"/>
              </w:rPr>
              <w:t>80.4%</w:t>
            </w:r>
          </w:p>
        </w:tc>
      </w:tr>
      <w:tr w14:paraId="1E80A302">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63304A24">
            <w:pPr>
              <w:widowControl/>
              <w:ind w:firstLine="0" w:firstLineChars="0"/>
              <w:jc w:val="center"/>
              <w:rPr>
                <w:rFonts w:ascii="宋体" w:hAnsi="宋体" w:cs="Arial"/>
                <w:kern w:val="0"/>
                <w:sz w:val="24"/>
                <w:szCs w:val="24"/>
              </w:rPr>
            </w:pPr>
            <w:r>
              <w:rPr>
                <w:rFonts w:ascii="宋体" w:hAnsi="宋体" w:cs="Arial"/>
                <w:kern w:val="0"/>
                <w:sz w:val="24"/>
                <w:szCs w:val="24"/>
              </w:rPr>
              <w:t>21</w:t>
            </w:r>
          </w:p>
        </w:tc>
        <w:tc>
          <w:tcPr>
            <w:tcW w:w="3118" w:type="dxa"/>
            <w:tcBorders>
              <w:top w:val="nil"/>
              <w:left w:val="nil"/>
              <w:bottom w:val="single" w:color="auto" w:sz="4" w:space="0"/>
              <w:right w:val="single" w:color="auto" w:sz="4" w:space="0"/>
            </w:tcBorders>
            <w:shd w:val="clear" w:color="auto" w:fill="auto"/>
            <w:vAlign w:val="center"/>
          </w:tcPr>
          <w:p w14:paraId="4E992198">
            <w:pPr>
              <w:widowControl/>
              <w:ind w:firstLine="0" w:firstLineChars="0"/>
              <w:jc w:val="center"/>
              <w:rPr>
                <w:rFonts w:ascii="宋体" w:hAnsi="宋体" w:cs="Arial"/>
                <w:kern w:val="0"/>
                <w:sz w:val="24"/>
                <w:szCs w:val="24"/>
              </w:rPr>
            </w:pPr>
            <w:r>
              <w:rPr>
                <w:rFonts w:ascii="宋体" w:hAnsi="宋体" w:cs="Arial"/>
                <w:kern w:val="0"/>
                <w:sz w:val="24"/>
                <w:szCs w:val="24"/>
              </w:rPr>
              <w:t>村头排水单元</w:t>
            </w:r>
          </w:p>
        </w:tc>
        <w:tc>
          <w:tcPr>
            <w:tcW w:w="1389" w:type="dxa"/>
            <w:tcBorders>
              <w:top w:val="nil"/>
              <w:left w:val="nil"/>
              <w:bottom w:val="single" w:color="auto" w:sz="4" w:space="0"/>
              <w:right w:val="single" w:color="auto" w:sz="4" w:space="0"/>
            </w:tcBorders>
            <w:shd w:val="clear" w:color="auto" w:fill="auto"/>
            <w:vAlign w:val="center"/>
          </w:tcPr>
          <w:p w14:paraId="63AA9EE1">
            <w:pPr>
              <w:widowControl/>
              <w:ind w:firstLine="0" w:firstLineChars="0"/>
              <w:jc w:val="center"/>
              <w:rPr>
                <w:rFonts w:ascii="宋体" w:hAnsi="宋体" w:cs="Arial"/>
                <w:kern w:val="0"/>
                <w:sz w:val="24"/>
                <w:szCs w:val="24"/>
              </w:rPr>
            </w:pPr>
            <w:r>
              <w:rPr>
                <w:rFonts w:ascii="宋体" w:hAnsi="宋体" w:cs="Arial"/>
                <w:kern w:val="0"/>
                <w:sz w:val="24"/>
                <w:szCs w:val="24"/>
              </w:rPr>
              <w:t>72.3%</w:t>
            </w:r>
          </w:p>
        </w:tc>
        <w:tc>
          <w:tcPr>
            <w:tcW w:w="708" w:type="dxa"/>
            <w:tcBorders>
              <w:top w:val="nil"/>
              <w:left w:val="nil"/>
              <w:bottom w:val="single" w:color="auto" w:sz="4" w:space="0"/>
              <w:right w:val="single" w:color="auto" w:sz="4" w:space="0"/>
            </w:tcBorders>
            <w:shd w:val="clear" w:color="auto" w:fill="auto"/>
            <w:noWrap/>
            <w:vAlign w:val="center"/>
          </w:tcPr>
          <w:p w14:paraId="239E15B3">
            <w:pPr>
              <w:widowControl/>
              <w:ind w:firstLine="0" w:firstLineChars="0"/>
              <w:jc w:val="center"/>
              <w:rPr>
                <w:rFonts w:ascii="宋体" w:hAnsi="宋体" w:cs="Arial"/>
                <w:kern w:val="0"/>
                <w:sz w:val="24"/>
                <w:szCs w:val="24"/>
              </w:rPr>
            </w:pPr>
            <w:r>
              <w:rPr>
                <w:rFonts w:ascii="宋体" w:hAnsi="宋体" w:cs="Arial"/>
                <w:kern w:val="0"/>
                <w:sz w:val="24"/>
                <w:szCs w:val="24"/>
              </w:rPr>
              <w:t>73</w:t>
            </w:r>
          </w:p>
        </w:tc>
        <w:tc>
          <w:tcPr>
            <w:tcW w:w="2680" w:type="dxa"/>
            <w:tcBorders>
              <w:top w:val="nil"/>
              <w:left w:val="nil"/>
              <w:bottom w:val="single" w:color="auto" w:sz="4" w:space="0"/>
              <w:right w:val="single" w:color="auto" w:sz="4" w:space="0"/>
            </w:tcBorders>
            <w:shd w:val="clear" w:color="auto" w:fill="auto"/>
            <w:noWrap/>
            <w:vAlign w:val="center"/>
          </w:tcPr>
          <w:p w14:paraId="02B34674">
            <w:pPr>
              <w:widowControl/>
              <w:ind w:firstLine="0" w:firstLineChars="0"/>
              <w:jc w:val="center"/>
              <w:rPr>
                <w:rFonts w:ascii="宋体" w:hAnsi="宋体" w:cs="Arial"/>
                <w:kern w:val="0"/>
                <w:sz w:val="24"/>
                <w:szCs w:val="24"/>
              </w:rPr>
            </w:pPr>
            <w:r>
              <w:rPr>
                <w:rFonts w:ascii="宋体" w:hAnsi="宋体" w:cs="Arial"/>
                <w:kern w:val="0"/>
                <w:sz w:val="24"/>
                <w:szCs w:val="24"/>
              </w:rPr>
              <w:t>洋溪排水单元</w:t>
            </w:r>
          </w:p>
        </w:tc>
        <w:tc>
          <w:tcPr>
            <w:tcW w:w="1276" w:type="dxa"/>
            <w:tcBorders>
              <w:top w:val="nil"/>
              <w:left w:val="nil"/>
              <w:bottom w:val="single" w:color="auto" w:sz="4" w:space="0"/>
              <w:right w:val="single" w:color="auto" w:sz="4" w:space="0"/>
            </w:tcBorders>
            <w:shd w:val="clear" w:color="auto" w:fill="auto"/>
            <w:vAlign w:val="center"/>
          </w:tcPr>
          <w:p w14:paraId="32A27C20">
            <w:pPr>
              <w:widowControl/>
              <w:ind w:firstLine="0" w:firstLineChars="0"/>
              <w:jc w:val="center"/>
              <w:rPr>
                <w:rFonts w:ascii="宋体" w:hAnsi="宋体" w:cs="Arial"/>
                <w:kern w:val="0"/>
                <w:sz w:val="24"/>
                <w:szCs w:val="24"/>
              </w:rPr>
            </w:pPr>
            <w:r>
              <w:rPr>
                <w:rFonts w:ascii="宋体" w:hAnsi="宋体" w:cs="Arial"/>
                <w:kern w:val="0"/>
                <w:sz w:val="24"/>
                <w:szCs w:val="24"/>
              </w:rPr>
              <w:t>82.4%</w:t>
            </w:r>
          </w:p>
        </w:tc>
      </w:tr>
      <w:tr w14:paraId="5ED3866D">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7FA43DD">
            <w:pPr>
              <w:widowControl/>
              <w:ind w:firstLine="0" w:firstLineChars="0"/>
              <w:jc w:val="center"/>
              <w:rPr>
                <w:rFonts w:ascii="宋体" w:hAnsi="宋体" w:cs="Arial"/>
                <w:kern w:val="0"/>
                <w:sz w:val="24"/>
                <w:szCs w:val="24"/>
              </w:rPr>
            </w:pPr>
            <w:r>
              <w:rPr>
                <w:rFonts w:ascii="宋体" w:hAnsi="宋体" w:cs="Arial"/>
                <w:kern w:val="0"/>
                <w:sz w:val="24"/>
                <w:szCs w:val="24"/>
              </w:rPr>
              <w:t>22</w:t>
            </w:r>
          </w:p>
        </w:tc>
        <w:tc>
          <w:tcPr>
            <w:tcW w:w="3118" w:type="dxa"/>
            <w:tcBorders>
              <w:top w:val="nil"/>
              <w:left w:val="nil"/>
              <w:bottom w:val="single" w:color="auto" w:sz="4" w:space="0"/>
              <w:right w:val="single" w:color="auto" w:sz="4" w:space="0"/>
            </w:tcBorders>
            <w:shd w:val="clear" w:color="auto" w:fill="auto"/>
            <w:vAlign w:val="center"/>
          </w:tcPr>
          <w:p w14:paraId="670A61B4">
            <w:pPr>
              <w:widowControl/>
              <w:ind w:firstLine="0" w:firstLineChars="0"/>
              <w:jc w:val="center"/>
              <w:rPr>
                <w:rFonts w:ascii="宋体" w:hAnsi="宋体" w:cs="Arial"/>
                <w:kern w:val="0"/>
                <w:sz w:val="24"/>
                <w:szCs w:val="24"/>
              </w:rPr>
            </w:pPr>
            <w:r>
              <w:rPr>
                <w:rFonts w:ascii="宋体" w:hAnsi="宋体" w:cs="Arial"/>
                <w:kern w:val="0"/>
                <w:sz w:val="24"/>
                <w:szCs w:val="24"/>
              </w:rPr>
              <w:t>槐林排水单元</w:t>
            </w:r>
          </w:p>
        </w:tc>
        <w:tc>
          <w:tcPr>
            <w:tcW w:w="1389" w:type="dxa"/>
            <w:tcBorders>
              <w:top w:val="nil"/>
              <w:left w:val="nil"/>
              <w:bottom w:val="single" w:color="auto" w:sz="4" w:space="0"/>
              <w:right w:val="single" w:color="auto" w:sz="4" w:space="0"/>
            </w:tcBorders>
            <w:shd w:val="clear" w:color="auto" w:fill="auto"/>
            <w:vAlign w:val="center"/>
          </w:tcPr>
          <w:p w14:paraId="1453303A">
            <w:pPr>
              <w:widowControl/>
              <w:ind w:firstLine="0" w:firstLineChars="0"/>
              <w:jc w:val="center"/>
              <w:rPr>
                <w:rFonts w:ascii="宋体" w:hAnsi="宋体" w:cs="Arial"/>
                <w:kern w:val="0"/>
                <w:sz w:val="24"/>
                <w:szCs w:val="24"/>
              </w:rPr>
            </w:pPr>
            <w:r>
              <w:rPr>
                <w:rFonts w:ascii="宋体" w:hAnsi="宋体" w:cs="Arial"/>
                <w:kern w:val="0"/>
                <w:sz w:val="24"/>
                <w:szCs w:val="24"/>
              </w:rPr>
              <w:t>83.1%</w:t>
            </w:r>
          </w:p>
        </w:tc>
        <w:tc>
          <w:tcPr>
            <w:tcW w:w="708" w:type="dxa"/>
            <w:tcBorders>
              <w:top w:val="nil"/>
              <w:left w:val="nil"/>
              <w:bottom w:val="single" w:color="auto" w:sz="4" w:space="0"/>
              <w:right w:val="single" w:color="auto" w:sz="4" w:space="0"/>
            </w:tcBorders>
            <w:shd w:val="clear" w:color="auto" w:fill="auto"/>
            <w:noWrap/>
            <w:vAlign w:val="center"/>
          </w:tcPr>
          <w:p w14:paraId="566DE1E2">
            <w:pPr>
              <w:widowControl/>
              <w:ind w:firstLine="0" w:firstLineChars="0"/>
              <w:jc w:val="center"/>
              <w:rPr>
                <w:rFonts w:ascii="宋体" w:hAnsi="宋体" w:cs="Arial"/>
                <w:kern w:val="0"/>
                <w:sz w:val="24"/>
                <w:szCs w:val="24"/>
              </w:rPr>
            </w:pPr>
            <w:r>
              <w:rPr>
                <w:rFonts w:ascii="宋体" w:hAnsi="宋体" w:cs="Arial"/>
                <w:kern w:val="0"/>
                <w:sz w:val="24"/>
                <w:szCs w:val="24"/>
              </w:rPr>
              <w:t>74</w:t>
            </w:r>
          </w:p>
        </w:tc>
        <w:tc>
          <w:tcPr>
            <w:tcW w:w="2680" w:type="dxa"/>
            <w:tcBorders>
              <w:top w:val="nil"/>
              <w:left w:val="nil"/>
              <w:bottom w:val="single" w:color="auto" w:sz="4" w:space="0"/>
              <w:right w:val="single" w:color="auto" w:sz="4" w:space="0"/>
            </w:tcBorders>
            <w:shd w:val="clear" w:color="auto" w:fill="auto"/>
            <w:noWrap/>
            <w:vAlign w:val="center"/>
          </w:tcPr>
          <w:p w14:paraId="507F7983">
            <w:pPr>
              <w:widowControl/>
              <w:ind w:firstLine="0" w:firstLineChars="0"/>
              <w:jc w:val="center"/>
              <w:rPr>
                <w:rFonts w:ascii="宋体" w:hAnsi="宋体" w:cs="Arial"/>
                <w:kern w:val="0"/>
                <w:sz w:val="24"/>
                <w:szCs w:val="24"/>
              </w:rPr>
            </w:pPr>
            <w:r>
              <w:rPr>
                <w:rFonts w:ascii="宋体" w:hAnsi="宋体" w:cs="Arial"/>
                <w:kern w:val="0"/>
                <w:sz w:val="24"/>
                <w:szCs w:val="24"/>
              </w:rPr>
              <w:t>墩头溪排水单元</w:t>
            </w:r>
          </w:p>
        </w:tc>
        <w:tc>
          <w:tcPr>
            <w:tcW w:w="1276" w:type="dxa"/>
            <w:tcBorders>
              <w:top w:val="nil"/>
              <w:left w:val="nil"/>
              <w:bottom w:val="single" w:color="auto" w:sz="4" w:space="0"/>
              <w:right w:val="single" w:color="auto" w:sz="4" w:space="0"/>
            </w:tcBorders>
            <w:shd w:val="clear" w:color="auto" w:fill="auto"/>
            <w:vAlign w:val="center"/>
          </w:tcPr>
          <w:p w14:paraId="45656B55">
            <w:pPr>
              <w:widowControl/>
              <w:ind w:firstLine="0" w:firstLineChars="0"/>
              <w:jc w:val="center"/>
              <w:rPr>
                <w:rFonts w:ascii="宋体" w:hAnsi="宋体" w:cs="Arial"/>
                <w:kern w:val="0"/>
                <w:sz w:val="24"/>
                <w:szCs w:val="24"/>
              </w:rPr>
            </w:pPr>
            <w:r>
              <w:rPr>
                <w:rFonts w:ascii="宋体" w:hAnsi="宋体" w:cs="Arial"/>
                <w:kern w:val="0"/>
                <w:sz w:val="24"/>
                <w:szCs w:val="24"/>
              </w:rPr>
              <w:t>85.9%</w:t>
            </w:r>
          </w:p>
        </w:tc>
      </w:tr>
      <w:tr w14:paraId="19443F5B">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73D8E8AC">
            <w:pPr>
              <w:widowControl/>
              <w:ind w:firstLine="0" w:firstLineChars="0"/>
              <w:jc w:val="center"/>
              <w:rPr>
                <w:rFonts w:ascii="宋体" w:hAnsi="宋体" w:cs="Arial"/>
                <w:kern w:val="0"/>
                <w:sz w:val="24"/>
                <w:szCs w:val="24"/>
              </w:rPr>
            </w:pPr>
            <w:r>
              <w:rPr>
                <w:rFonts w:ascii="宋体" w:hAnsi="宋体" w:cs="Arial"/>
                <w:kern w:val="0"/>
                <w:sz w:val="24"/>
                <w:szCs w:val="24"/>
              </w:rPr>
              <w:t>23</w:t>
            </w:r>
          </w:p>
        </w:tc>
        <w:tc>
          <w:tcPr>
            <w:tcW w:w="3118" w:type="dxa"/>
            <w:tcBorders>
              <w:top w:val="nil"/>
              <w:left w:val="nil"/>
              <w:bottom w:val="single" w:color="auto" w:sz="4" w:space="0"/>
              <w:right w:val="single" w:color="auto" w:sz="4" w:space="0"/>
            </w:tcBorders>
            <w:shd w:val="clear" w:color="auto" w:fill="auto"/>
            <w:vAlign w:val="center"/>
          </w:tcPr>
          <w:p w14:paraId="63630FF5">
            <w:pPr>
              <w:widowControl/>
              <w:ind w:firstLine="0" w:firstLineChars="0"/>
              <w:jc w:val="center"/>
              <w:rPr>
                <w:rFonts w:ascii="宋体" w:hAnsi="宋体" w:cs="Arial"/>
                <w:kern w:val="0"/>
                <w:sz w:val="24"/>
                <w:szCs w:val="24"/>
              </w:rPr>
            </w:pPr>
            <w:r>
              <w:rPr>
                <w:rFonts w:ascii="宋体" w:hAnsi="宋体" w:cs="Arial"/>
                <w:kern w:val="0"/>
                <w:sz w:val="24"/>
                <w:szCs w:val="24"/>
              </w:rPr>
              <w:t>南山新城排水单元</w:t>
            </w:r>
          </w:p>
        </w:tc>
        <w:tc>
          <w:tcPr>
            <w:tcW w:w="1389" w:type="dxa"/>
            <w:tcBorders>
              <w:top w:val="nil"/>
              <w:left w:val="nil"/>
              <w:bottom w:val="single" w:color="auto" w:sz="4" w:space="0"/>
              <w:right w:val="single" w:color="auto" w:sz="4" w:space="0"/>
            </w:tcBorders>
            <w:shd w:val="clear" w:color="auto" w:fill="auto"/>
            <w:vAlign w:val="center"/>
          </w:tcPr>
          <w:p w14:paraId="6A682569">
            <w:pPr>
              <w:widowControl/>
              <w:ind w:firstLine="0" w:firstLineChars="0"/>
              <w:jc w:val="center"/>
              <w:rPr>
                <w:rFonts w:ascii="宋体" w:hAnsi="宋体" w:cs="Arial"/>
                <w:kern w:val="0"/>
                <w:sz w:val="24"/>
                <w:szCs w:val="24"/>
              </w:rPr>
            </w:pPr>
            <w:r>
              <w:rPr>
                <w:rFonts w:ascii="宋体" w:hAnsi="宋体" w:cs="Arial"/>
                <w:kern w:val="0"/>
                <w:sz w:val="24"/>
                <w:szCs w:val="24"/>
              </w:rPr>
              <w:t>74.6%</w:t>
            </w:r>
          </w:p>
        </w:tc>
        <w:tc>
          <w:tcPr>
            <w:tcW w:w="708" w:type="dxa"/>
            <w:tcBorders>
              <w:top w:val="nil"/>
              <w:left w:val="nil"/>
              <w:bottom w:val="single" w:color="auto" w:sz="4" w:space="0"/>
              <w:right w:val="single" w:color="auto" w:sz="4" w:space="0"/>
            </w:tcBorders>
            <w:shd w:val="clear" w:color="auto" w:fill="auto"/>
            <w:noWrap/>
            <w:vAlign w:val="center"/>
          </w:tcPr>
          <w:p w14:paraId="38700D34">
            <w:pPr>
              <w:widowControl/>
              <w:ind w:firstLine="0" w:firstLineChars="0"/>
              <w:jc w:val="center"/>
              <w:rPr>
                <w:rFonts w:ascii="宋体" w:hAnsi="宋体" w:cs="Arial"/>
                <w:kern w:val="0"/>
                <w:sz w:val="24"/>
                <w:szCs w:val="24"/>
              </w:rPr>
            </w:pPr>
            <w:r>
              <w:rPr>
                <w:rFonts w:ascii="宋体" w:hAnsi="宋体" w:cs="Arial"/>
                <w:kern w:val="0"/>
                <w:sz w:val="24"/>
                <w:szCs w:val="24"/>
              </w:rPr>
              <w:t>75</w:t>
            </w:r>
          </w:p>
        </w:tc>
        <w:tc>
          <w:tcPr>
            <w:tcW w:w="2680" w:type="dxa"/>
            <w:tcBorders>
              <w:top w:val="nil"/>
              <w:left w:val="nil"/>
              <w:bottom w:val="single" w:color="auto" w:sz="4" w:space="0"/>
              <w:right w:val="single" w:color="auto" w:sz="4" w:space="0"/>
            </w:tcBorders>
            <w:shd w:val="clear" w:color="auto" w:fill="auto"/>
            <w:noWrap/>
            <w:vAlign w:val="center"/>
          </w:tcPr>
          <w:p w14:paraId="3DB7587C">
            <w:pPr>
              <w:widowControl/>
              <w:ind w:firstLine="0" w:firstLineChars="0"/>
              <w:jc w:val="center"/>
              <w:rPr>
                <w:rFonts w:ascii="宋体" w:hAnsi="宋体" w:cs="Arial"/>
                <w:kern w:val="0"/>
                <w:sz w:val="24"/>
                <w:szCs w:val="24"/>
              </w:rPr>
            </w:pPr>
            <w:r>
              <w:rPr>
                <w:rFonts w:ascii="宋体" w:hAnsi="宋体" w:cs="Arial"/>
                <w:kern w:val="0"/>
                <w:sz w:val="24"/>
                <w:szCs w:val="24"/>
              </w:rPr>
              <w:t>金桥路排水单元</w:t>
            </w:r>
          </w:p>
        </w:tc>
        <w:tc>
          <w:tcPr>
            <w:tcW w:w="1276" w:type="dxa"/>
            <w:tcBorders>
              <w:top w:val="nil"/>
              <w:left w:val="nil"/>
              <w:bottom w:val="single" w:color="auto" w:sz="4" w:space="0"/>
              <w:right w:val="single" w:color="auto" w:sz="4" w:space="0"/>
            </w:tcBorders>
            <w:shd w:val="clear" w:color="auto" w:fill="auto"/>
            <w:vAlign w:val="center"/>
          </w:tcPr>
          <w:p w14:paraId="3DCA69A9">
            <w:pPr>
              <w:widowControl/>
              <w:ind w:firstLine="0" w:firstLineChars="0"/>
              <w:jc w:val="center"/>
              <w:rPr>
                <w:rFonts w:ascii="宋体" w:hAnsi="宋体" w:cs="Arial"/>
                <w:kern w:val="0"/>
                <w:sz w:val="24"/>
                <w:szCs w:val="24"/>
              </w:rPr>
            </w:pPr>
            <w:r>
              <w:rPr>
                <w:rFonts w:ascii="宋体" w:hAnsi="宋体" w:cs="Arial"/>
                <w:kern w:val="0"/>
                <w:sz w:val="24"/>
                <w:szCs w:val="24"/>
              </w:rPr>
              <w:t>77.7%</w:t>
            </w:r>
          </w:p>
        </w:tc>
      </w:tr>
      <w:tr w14:paraId="587D37B4">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6A3F3A0E">
            <w:pPr>
              <w:widowControl/>
              <w:ind w:firstLine="0" w:firstLineChars="0"/>
              <w:jc w:val="center"/>
              <w:rPr>
                <w:rFonts w:ascii="宋体" w:hAnsi="宋体" w:cs="Arial"/>
                <w:kern w:val="0"/>
                <w:sz w:val="24"/>
                <w:szCs w:val="24"/>
              </w:rPr>
            </w:pPr>
            <w:r>
              <w:rPr>
                <w:rFonts w:ascii="宋体" w:hAnsi="宋体" w:cs="Arial"/>
                <w:kern w:val="0"/>
                <w:sz w:val="24"/>
                <w:szCs w:val="24"/>
              </w:rPr>
              <w:t>24</w:t>
            </w:r>
          </w:p>
        </w:tc>
        <w:tc>
          <w:tcPr>
            <w:tcW w:w="3118" w:type="dxa"/>
            <w:tcBorders>
              <w:top w:val="nil"/>
              <w:left w:val="nil"/>
              <w:bottom w:val="single" w:color="auto" w:sz="4" w:space="0"/>
              <w:right w:val="single" w:color="auto" w:sz="4" w:space="0"/>
            </w:tcBorders>
            <w:shd w:val="clear" w:color="auto" w:fill="auto"/>
            <w:vAlign w:val="center"/>
          </w:tcPr>
          <w:p w14:paraId="16A32D8A">
            <w:pPr>
              <w:widowControl/>
              <w:ind w:firstLine="0" w:firstLineChars="0"/>
              <w:jc w:val="center"/>
              <w:rPr>
                <w:rFonts w:ascii="宋体" w:hAnsi="宋体" w:cs="Arial"/>
                <w:kern w:val="0"/>
                <w:sz w:val="24"/>
                <w:szCs w:val="24"/>
              </w:rPr>
            </w:pPr>
            <w:r>
              <w:rPr>
                <w:rFonts w:ascii="宋体" w:hAnsi="宋体" w:cs="Arial"/>
                <w:kern w:val="0"/>
                <w:sz w:val="24"/>
                <w:szCs w:val="24"/>
              </w:rPr>
              <w:t>汽车城排水单元</w:t>
            </w:r>
          </w:p>
        </w:tc>
        <w:tc>
          <w:tcPr>
            <w:tcW w:w="1389" w:type="dxa"/>
            <w:tcBorders>
              <w:top w:val="nil"/>
              <w:left w:val="nil"/>
              <w:bottom w:val="single" w:color="auto" w:sz="4" w:space="0"/>
              <w:right w:val="single" w:color="auto" w:sz="4" w:space="0"/>
            </w:tcBorders>
            <w:shd w:val="clear" w:color="auto" w:fill="auto"/>
            <w:vAlign w:val="center"/>
          </w:tcPr>
          <w:p w14:paraId="0D16C3AE">
            <w:pPr>
              <w:widowControl/>
              <w:ind w:firstLine="0" w:firstLineChars="0"/>
              <w:jc w:val="center"/>
              <w:rPr>
                <w:rFonts w:ascii="宋体" w:hAnsi="宋体" w:cs="Arial"/>
                <w:kern w:val="0"/>
                <w:sz w:val="24"/>
                <w:szCs w:val="24"/>
              </w:rPr>
            </w:pPr>
            <w:r>
              <w:rPr>
                <w:rFonts w:ascii="宋体" w:hAnsi="宋体" w:cs="Arial"/>
                <w:kern w:val="0"/>
                <w:sz w:val="24"/>
                <w:szCs w:val="24"/>
              </w:rPr>
              <w:t>75.4%</w:t>
            </w:r>
          </w:p>
        </w:tc>
        <w:tc>
          <w:tcPr>
            <w:tcW w:w="708" w:type="dxa"/>
            <w:tcBorders>
              <w:top w:val="nil"/>
              <w:left w:val="nil"/>
              <w:bottom w:val="single" w:color="auto" w:sz="4" w:space="0"/>
              <w:right w:val="single" w:color="auto" w:sz="4" w:space="0"/>
            </w:tcBorders>
            <w:shd w:val="clear" w:color="auto" w:fill="auto"/>
            <w:noWrap/>
            <w:vAlign w:val="center"/>
          </w:tcPr>
          <w:p w14:paraId="3D5D94B2">
            <w:pPr>
              <w:widowControl/>
              <w:ind w:firstLine="0" w:firstLineChars="0"/>
              <w:jc w:val="center"/>
              <w:rPr>
                <w:rFonts w:ascii="宋体" w:hAnsi="宋体" w:cs="Arial"/>
                <w:kern w:val="0"/>
                <w:sz w:val="24"/>
                <w:szCs w:val="24"/>
              </w:rPr>
            </w:pPr>
            <w:r>
              <w:rPr>
                <w:rFonts w:ascii="宋体" w:hAnsi="宋体" w:cs="Arial"/>
                <w:kern w:val="0"/>
                <w:sz w:val="24"/>
                <w:szCs w:val="24"/>
              </w:rPr>
              <w:t>76</w:t>
            </w:r>
          </w:p>
        </w:tc>
        <w:tc>
          <w:tcPr>
            <w:tcW w:w="2680" w:type="dxa"/>
            <w:tcBorders>
              <w:top w:val="nil"/>
              <w:left w:val="nil"/>
              <w:bottom w:val="single" w:color="auto" w:sz="4" w:space="0"/>
              <w:right w:val="single" w:color="auto" w:sz="4" w:space="0"/>
            </w:tcBorders>
            <w:shd w:val="clear" w:color="auto" w:fill="auto"/>
            <w:noWrap/>
            <w:vAlign w:val="center"/>
          </w:tcPr>
          <w:p w14:paraId="4A1E4A21">
            <w:pPr>
              <w:widowControl/>
              <w:ind w:firstLine="0" w:firstLineChars="0"/>
              <w:jc w:val="center"/>
              <w:rPr>
                <w:rFonts w:ascii="宋体" w:hAnsi="宋体" w:cs="Arial"/>
                <w:kern w:val="0"/>
                <w:sz w:val="24"/>
                <w:szCs w:val="24"/>
              </w:rPr>
            </w:pPr>
            <w:r>
              <w:rPr>
                <w:rFonts w:ascii="宋体" w:hAnsi="宋体" w:cs="Arial"/>
                <w:kern w:val="0"/>
                <w:sz w:val="24"/>
                <w:szCs w:val="24"/>
              </w:rPr>
              <w:t>外家溪排水单元</w:t>
            </w:r>
          </w:p>
        </w:tc>
        <w:tc>
          <w:tcPr>
            <w:tcW w:w="1276" w:type="dxa"/>
            <w:tcBorders>
              <w:top w:val="nil"/>
              <w:left w:val="nil"/>
              <w:bottom w:val="single" w:color="auto" w:sz="4" w:space="0"/>
              <w:right w:val="single" w:color="auto" w:sz="4" w:space="0"/>
            </w:tcBorders>
            <w:shd w:val="clear" w:color="auto" w:fill="auto"/>
            <w:vAlign w:val="center"/>
          </w:tcPr>
          <w:p w14:paraId="070EA930">
            <w:pPr>
              <w:widowControl/>
              <w:ind w:firstLine="0" w:firstLineChars="0"/>
              <w:jc w:val="center"/>
              <w:rPr>
                <w:rFonts w:ascii="宋体" w:hAnsi="宋体" w:cs="Arial"/>
                <w:kern w:val="0"/>
                <w:sz w:val="24"/>
                <w:szCs w:val="24"/>
              </w:rPr>
            </w:pPr>
            <w:r>
              <w:rPr>
                <w:rFonts w:ascii="宋体" w:hAnsi="宋体" w:cs="Arial"/>
                <w:kern w:val="0"/>
                <w:sz w:val="24"/>
                <w:szCs w:val="24"/>
              </w:rPr>
              <w:t>81.6%</w:t>
            </w:r>
          </w:p>
        </w:tc>
      </w:tr>
      <w:tr w14:paraId="75254F49">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56CEE71B">
            <w:pPr>
              <w:widowControl/>
              <w:ind w:firstLine="0" w:firstLineChars="0"/>
              <w:jc w:val="center"/>
              <w:rPr>
                <w:rFonts w:ascii="宋体" w:hAnsi="宋体" w:cs="Arial"/>
                <w:kern w:val="0"/>
                <w:sz w:val="24"/>
                <w:szCs w:val="24"/>
              </w:rPr>
            </w:pPr>
            <w:r>
              <w:rPr>
                <w:rFonts w:ascii="宋体" w:hAnsi="宋体" w:cs="Arial"/>
                <w:kern w:val="0"/>
                <w:sz w:val="24"/>
                <w:szCs w:val="24"/>
              </w:rPr>
              <w:t>25</w:t>
            </w:r>
          </w:p>
        </w:tc>
        <w:tc>
          <w:tcPr>
            <w:tcW w:w="3118" w:type="dxa"/>
            <w:tcBorders>
              <w:top w:val="nil"/>
              <w:left w:val="nil"/>
              <w:bottom w:val="single" w:color="auto" w:sz="4" w:space="0"/>
              <w:right w:val="single" w:color="auto" w:sz="4" w:space="0"/>
            </w:tcBorders>
            <w:shd w:val="clear" w:color="auto" w:fill="auto"/>
            <w:vAlign w:val="center"/>
          </w:tcPr>
          <w:p w14:paraId="5A84D42B">
            <w:pPr>
              <w:widowControl/>
              <w:ind w:firstLine="0" w:firstLineChars="0"/>
              <w:jc w:val="center"/>
              <w:rPr>
                <w:rFonts w:ascii="宋体" w:hAnsi="宋体" w:cs="Arial"/>
                <w:kern w:val="0"/>
                <w:sz w:val="24"/>
                <w:szCs w:val="24"/>
              </w:rPr>
            </w:pPr>
            <w:r>
              <w:rPr>
                <w:rFonts w:ascii="宋体" w:hAnsi="宋体" w:cs="Arial"/>
                <w:kern w:val="0"/>
                <w:sz w:val="24"/>
                <w:szCs w:val="24"/>
              </w:rPr>
              <w:t>荆东排水单元</w:t>
            </w:r>
          </w:p>
        </w:tc>
        <w:tc>
          <w:tcPr>
            <w:tcW w:w="1389" w:type="dxa"/>
            <w:tcBorders>
              <w:top w:val="nil"/>
              <w:left w:val="nil"/>
              <w:bottom w:val="single" w:color="auto" w:sz="4" w:space="0"/>
              <w:right w:val="single" w:color="auto" w:sz="4" w:space="0"/>
            </w:tcBorders>
            <w:shd w:val="clear" w:color="auto" w:fill="auto"/>
            <w:vAlign w:val="center"/>
          </w:tcPr>
          <w:p w14:paraId="34CC5BE6">
            <w:pPr>
              <w:widowControl/>
              <w:ind w:firstLine="0" w:firstLineChars="0"/>
              <w:jc w:val="center"/>
              <w:rPr>
                <w:rFonts w:ascii="宋体" w:hAnsi="宋体" w:cs="Arial"/>
                <w:kern w:val="0"/>
                <w:sz w:val="24"/>
                <w:szCs w:val="24"/>
              </w:rPr>
            </w:pPr>
            <w:r>
              <w:rPr>
                <w:rFonts w:ascii="宋体" w:hAnsi="宋体" w:cs="Arial"/>
                <w:kern w:val="0"/>
                <w:sz w:val="24"/>
                <w:szCs w:val="24"/>
              </w:rPr>
              <w:t>82.2%</w:t>
            </w:r>
          </w:p>
        </w:tc>
        <w:tc>
          <w:tcPr>
            <w:tcW w:w="708" w:type="dxa"/>
            <w:tcBorders>
              <w:top w:val="nil"/>
              <w:left w:val="nil"/>
              <w:bottom w:val="single" w:color="auto" w:sz="4" w:space="0"/>
              <w:right w:val="single" w:color="auto" w:sz="4" w:space="0"/>
            </w:tcBorders>
            <w:shd w:val="clear" w:color="auto" w:fill="auto"/>
            <w:noWrap/>
            <w:vAlign w:val="center"/>
          </w:tcPr>
          <w:p w14:paraId="1EEE5E13">
            <w:pPr>
              <w:widowControl/>
              <w:ind w:firstLine="0" w:firstLineChars="0"/>
              <w:jc w:val="center"/>
              <w:rPr>
                <w:rFonts w:ascii="宋体" w:hAnsi="宋体" w:cs="Arial"/>
                <w:kern w:val="0"/>
                <w:sz w:val="24"/>
                <w:szCs w:val="24"/>
              </w:rPr>
            </w:pPr>
            <w:r>
              <w:rPr>
                <w:rFonts w:ascii="宋体" w:hAnsi="宋体" w:cs="Arial"/>
                <w:kern w:val="0"/>
                <w:sz w:val="24"/>
                <w:szCs w:val="24"/>
              </w:rPr>
              <w:t>77</w:t>
            </w:r>
          </w:p>
        </w:tc>
        <w:tc>
          <w:tcPr>
            <w:tcW w:w="2680" w:type="dxa"/>
            <w:tcBorders>
              <w:top w:val="nil"/>
              <w:left w:val="nil"/>
              <w:bottom w:val="single" w:color="auto" w:sz="4" w:space="0"/>
              <w:right w:val="single" w:color="auto" w:sz="4" w:space="0"/>
            </w:tcBorders>
            <w:shd w:val="clear" w:color="auto" w:fill="auto"/>
            <w:noWrap/>
            <w:vAlign w:val="center"/>
          </w:tcPr>
          <w:p w14:paraId="399BB860">
            <w:pPr>
              <w:widowControl/>
              <w:ind w:firstLine="0" w:firstLineChars="0"/>
              <w:jc w:val="center"/>
              <w:rPr>
                <w:rFonts w:ascii="宋体" w:hAnsi="宋体" w:cs="Arial"/>
                <w:kern w:val="0"/>
                <w:sz w:val="24"/>
                <w:szCs w:val="24"/>
              </w:rPr>
            </w:pPr>
            <w:r>
              <w:rPr>
                <w:rFonts w:ascii="宋体" w:hAnsi="宋体" w:cs="Arial"/>
                <w:kern w:val="0"/>
                <w:sz w:val="24"/>
                <w:szCs w:val="24"/>
              </w:rPr>
              <w:t>林业溪排水单元</w:t>
            </w:r>
          </w:p>
        </w:tc>
        <w:tc>
          <w:tcPr>
            <w:tcW w:w="1276" w:type="dxa"/>
            <w:tcBorders>
              <w:top w:val="nil"/>
              <w:left w:val="nil"/>
              <w:bottom w:val="single" w:color="auto" w:sz="4" w:space="0"/>
              <w:right w:val="single" w:color="auto" w:sz="4" w:space="0"/>
            </w:tcBorders>
            <w:shd w:val="clear" w:color="auto" w:fill="auto"/>
            <w:vAlign w:val="center"/>
          </w:tcPr>
          <w:p w14:paraId="25FCFA91">
            <w:pPr>
              <w:widowControl/>
              <w:ind w:firstLine="0" w:firstLineChars="0"/>
              <w:jc w:val="center"/>
              <w:rPr>
                <w:rFonts w:ascii="宋体" w:hAnsi="宋体" w:cs="Arial"/>
                <w:kern w:val="0"/>
                <w:sz w:val="24"/>
                <w:szCs w:val="24"/>
              </w:rPr>
            </w:pPr>
            <w:r>
              <w:rPr>
                <w:rFonts w:ascii="宋体" w:hAnsi="宋体" w:cs="Arial"/>
                <w:kern w:val="0"/>
                <w:sz w:val="24"/>
                <w:szCs w:val="24"/>
              </w:rPr>
              <w:t>80.5%</w:t>
            </w:r>
          </w:p>
        </w:tc>
      </w:tr>
      <w:tr w14:paraId="08418C7B">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335F8FB8">
            <w:pPr>
              <w:widowControl/>
              <w:ind w:firstLine="0" w:firstLineChars="0"/>
              <w:jc w:val="center"/>
              <w:rPr>
                <w:rFonts w:ascii="宋体" w:hAnsi="宋体" w:cs="Arial"/>
                <w:kern w:val="0"/>
                <w:sz w:val="24"/>
                <w:szCs w:val="24"/>
              </w:rPr>
            </w:pPr>
            <w:r>
              <w:rPr>
                <w:rFonts w:ascii="宋体" w:hAnsi="宋体" w:cs="Arial"/>
                <w:kern w:val="0"/>
                <w:sz w:val="24"/>
                <w:szCs w:val="24"/>
              </w:rPr>
              <w:t>26</w:t>
            </w:r>
          </w:p>
        </w:tc>
        <w:tc>
          <w:tcPr>
            <w:tcW w:w="3118" w:type="dxa"/>
            <w:tcBorders>
              <w:top w:val="nil"/>
              <w:left w:val="nil"/>
              <w:bottom w:val="single" w:color="auto" w:sz="4" w:space="0"/>
              <w:right w:val="single" w:color="auto" w:sz="4" w:space="0"/>
            </w:tcBorders>
            <w:shd w:val="clear" w:color="auto" w:fill="auto"/>
            <w:vAlign w:val="center"/>
          </w:tcPr>
          <w:p w14:paraId="74194468">
            <w:pPr>
              <w:widowControl/>
              <w:ind w:firstLine="0" w:firstLineChars="0"/>
              <w:jc w:val="center"/>
              <w:rPr>
                <w:rFonts w:ascii="宋体" w:hAnsi="宋体" w:cs="Arial"/>
                <w:kern w:val="0"/>
                <w:sz w:val="24"/>
                <w:szCs w:val="24"/>
              </w:rPr>
            </w:pPr>
            <w:r>
              <w:rPr>
                <w:rFonts w:ascii="宋体" w:hAnsi="宋体" w:cs="Arial"/>
                <w:kern w:val="0"/>
                <w:sz w:val="24"/>
                <w:szCs w:val="24"/>
              </w:rPr>
              <w:t>荆东园区1排水单元</w:t>
            </w:r>
          </w:p>
        </w:tc>
        <w:tc>
          <w:tcPr>
            <w:tcW w:w="1389" w:type="dxa"/>
            <w:tcBorders>
              <w:top w:val="nil"/>
              <w:left w:val="nil"/>
              <w:bottom w:val="single" w:color="auto" w:sz="4" w:space="0"/>
              <w:right w:val="single" w:color="auto" w:sz="4" w:space="0"/>
            </w:tcBorders>
            <w:shd w:val="clear" w:color="auto" w:fill="auto"/>
            <w:vAlign w:val="center"/>
          </w:tcPr>
          <w:p w14:paraId="08623D53">
            <w:pPr>
              <w:widowControl/>
              <w:ind w:firstLine="0" w:firstLineChars="0"/>
              <w:jc w:val="center"/>
              <w:rPr>
                <w:rFonts w:ascii="宋体" w:hAnsi="宋体" w:cs="Arial"/>
                <w:kern w:val="0"/>
                <w:sz w:val="24"/>
                <w:szCs w:val="24"/>
              </w:rPr>
            </w:pPr>
            <w:r>
              <w:rPr>
                <w:rFonts w:ascii="宋体" w:hAnsi="宋体" w:cs="Arial"/>
                <w:kern w:val="0"/>
                <w:sz w:val="24"/>
                <w:szCs w:val="24"/>
              </w:rPr>
              <w:t>63.8%</w:t>
            </w:r>
          </w:p>
        </w:tc>
        <w:tc>
          <w:tcPr>
            <w:tcW w:w="708" w:type="dxa"/>
            <w:tcBorders>
              <w:top w:val="nil"/>
              <w:left w:val="nil"/>
              <w:bottom w:val="single" w:color="auto" w:sz="4" w:space="0"/>
              <w:right w:val="single" w:color="auto" w:sz="4" w:space="0"/>
            </w:tcBorders>
            <w:shd w:val="clear" w:color="auto" w:fill="auto"/>
            <w:noWrap/>
            <w:vAlign w:val="center"/>
          </w:tcPr>
          <w:p w14:paraId="3BD7503A">
            <w:pPr>
              <w:widowControl/>
              <w:ind w:firstLine="0" w:firstLineChars="0"/>
              <w:jc w:val="center"/>
              <w:rPr>
                <w:rFonts w:ascii="宋体" w:hAnsi="宋体" w:cs="Arial"/>
                <w:kern w:val="0"/>
                <w:sz w:val="24"/>
                <w:szCs w:val="24"/>
              </w:rPr>
            </w:pPr>
            <w:r>
              <w:rPr>
                <w:rFonts w:ascii="宋体" w:hAnsi="宋体" w:cs="Arial"/>
                <w:kern w:val="0"/>
                <w:sz w:val="24"/>
                <w:szCs w:val="24"/>
              </w:rPr>
              <w:t>78</w:t>
            </w:r>
          </w:p>
        </w:tc>
        <w:tc>
          <w:tcPr>
            <w:tcW w:w="2680" w:type="dxa"/>
            <w:tcBorders>
              <w:top w:val="nil"/>
              <w:left w:val="nil"/>
              <w:bottom w:val="single" w:color="auto" w:sz="4" w:space="0"/>
              <w:right w:val="single" w:color="auto" w:sz="4" w:space="0"/>
            </w:tcBorders>
            <w:shd w:val="clear" w:color="auto" w:fill="auto"/>
            <w:noWrap/>
            <w:vAlign w:val="center"/>
          </w:tcPr>
          <w:p w14:paraId="4E2D87F4">
            <w:pPr>
              <w:widowControl/>
              <w:ind w:firstLine="0" w:firstLineChars="0"/>
              <w:jc w:val="center"/>
              <w:rPr>
                <w:rFonts w:ascii="宋体" w:hAnsi="宋体" w:cs="Arial"/>
                <w:kern w:val="0"/>
                <w:sz w:val="24"/>
                <w:szCs w:val="24"/>
              </w:rPr>
            </w:pPr>
            <w:r>
              <w:rPr>
                <w:rFonts w:ascii="宋体" w:hAnsi="宋体" w:cs="Arial"/>
                <w:kern w:val="0"/>
                <w:sz w:val="24"/>
                <w:szCs w:val="24"/>
              </w:rPr>
              <w:t>仙堂山排水单元</w:t>
            </w:r>
          </w:p>
        </w:tc>
        <w:tc>
          <w:tcPr>
            <w:tcW w:w="1276" w:type="dxa"/>
            <w:tcBorders>
              <w:top w:val="nil"/>
              <w:left w:val="nil"/>
              <w:bottom w:val="single" w:color="auto" w:sz="4" w:space="0"/>
              <w:right w:val="single" w:color="auto" w:sz="4" w:space="0"/>
            </w:tcBorders>
            <w:shd w:val="clear" w:color="auto" w:fill="auto"/>
            <w:vAlign w:val="center"/>
          </w:tcPr>
          <w:p w14:paraId="43C56F09">
            <w:pPr>
              <w:widowControl/>
              <w:ind w:firstLine="0" w:firstLineChars="0"/>
              <w:jc w:val="center"/>
              <w:rPr>
                <w:rFonts w:ascii="宋体" w:hAnsi="宋体" w:cs="Arial"/>
                <w:kern w:val="0"/>
                <w:sz w:val="24"/>
                <w:szCs w:val="24"/>
              </w:rPr>
            </w:pPr>
            <w:r>
              <w:rPr>
                <w:rFonts w:ascii="宋体" w:hAnsi="宋体" w:cs="Arial"/>
                <w:kern w:val="0"/>
                <w:sz w:val="24"/>
                <w:szCs w:val="24"/>
              </w:rPr>
              <w:t>68.9%</w:t>
            </w:r>
          </w:p>
        </w:tc>
      </w:tr>
      <w:tr w14:paraId="35E73C51">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55B706DA">
            <w:pPr>
              <w:widowControl/>
              <w:ind w:firstLine="0" w:firstLineChars="0"/>
              <w:jc w:val="center"/>
              <w:rPr>
                <w:rFonts w:ascii="宋体" w:hAnsi="宋体" w:cs="Arial"/>
                <w:kern w:val="0"/>
                <w:sz w:val="24"/>
                <w:szCs w:val="24"/>
              </w:rPr>
            </w:pPr>
            <w:r>
              <w:rPr>
                <w:rFonts w:ascii="宋体" w:hAnsi="宋体" w:cs="Arial"/>
                <w:kern w:val="0"/>
                <w:sz w:val="24"/>
                <w:szCs w:val="24"/>
              </w:rPr>
              <w:t>27</w:t>
            </w:r>
          </w:p>
        </w:tc>
        <w:tc>
          <w:tcPr>
            <w:tcW w:w="3118" w:type="dxa"/>
            <w:tcBorders>
              <w:top w:val="nil"/>
              <w:left w:val="nil"/>
              <w:bottom w:val="single" w:color="auto" w:sz="4" w:space="0"/>
              <w:right w:val="single" w:color="auto" w:sz="4" w:space="0"/>
            </w:tcBorders>
            <w:shd w:val="clear" w:color="auto" w:fill="auto"/>
            <w:vAlign w:val="center"/>
          </w:tcPr>
          <w:p w14:paraId="698EAD90">
            <w:pPr>
              <w:widowControl/>
              <w:ind w:firstLine="0" w:firstLineChars="0"/>
              <w:jc w:val="center"/>
              <w:rPr>
                <w:rFonts w:ascii="宋体" w:hAnsi="宋体" w:cs="Arial"/>
                <w:kern w:val="0"/>
                <w:sz w:val="24"/>
                <w:szCs w:val="24"/>
              </w:rPr>
            </w:pPr>
            <w:r>
              <w:rPr>
                <w:rFonts w:ascii="宋体" w:hAnsi="宋体" w:cs="Arial"/>
                <w:kern w:val="0"/>
                <w:sz w:val="24"/>
                <w:szCs w:val="24"/>
              </w:rPr>
              <w:t>荆东园区2排水单元</w:t>
            </w:r>
          </w:p>
        </w:tc>
        <w:tc>
          <w:tcPr>
            <w:tcW w:w="1389" w:type="dxa"/>
            <w:tcBorders>
              <w:top w:val="nil"/>
              <w:left w:val="nil"/>
              <w:bottom w:val="single" w:color="auto" w:sz="4" w:space="0"/>
              <w:right w:val="single" w:color="auto" w:sz="4" w:space="0"/>
            </w:tcBorders>
            <w:shd w:val="clear" w:color="auto" w:fill="auto"/>
            <w:vAlign w:val="center"/>
          </w:tcPr>
          <w:p w14:paraId="21A55B62">
            <w:pPr>
              <w:widowControl/>
              <w:ind w:firstLine="0" w:firstLineChars="0"/>
              <w:jc w:val="center"/>
              <w:rPr>
                <w:rFonts w:ascii="宋体" w:hAnsi="宋体" w:cs="Arial"/>
                <w:kern w:val="0"/>
                <w:sz w:val="24"/>
                <w:szCs w:val="24"/>
              </w:rPr>
            </w:pPr>
            <w:r>
              <w:rPr>
                <w:rFonts w:ascii="宋体" w:hAnsi="宋体" w:cs="Arial"/>
                <w:kern w:val="0"/>
                <w:sz w:val="24"/>
                <w:szCs w:val="24"/>
              </w:rPr>
              <w:t>68.9%</w:t>
            </w:r>
          </w:p>
        </w:tc>
        <w:tc>
          <w:tcPr>
            <w:tcW w:w="708" w:type="dxa"/>
            <w:tcBorders>
              <w:top w:val="nil"/>
              <w:left w:val="nil"/>
              <w:bottom w:val="single" w:color="auto" w:sz="4" w:space="0"/>
              <w:right w:val="single" w:color="auto" w:sz="4" w:space="0"/>
            </w:tcBorders>
            <w:shd w:val="clear" w:color="auto" w:fill="auto"/>
            <w:noWrap/>
            <w:vAlign w:val="center"/>
          </w:tcPr>
          <w:p w14:paraId="5FAF91EC">
            <w:pPr>
              <w:widowControl/>
              <w:ind w:firstLine="0" w:firstLineChars="0"/>
              <w:jc w:val="center"/>
              <w:rPr>
                <w:rFonts w:ascii="宋体" w:hAnsi="宋体" w:cs="Arial"/>
                <w:kern w:val="0"/>
                <w:sz w:val="24"/>
                <w:szCs w:val="24"/>
              </w:rPr>
            </w:pPr>
            <w:r>
              <w:rPr>
                <w:rFonts w:ascii="宋体" w:hAnsi="宋体" w:cs="Arial"/>
                <w:kern w:val="0"/>
                <w:sz w:val="24"/>
                <w:szCs w:val="24"/>
              </w:rPr>
              <w:t>79</w:t>
            </w:r>
          </w:p>
        </w:tc>
        <w:tc>
          <w:tcPr>
            <w:tcW w:w="2680" w:type="dxa"/>
            <w:tcBorders>
              <w:top w:val="nil"/>
              <w:left w:val="nil"/>
              <w:bottom w:val="single" w:color="auto" w:sz="4" w:space="0"/>
              <w:right w:val="single" w:color="auto" w:sz="4" w:space="0"/>
            </w:tcBorders>
            <w:shd w:val="clear" w:color="auto" w:fill="auto"/>
            <w:noWrap/>
            <w:vAlign w:val="center"/>
          </w:tcPr>
          <w:p w14:paraId="6D7DE3F9">
            <w:pPr>
              <w:widowControl/>
              <w:ind w:firstLine="0" w:firstLineChars="0"/>
              <w:jc w:val="center"/>
              <w:rPr>
                <w:rFonts w:ascii="宋体" w:hAnsi="宋体" w:cs="Arial"/>
                <w:kern w:val="0"/>
                <w:sz w:val="24"/>
                <w:szCs w:val="24"/>
              </w:rPr>
            </w:pPr>
            <w:r>
              <w:rPr>
                <w:rFonts w:ascii="宋体" w:hAnsi="宋体" w:cs="Arial"/>
                <w:kern w:val="0"/>
                <w:sz w:val="24"/>
                <w:szCs w:val="24"/>
              </w:rPr>
              <w:t>凤凰路排水单元</w:t>
            </w:r>
          </w:p>
        </w:tc>
        <w:tc>
          <w:tcPr>
            <w:tcW w:w="1276" w:type="dxa"/>
            <w:tcBorders>
              <w:top w:val="nil"/>
              <w:left w:val="nil"/>
              <w:bottom w:val="single" w:color="auto" w:sz="4" w:space="0"/>
              <w:right w:val="single" w:color="auto" w:sz="4" w:space="0"/>
            </w:tcBorders>
            <w:shd w:val="clear" w:color="auto" w:fill="auto"/>
            <w:vAlign w:val="center"/>
          </w:tcPr>
          <w:p w14:paraId="119FAE1D">
            <w:pPr>
              <w:widowControl/>
              <w:ind w:firstLine="0" w:firstLineChars="0"/>
              <w:jc w:val="center"/>
              <w:rPr>
                <w:rFonts w:ascii="宋体" w:hAnsi="宋体" w:cs="Arial"/>
                <w:kern w:val="0"/>
                <w:sz w:val="24"/>
                <w:szCs w:val="24"/>
              </w:rPr>
            </w:pPr>
            <w:r>
              <w:rPr>
                <w:rFonts w:ascii="宋体" w:hAnsi="宋体" w:cs="Arial"/>
                <w:kern w:val="0"/>
                <w:sz w:val="24"/>
                <w:szCs w:val="24"/>
              </w:rPr>
              <w:t>75.7%</w:t>
            </w:r>
          </w:p>
        </w:tc>
      </w:tr>
      <w:tr w14:paraId="4EF0ACF3">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301C898">
            <w:pPr>
              <w:widowControl/>
              <w:ind w:firstLine="0" w:firstLineChars="0"/>
              <w:jc w:val="center"/>
              <w:rPr>
                <w:rFonts w:ascii="宋体" w:hAnsi="宋体" w:cs="Arial"/>
                <w:kern w:val="0"/>
                <w:sz w:val="24"/>
                <w:szCs w:val="24"/>
              </w:rPr>
            </w:pPr>
            <w:r>
              <w:rPr>
                <w:rFonts w:ascii="宋体" w:hAnsi="宋体" w:cs="Arial"/>
                <w:kern w:val="0"/>
                <w:sz w:val="24"/>
                <w:szCs w:val="24"/>
              </w:rPr>
              <w:t>28</w:t>
            </w:r>
          </w:p>
        </w:tc>
        <w:tc>
          <w:tcPr>
            <w:tcW w:w="3118" w:type="dxa"/>
            <w:tcBorders>
              <w:top w:val="nil"/>
              <w:left w:val="nil"/>
              <w:bottom w:val="single" w:color="auto" w:sz="4" w:space="0"/>
              <w:right w:val="single" w:color="auto" w:sz="4" w:space="0"/>
            </w:tcBorders>
            <w:shd w:val="clear" w:color="auto" w:fill="auto"/>
            <w:vAlign w:val="center"/>
          </w:tcPr>
          <w:p w14:paraId="76792889">
            <w:pPr>
              <w:widowControl/>
              <w:ind w:firstLine="0" w:firstLineChars="0"/>
              <w:jc w:val="center"/>
              <w:rPr>
                <w:rFonts w:ascii="宋体" w:hAnsi="宋体" w:cs="Arial"/>
                <w:kern w:val="0"/>
                <w:sz w:val="24"/>
                <w:szCs w:val="24"/>
              </w:rPr>
            </w:pPr>
            <w:r>
              <w:rPr>
                <w:rFonts w:ascii="宋体" w:hAnsi="宋体" w:cs="Arial"/>
                <w:kern w:val="0"/>
                <w:sz w:val="24"/>
                <w:szCs w:val="24"/>
              </w:rPr>
              <w:t>荆东园区3排水单元</w:t>
            </w:r>
          </w:p>
        </w:tc>
        <w:tc>
          <w:tcPr>
            <w:tcW w:w="1389" w:type="dxa"/>
            <w:tcBorders>
              <w:top w:val="nil"/>
              <w:left w:val="nil"/>
              <w:bottom w:val="single" w:color="auto" w:sz="4" w:space="0"/>
              <w:right w:val="single" w:color="auto" w:sz="4" w:space="0"/>
            </w:tcBorders>
            <w:shd w:val="clear" w:color="auto" w:fill="auto"/>
            <w:vAlign w:val="center"/>
          </w:tcPr>
          <w:p w14:paraId="21150E41">
            <w:pPr>
              <w:widowControl/>
              <w:ind w:firstLine="0" w:firstLineChars="0"/>
              <w:jc w:val="center"/>
              <w:rPr>
                <w:rFonts w:ascii="宋体" w:hAnsi="宋体" w:cs="Arial"/>
                <w:kern w:val="0"/>
                <w:sz w:val="24"/>
                <w:szCs w:val="24"/>
              </w:rPr>
            </w:pPr>
            <w:r>
              <w:rPr>
                <w:rFonts w:ascii="宋体" w:hAnsi="宋体" w:cs="Arial"/>
                <w:kern w:val="0"/>
                <w:sz w:val="24"/>
                <w:szCs w:val="24"/>
              </w:rPr>
              <w:t>78.9%</w:t>
            </w:r>
          </w:p>
        </w:tc>
        <w:tc>
          <w:tcPr>
            <w:tcW w:w="708" w:type="dxa"/>
            <w:tcBorders>
              <w:top w:val="nil"/>
              <w:left w:val="nil"/>
              <w:bottom w:val="single" w:color="auto" w:sz="4" w:space="0"/>
              <w:right w:val="single" w:color="auto" w:sz="4" w:space="0"/>
            </w:tcBorders>
            <w:shd w:val="clear" w:color="auto" w:fill="auto"/>
            <w:noWrap/>
            <w:vAlign w:val="center"/>
          </w:tcPr>
          <w:p w14:paraId="3FD08F2E">
            <w:pPr>
              <w:widowControl/>
              <w:ind w:firstLine="0" w:firstLineChars="0"/>
              <w:jc w:val="center"/>
              <w:rPr>
                <w:rFonts w:ascii="宋体" w:hAnsi="宋体" w:cs="Arial"/>
                <w:kern w:val="0"/>
                <w:sz w:val="24"/>
                <w:szCs w:val="24"/>
              </w:rPr>
            </w:pPr>
            <w:r>
              <w:rPr>
                <w:rFonts w:ascii="宋体" w:hAnsi="宋体" w:cs="Arial"/>
                <w:kern w:val="0"/>
                <w:sz w:val="24"/>
                <w:szCs w:val="24"/>
              </w:rPr>
              <w:t>80</w:t>
            </w:r>
          </w:p>
        </w:tc>
        <w:tc>
          <w:tcPr>
            <w:tcW w:w="2680" w:type="dxa"/>
            <w:tcBorders>
              <w:top w:val="nil"/>
              <w:left w:val="nil"/>
              <w:bottom w:val="single" w:color="auto" w:sz="4" w:space="0"/>
              <w:right w:val="single" w:color="auto" w:sz="4" w:space="0"/>
            </w:tcBorders>
            <w:shd w:val="clear" w:color="auto" w:fill="auto"/>
            <w:noWrap/>
            <w:vAlign w:val="center"/>
          </w:tcPr>
          <w:p w14:paraId="3F11C10F">
            <w:pPr>
              <w:widowControl/>
              <w:ind w:firstLine="0" w:firstLineChars="0"/>
              <w:jc w:val="center"/>
              <w:rPr>
                <w:rFonts w:ascii="宋体" w:hAnsi="宋体" w:cs="Arial"/>
                <w:kern w:val="0"/>
                <w:sz w:val="24"/>
                <w:szCs w:val="24"/>
              </w:rPr>
            </w:pPr>
            <w:r>
              <w:rPr>
                <w:rFonts w:ascii="宋体" w:hAnsi="宋体" w:cs="Arial"/>
                <w:kern w:val="0"/>
                <w:sz w:val="24"/>
                <w:szCs w:val="24"/>
              </w:rPr>
              <w:t>泰和路排水单元</w:t>
            </w:r>
          </w:p>
        </w:tc>
        <w:tc>
          <w:tcPr>
            <w:tcW w:w="1276" w:type="dxa"/>
            <w:tcBorders>
              <w:top w:val="nil"/>
              <w:left w:val="nil"/>
              <w:bottom w:val="single" w:color="auto" w:sz="4" w:space="0"/>
              <w:right w:val="single" w:color="auto" w:sz="4" w:space="0"/>
            </w:tcBorders>
            <w:shd w:val="clear" w:color="auto" w:fill="auto"/>
            <w:vAlign w:val="center"/>
          </w:tcPr>
          <w:p w14:paraId="27284520">
            <w:pPr>
              <w:widowControl/>
              <w:ind w:firstLine="0" w:firstLineChars="0"/>
              <w:jc w:val="center"/>
              <w:rPr>
                <w:rFonts w:ascii="宋体" w:hAnsi="宋体" w:cs="Arial"/>
                <w:kern w:val="0"/>
                <w:sz w:val="24"/>
                <w:szCs w:val="24"/>
              </w:rPr>
            </w:pPr>
            <w:r>
              <w:rPr>
                <w:rFonts w:ascii="宋体" w:hAnsi="宋体" w:cs="Arial"/>
                <w:kern w:val="0"/>
                <w:sz w:val="24"/>
                <w:szCs w:val="24"/>
              </w:rPr>
              <w:t>77.9%</w:t>
            </w:r>
          </w:p>
        </w:tc>
      </w:tr>
      <w:tr w14:paraId="1E3B432F">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227B555">
            <w:pPr>
              <w:widowControl/>
              <w:ind w:firstLine="0" w:firstLineChars="0"/>
              <w:jc w:val="center"/>
              <w:rPr>
                <w:rFonts w:ascii="宋体" w:hAnsi="宋体" w:cs="Arial"/>
                <w:kern w:val="0"/>
                <w:sz w:val="24"/>
                <w:szCs w:val="24"/>
              </w:rPr>
            </w:pPr>
            <w:r>
              <w:rPr>
                <w:rFonts w:ascii="宋体" w:hAnsi="宋体" w:cs="Arial"/>
                <w:kern w:val="0"/>
                <w:sz w:val="24"/>
                <w:szCs w:val="24"/>
              </w:rPr>
              <w:t>29</w:t>
            </w:r>
          </w:p>
        </w:tc>
        <w:tc>
          <w:tcPr>
            <w:tcW w:w="3118" w:type="dxa"/>
            <w:tcBorders>
              <w:top w:val="nil"/>
              <w:left w:val="nil"/>
              <w:bottom w:val="single" w:color="auto" w:sz="4" w:space="0"/>
              <w:right w:val="single" w:color="auto" w:sz="4" w:space="0"/>
            </w:tcBorders>
            <w:shd w:val="clear" w:color="auto" w:fill="auto"/>
            <w:vAlign w:val="center"/>
          </w:tcPr>
          <w:p w14:paraId="48642331">
            <w:pPr>
              <w:widowControl/>
              <w:ind w:firstLine="0" w:firstLineChars="0"/>
              <w:jc w:val="center"/>
              <w:rPr>
                <w:rFonts w:ascii="宋体" w:hAnsi="宋体" w:cs="Arial"/>
                <w:kern w:val="0"/>
                <w:sz w:val="24"/>
                <w:szCs w:val="24"/>
              </w:rPr>
            </w:pPr>
            <w:r>
              <w:rPr>
                <w:rFonts w:ascii="宋体" w:hAnsi="宋体" w:cs="Arial"/>
                <w:kern w:val="0"/>
                <w:sz w:val="24"/>
                <w:szCs w:val="24"/>
              </w:rPr>
              <w:t>莘口排水单元</w:t>
            </w:r>
          </w:p>
        </w:tc>
        <w:tc>
          <w:tcPr>
            <w:tcW w:w="1389" w:type="dxa"/>
            <w:tcBorders>
              <w:top w:val="nil"/>
              <w:left w:val="nil"/>
              <w:bottom w:val="single" w:color="auto" w:sz="4" w:space="0"/>
              <w:right w:val="single" w:color="auto" w:sz="4" w:space="0"/>
            </w:tcBorders>
            <w:shd w:val="clear" w:color="auto" w:fill="auto"/>
            <w:vAlign w:val="center"/>
          </w:tcPr>
          <w:p w14:paraId="44A6FA2D">
            <w:pPr>
              <w:widowControl/>
              <w:ind w:firstLine="0" w:firstLineChars="0"/>
              <w:jc w:val="center"/>
              <w:rPr>
                <w:rFonts w:ascii="宋体" w:hAnsi="宋体" w:cs="Arial"/>
                <w:kern w:val="0"/>
                <w:sz w:val="24"/>
                <w:szCs w:val="24"/>
              </w:rPr>
            </w:pPr>
            <w:r>
              <w:rPr>
                <w:rFonts w:ascii="宋体" w:hAnsi="宋体" w:cs="Arial"/>
                <w:kern w:val="0"/>
                <w:sz w:val="24"/>
                <w:szCs w:val="24"/>
              </w:rPr>
              <w:t>81.2%</w:t>
            </w:r>
          </w:p>
        </w:tc>
        <w:tc>
          <w:tcPr>
            <w:tcW w:w="708" w:type="dxa"/>
            <w:tcBorders>
              <w:top w:val="nil"/>
              <w:left w:val="nil"/>
              <w:bottom w:val="single" w:color="auto" w:sz="4" w:space="0"/>
              <w:right w:val="single" w:color="auto" w:sz="4" w:space="0"/>
            </w:tcBorders>
            <w:shd w:val="clear" w:color="auto" w:fill="auto"/>
            <w:noWrap/>
            <w:vAlign w:val="center"/>
          </w:tcPr>
          <w:p w14:paraId="54D865FD">
            <w:pPr>
              <w:widowControl/>
              <w:ind w:firstLine="0" w:firstLineChars="0"/>
              <w:jc w:val="center"/>
              <w:rPr>
                <w:rFonts w:ascii="宋体" w:hAnsi="宋体" w:cs="Arial"/>
                <w:kern w:val="0"/>
                <w:sz w:val="24"/>
                <w:szCs w:val="24"/>
              </w:rPr>
            </w:pPr>
            <w:r>
              <w:rPr>
                <w:rFonts w:ascii="宋体" w:hAnsi="宋体" w:cs="Arial"/>
                <w:kern w:val="0"/>
                <w:sz w:val="24"/>
                <w:szCs w:val="24"/>
              </w:rPr>
              <w:t>81</w:t>
            </w:r>
          </w:p>
        </w:tc>
        <w:tc>
          <w:tcPr>
            <w:tcW w:w="2680" w:type="dxa"/>
            <w:tcBorders>
              <w:top w:val="nil"/>
              <w:left w:val="nil"/>
              <w:bottom w:val="single" w:color="auto" w:sz="4" w:space="0"/>
              <w:right w:val="single" w:color="auto" w:sz="4" w:space="0"/>
            </w:tcBorders>
            <w:shd w:val="clear" w:color="auto" w:fill="auto"/>
            <w:noWrap/>
            <w:vAlign w:val="center"/>
          </w:tcPr>
          <w:p w14:paraId="0CCD8C5B">
            <w:pPr>
              <w:widowControl/>
              <w:ind w:firstLine="0" w:firstLineChars="0"/>
              <w:jc w:val="center"/>
              <w:rPr>
                <w:rFonts w:ascii="宋体" w:hAnsi="宋体" w:cs="Arial"/>
                <w:kern w:val="0"/>
                <w:sz w:val="24"/>
                <w:szCs w:val="24"/>
              </w:rPr>
            </w:pPr>
            <w:r>
              <w:rPr>
                <w:rFonts w:ascii="宋体" w:hAnsi="宋体" w:cs="Arial"/>
                <w:kern w:val="0"/>
                <w:sz w:val="24"/>
                <w:szCs w:val="24"/>
              </w:rPr>
              <w:t>水东路排水单元</w:t>
            </w:r>
          </w:p>
        </w:tc>
        <w:tc>
          <w:tcPr>
            <w:tcW w:w="1276" w:type="dxa"/>
            <w:tcBorders>
              <w:top w:val="nil"/>
              <w:left w:val="nil"/>
              <w:bottom w:val="single" w:color="auto" w:sz="4" w:space="0"/>
              <w:right w:val="single" w:color="auto" w:sz="4" w:space="0"/>
            </w:tcBorders>
            <w:shd w:val="clear" w:color="auto" w:fill="auto"/>
            <w:vAlign w:val="center"/>
          </w:tcPr>
          <w:p w14:paraId="448E32AF">
            <w:pPr>
              <w:widowControl/>
              <w:ind w:firstLine="0" w:firstLineChars="0"/>
              <w:jc w:val="center"/>
              <w:rPr>
                <w:rFonts w:ascii="宋体" w:hAnsi="宋体" w:cs="Arial"/>
                <w:kern w:val="0"/>
                <w:sz w:val="24"/>
                <w:szCs w:val="24"/>
              </w:rPr>
            </w:pPr>
            <w:r>
              <w:rPr>
                <w:rFonts w:ascii="宋体" w:hAnsi="宋体" w:cs="Arial"/>
                <w:kern w:val="0"/>
                <w:sz w:val="24"/>
                <w:szCs w:val="24"/>
              </w:rPr>
              <w:t>83.0%</w:t>
            </w:r>
          </w:p>
        </w:tc>
      </w:tr>
      <w:tr w14:paraId="5F79D00D">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628D3338">
            <w:pPr>
              <w:widowControl/>
              <w:ind w:firstLine="0" w:firstLineChars="0"/>
              <w:jc w:val="center"/>
              <w:rPr>
                <w:rFonts w:ascii="宋体" w:hAnsi="宋体" w:cs="Arial"/>
                <w:kern w:val="0"/>
                <w:sz w:val="24"/>
                <w:szCs w:val="24"/>
              </w:rPr>
            </w:pPr>
            <w:r>
              <w:rPr>
                <w:rFonts w:ascii="宋体" w:hAnsi="宋体" w:cs="Arial"/>
                <w:kern w:val="0"/>
                <w:sz w:val="24"/>
                <w:szCs w:val="24"/>
              </w:rPr>
              <w:t>30</w:t>
            </w:r>
          </w:p>
        </w:tc>
        <w:tc>
          <w:tcPr>
            <w:tcW w:w="3118" w:type="dxa"/>
            <w:tcBorders>
              <w:top w:val="nil"/>
              <w:left w:val="nil"/>
              <w:bottom w:val="single" w:color="auto" w:sz="4" w:space="0"/>
              <w:right w:val="single" w:color="auto" w:sz="4" w:space="0"/>
            </w:tcBorders>
            <w:shd w:val="clear" w:color="auto" w:fill="auto"/>
            <w:vAlign w:val="center"/>
          </w:tcPr>
          <w:p w14:paraId="5DF2E0AE">
            <w:pPr>
              <w:widowControl/>
              <w:ind w:firstLine="0" w:firstLineChars="0"/>
              <w:jc w:val="center"/>
              <w:rPr>
                <w:rFonts w:ascii="宋体" w:hAnsi="宋体" w:cs="Arial"/>
                <w:kern w:val="0"/>
                <w:sz w:val="24"/>
                <w:szCs w:val="24"/>
              </w:rPr>
            </w:pPr>
            <w:r>
              <w:rPr>
                <w:rFonts w:ascii="宋体" w:hAnsi="宋体" w:cs="Arial"/>
                <w:kern w:val="0"/>
                <w:sz w:val="24"/>
                <w:szCs w:val="24"/>
              </w:rPr>
              <w:t>竹洲排水单元</w:t>
            </w:r>
          </w:p>
        </w:tc>
        <w:tc>
          <w:tcPr>
            <w:tcW w:w="1389" w:type="dxa"/>
            <w:tcBorders>
              <w:top w:val="nil"/>
              <w:left w:val="nil"/>
              <w:bottom w:val="single" w:color="auto" w:sz="4" w:space="0"/>
              <w:right w:val="single" w:color="auto" w:sz="4" w:space="0"/>
            </w:tcBorders>
            <w:shd w:val="clear" w:color="auto" w:fill="auto"/>
            <w:vAlign w:val="center"/>
          </w:tcPr>
          <w:p w14:paraId="49A25E48">
            <w:pPr>
              <w:widowControl/>
              <w:ind w:firstLine="0" w:firstLineChars="0"/>
              <w:jc w:val="center"/>
              <w:rPr>
                <w:rFonts w:ascii="宋体" w:hAnsi="宋体" w:cs="Arial"/>
                <w:kern w:val="0"/>
                <w:sz w:val="24"/>
                <w:szCs w:val="24"/>
              </w:rPr>
            </w:pPr>
            <w:r>
              <w:rPr>
                <w:rFonts w:ascii="宋体" w:hAnsi="宋体" w:cs="Arial"/>
                <w:kern w:val="0"/>
                <w:sz w:val="24"/>
                <w:szCs w:val="24"/>
              </w:rPr>
              <w:t>76.8%</w:t>
            </w:r>
          </w:p>
        </w:tc>
        <w:tc>
          <w:tcPr>
            <w:tcW w:w="708" w:type="dxa"/>
            <w:tcBorders>
              <w:top w:val="nil"/>
              <w:left w:val="nil"/>
              <w:bottom w:val="single" w:color="auto" w:sz="4" w:space="0"/>
              <w:right w:val="single" w:color="auto" w:sz="4" w:space="0"/>
            </w:tcBorders>
            <w:shd w:val="clear" w:color="auto" w:fill="auto"/>
            <w:noWrap/>
            <w:vAlign w:val="center"/>
          </w:tcPr>
          <w:p w14:paraId="7507DFA6">
            <w:pPr>
              <w:widowControl/>
              <w:ind w:firstLine="0" w:firstLineChars="0"/>
              <w:jc w:val="center"/>
              <w:rPr>
                <w:rFonts w:ascii="宋体" w:hAnsi="宋体" w:cs="Arial"/>
                <w:kern w:val="0"/>
                <w:sz w:val="24"/>
                <w:szCs w:val="24"/>
              </w:rPr>
            </w:pPr>
            <w:r>
              <w:rPr>
                <w:rFonts w:ascii="宋体" w:hAnsi="宋体" w:cs="Arial"/>
                <w:kern w:val="0"/>
                <w:sz w:val="24"/>
                <w:szCs w:val="24"/>
              </w:rPr>
              <w:t>82</w:t>
            </w:r>
          </w:p>
        </w:tc>
        <w:tc>
          <w:tcPr>
            <w:tcW w:w="2680" w:type="dxa"/>
            <w:tcBorders>
              <w:top w:val="nil"/>
              <w:left w:val="nil"/>
              <w:bottom w:val="single" w:color="auto" w:sz="4" w:space="0"/>
              <w:right w:val="single" w:color="auto" w:sz="4" w:space="0"/>
            </w:tcBorders>
            <w:shd w:val="clear" w:color="auto" w:fill="auto"/>
            <w:noWrap/>
            <w:vAlign w:val="center"/>
          </w:tcPr>
          <w:p w14:paraId="4A1BC7EF">
            <w:pPr>
              <w:widowControl/>
              <w:ind w:firstLine="0" w:firstLineChars="0"/>
              <w:jc w:val="center"/>
              <w:rPr>
                <w:rFonts w:ascii="宋体" w:hAnsi="宋体" w:cs="Arial"/>
                <w:kern w:val="0"/>
                <w:sz w:val="24"/>
                <w:szCs w:val="24"/>
              </w:rPr>
            </w:pPr>
            <w:r>
              <w:rPr>
                <w:rFonts w:ascii="宋体" w:hAnsi="宋体" w:cs="Arial"/>
                <w:kern w:val="0"/>
                <w:sz w:val="24"/>
                <w:szCs w:val="24"/>
              </w:rPr>
              <w:t>碧波潭路排水单元</w:t>
            </w:r>
          </w:p>
        </w:tc>
        <w:tc>
          <w:tcPr>
            <w:tcW w:w="1276" w:type="dxa"/>
            <w:tcBorders>
              <w:top w:val="nil"/>
              <w:left w:val="nil"/>
              <w:bottom w:val="single" w:color="auto" w:sz="4" w:space="0"/>
              <w:right w:val="single" w:color="auto" w:sz="4" w:space="0"/>
            </w:tcBorders>
            <w:shd w:val="clear" w:color="auto" w:fill="auto"/>
            <w:vAlign w:val="center"/>
          </w:tcPr>
          <w:p w14:paraId="26D1F391">
            <w:pPr>
              <w:widowControl/>
              <w:ind w:firstLine="0" w:firstLineChars="0"/>
              <w:jc w:val="center"/>
              <w:rPr>
                <w:rFonts w:ascii="宋体" w:hAnsi="宋体" w:cs="Arial"/>
                <w:kern w:val="0"/>
                <w:sz w:val="24"/>
                <w:szCs w:val="24"/>
              </w:rPr>
            </w:pPr>
            <w:r>
              <w:rPr>
                <w:rFonts w:ascii="宋体" w:hAnsi="宋体" w:cs="Arial"/>
                <w:kern w:val="0"/>
                <w:sz w:val="24"/>
                <w:szCs w:val="24"/>
              </w:rPr>
              <w:t>82.0%</w:t>
            </w:r>
          </w:p>
        </w:tc>
      </w:tr>
      <w:tr w14:paraId="534E9200">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5F2F5C69">
            <w:pPr>
              <w:widowControl/>
              <w:ind w:firstLine="0" w:firstLineChars="0"/>
              <w:jc w:val="center"/>
              <w:rPr>
                <w:rFonts w:ascii="宋体" w:hAnsi="宋体" w:cs="Arial"/>
                <w:kern w:val="0"/>
                <w:sz w:val="24"/>
                <w:szCs w:val="24"/>
              </w:rPr>
            </w:pPr>
            <w:r>
              <w:rPr>
                <w:rFonts w:ascii="宋体" w:hAnsi="宋体" w:cs="Arial"/>
                <w:kern w:val="0"/>
                <w:sz w:val="24"/>
                <w:szCs w:val="24"/>
              </w:rPr>
              <w:t>31</w:t>
            </w:r>
          </w:p>
        </w:tc>
        <w:tc>
          <w:tcPr>
            <w:tcW w:w="3118" w:type="dxa"/>
            <w:tcBorders>
              <w:top w:val="nil"/>
              <w:left w:val="nil"/>
              <w:bottom w:val="single" w:color="auto" w:sz="4" w:space="0"/>
              <w:right w:val="single" w:color="auto" w:sz="4" w:space="0"/>
            </w:tcBorders>
            <w:shd w:val="clear" w:color="auto" w:fill="auto"/>
            <w:vAlign w:val="center"/>
          </w:tcPr>
          <w:p w14:paraId="36F9123E">
            <w:pPr>
              <w:widowControl/>
              <w:ind w:firstLine="0" w:firstLineChars="0"/>
              <w:jc w:val="center"/>
              <w:rPr>
                <w:rFonts w:ascii="宋体" w:hAnsi="宋体" w:cs="Arial"/>
                <w:kern w:val="0"/>
                <w:sz w:val="24"/>
                <w:szCs w:val="24"/>
              </w:rPr>
            </w:pPr>
            <w:r>
              <w:rPr>
                <w:rFonts w:ascii="宋体" w:hAnsi="宋体" w:cs="Arial"/>
                <w:kern w:val="0"/>
                <w:sz w:val="24"/>
                <w:szCs w:val="24"/>
              </w:rPr>
              <w:t>汇华排水单元</w:t>
            </w:r>
          </w:p>
        </w:tc>
        <w:tc>
          <w:tcPr>
            <w:tcW w:w="1389" w:type="dxa"/>
            <w:tcBorders>
              <w:top w:val="nil"/>
              <w:left w:val="nil"/>
              <w:bottom w:val="single" w:color="auto" w:sz="4" w:space="0"/>
              <w:right w:val="single" w:color="auto" w:sz="4" w:space="0"/>
            </w:tcBorders>
            <w:shd w:val="clear" w:color="auto" w:fill="auto"/>
            <w:vAlign w:val="center"/>
          </w:tcPr>
          <w:p w14:paraId="0C3DB629">
            <w:pPr>
              <w:widowControl/>
              <w:ind w:firstLine="0" w:firstLineChars="0"/>
              <w:jc w:val="center"/>
              <w:rPr>
                <w:rFonts w:ascii="宋体" w:hAnsi="宋体" w:cs="Arial"/>
                <w:kern w:val="0"/>
                <w:sz w:val="24"/>
                <w:szCs w:val="24"/>
              </w:rPr>
            </w:pPr>
            <w:r>
              <w:rPr>
                <w:rFonts w:ascii="宋体" w:hAnsi="宋体" w:cs="Arial"/>
                <w:kern w:val="0"/>
                <w:sz w:val="24"/>
                <w:szCs w:val="24"/>
              </w:rPr>
              <w:t>63.9%</w:t>
            </w:r>
          </w:p>
        </w:tc>
        <w:tc>
          <w:tcPr>
            <w:tcW w:w="708" w:type="dxa"/>
            <w:tcBorders>
              <w:top w:val="nil"/>
              <w:left w:val="nil"/>
              <w:bottom w:val="single" w:color="auto" w:sz="4" w:space="0"/>
              <w:right w:val="single" w:color="auto" w:sz="4" w:space="0"/>
            </w:tcBorders>
            <w:shd w:val="clear" w:color="auto" w:fill="auto"/>
            <w:noWrap/>
            <w:vAlign w:val="center"/>
          </w:tcPr>
          <w:p w14:paraId="3681EA02">
            <w:pPr>
              <w:widowControl/>
              <w:ind w:firstLine="0" w:firstLineChars="0"/>
              <w:jc w:val="center"/>
              <w:rPr>
                <w:rFonts w:ascii="宋体" w:hAnsi="宋体" w:cs="Arial"/>
                <w:kern w:val="0"/>
                <w:sz w:val="24"/>
                <w:szCs w:val="24"/>
              </w:rPr>
            </w:pPr>
            <w:r>
              <w:rPr>
                <w:rFonts w:ascii="宋体" w:hAnsi="宋体" w:cs="Arial"/>
                <w:kern w:val="0"/>
                <w:sz w:val="24"/>
                <w:szCs w:val="24"/>
              </w:rPr>
              <w:t>83</w:t>
            </w:r>
          </w:p>
        </w:tc>
        <w:tc>
          <w:tcPr>
            <w:tcW w:w="2680" w:type="dxa"/>
            <w:tcBorders>
              <w:top w:val="nil"/>
              <w:left w:val="nil"/>
              <w:bottom w:val="single" w:color="auto" w:sz="4" w:space="0"/>
              <w:right w:val="single" w:color="auto" w:sz="4" w:space="0"/>
            </w:tcBorders>
            <w:shd w:val="clear" w:color="auto" w:fill="auto"/>
            <w:noWrap/>
            <w:vAlign w:val="center"/>
          </w:tcPr>
          <w:p w14:paraId="30FB2186">
            <w:pPr>
              <w:widowControl/>
              <w:ind w:firstLine="0" w:firstLineChars="0"/>
              <w:jc w:val="center"/>
              <w:rPr>
                <w:rFonts w:ascii="宋体" w:hAnsi="宋体" w:cs="Arial"/>
                <w:kern w:val="0"/>
                <w:sz w:val="24"/>
                <w:szCs w:val="24"/>
              </w:rPr>
            </w:pPr>
            <w:r>
              <w:rPr>
                <w:rFonts w:ascii="宋体" w:hAnsi="宋体" w:cs="Arial"/>
                <w:kern w:val="0"/>
                <w:sz w:val="24"/>
                <w:szCs w:val="24"/>
              </w:rPr>
              <w:t>水厂后山排水单元</w:t>
            </w:r>
          </w:p>
        </w:tc>
        <w:tc>
          <w:tcPr>
            <w:tcW w:w="1276" w:type="dxa"/>
            <w:tcBorders>
              <w:top w:val="nil"/>
              <w:left w:val="nil"/>
              <w:bottom w:val="single" w:color="auto" w:sz="4" w:space="0"/>
              <w:right w:val="single" w:color="auto" w:sz="4" w:space="0"/>
            </w:tcBorders>
            <w:shd w:val="clear" w:color="auto" w:fill="auto"/>
            <w:vAlign w:val="center"/>
          </w:tcPr>
          <w:p w14:paraId="2D41E081">
            <w:pPr>
              <w:widowControl/>
              <w:ind w:firstLine="0" w:firstLineChars="0"/>
              <w:jc w:val="center"/>
              <w:rPr>
                <w:rFonts w:ascii="宋体" w:hAnsi="宋体" w:cs="Arial"/>
                <w:kern w:val="0"/>
                <w:sz w:val="24"/>
                <w:szCs w:val="24"/>
              </w:rPr>
            </w:pPr>
            <w:r>
              <w:rPr>
                <w:rFonts w:ascii="宋体" w:hAnsi="宋体" w:cs="Arial"/>
                <w:kern w:val="0"/>
                <w:sz w:val="24"/>
                <w:szCs w:val="24"/>
              </w:rPr>
              <w:t>79.2%</w:t>
            </w:r>
          </w:p>
        </w:tc>
      </w:tr>
      <w:tr w14:paraId="7066708C">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843DB60">
            <w:pPr>
              <w:widowControl/>
              <w:ind w:firstLine="0" w:firstLineChars="0"/>
              <w:jc w:val="center"/>
              <w:rPr>
                <w:rFonts w:ascii="宋体" w:hAnsi="宋体" w:cs="Arial"/>
                <w:kern w:val="0"/>
                <w:sz w:val="24"/>
                <w:szCs w:val="24"/>
              </w:rPr>
            </w:pPr>
            <w:r>
              <w:rPr>
                <w:rFonts w:ascii="宋体" w:hAnsi="宋体" w:cs="Arial"/>
                <w:kern w:val="0"/>
                <w:sz w:val="24"/>
                <w:szCs w:val="24"/>
              </w:rPr>
              <w:t>32</w:t>
            </w:r>
          </w:p>
        </w:tc>
        <w:tc>
          <w:tcPr>
            <w:tcW w:w="3118" w:type="dxa"/>
            <w:tcBorders>
              <w:top w:val="nil"/>
              <w:left w:val="nil"/>
              <w:bottom w:val="single" w:color="auto" w:sz="4" w:space="0"/>
              <w:right w:val="single" w:color="auto" w:sz="4" w:space="0"/>
            </w:tcBorders>
            <w:shd w:val="clear" w:color="auto" w:fill="auto"/>
            <w:vAlign w:val="center"/>
          </w:tcPr>
          <w:p w14:paraId="2E43AF64">
            <w:pPr>
              <w:widowControl/>
              <w:ind w:firstLine="0" w:firstLineChars="0"/>
              <w:jc w:val="center"/>
              <w:rPr>
                <w:rFonts w:ascii="宋体" w:hAnsi="宋体" w:cs="Arial"/>
                <w:kern w:val="0"/>
                <w:sz w:val="24"/>
                <w:szCs w:val="24"/>
              </w:rPr>
            </w:pPr>
            <w:r>
              <w:rPr>
                <w:rFonts w:ascii="宋体" w:hAnsi="宋体" w:cs="Arial"/>
                <w:kern w:val="0"/>
                <w:sz w:val="24"/>
                <w:szCs w:val="24"/>
              </w:rPr>
              <w:t>吉口1排水单元</w:t>
            </w:r>
          </w:p>
        </w:tc>
        <w:tc>
          <w:tcPr>
            <w:tcW w:w="1389" w:type="dxa"/>
            <w:tcBorders>
              <w:top w:val="nil"/>
              <w:left w:val="nil"/>
              <w:bottom w:val="single" w:color="auto" w:sz="4" w:space="0"/>
              <w:right w:val="single" w:color="auto" w:sz="4" w:space="0"/>
            </w:tcBorders>
            <w:shd w:val="clear" w:color="auto" w:fill="auto"/>
            <w:vAlign w:val="center"/>
          </w:tcPr>
          <w:p w14:paraId="75AC6E09">
            <w:pPr>
              <w:widowControl/>
              <w:ind w:firstLine="0" w:firstLineChars="0"/>
              <w:jc w:val="center"/>
              <w:rPr>
                <w:rFonts w:ascii="宋体" w:hAnsi="宋体" w:cs="Arial"/>
                <w:kern w:val="0"/>
                <w:sz w:val="24"/>
                <w:szCs w:val="24"/>
              </w:rPr>
            </w:pPr>
            <w:r>
              <w:rPr>
                <w:rFonts w:ascii="宋体" w:hAnsi="宋体" w:cs="Arial"/>
                <w:kern w:val="0"/>
                <w:sz w:val="24"/>
                <w:szCs w:val="24"/>
              </w:rPr>
              <w:t>81.1%</w:t>
            </w:r>
          </w:p>
        </w:tc>
        <w:tc>
          <w:tcPr>
            <w:tcW w:w="708" w:type="dxa"/>
            <w:tcBorders>
              <w:top w:val="nil"/>
              <w:left w:val="nil"/>
              <w:bottom w:val="single" w:color="auto" w:sz="4" w:space="0"/>
              <w:right w:val="single" w:color="auto" w:sz="4" w:space="0"/>
            </w:tcBorders>
            <w:shd w:val="clear" w:color="auto" w:fill="auto"/>
            <w:noWrap/>
            <w:vAlign w:val="center"/>
          </w:tcPr>
          <w:p w14:paraId="73063FE2">
            <w:pPr>
              <w:widowControl/>
              <w:ind w:firstLine="0" w:firstLineChars="0"/>
              <w:jc w:val="center"/>
              <w:rPr>
                <w:rFonts w:ascii="宋体" w:hAnsi="宋体" w:cs="Arial"/>
                <w:kern w:val="0"/>
                <w:sz w:val="24"/>
                <w:szCs w:val="24"/>
              </w:rPr>
            </w:pPr>
            <w:r>
              <w:rPr>
                <w:rFonts w:ascii="宋体" w:hAnsi="宋体" w:cs="Arial"/>
                <w:kern w:val="0"/>
                <w:sz w:val="24"/>
                <w:szCs w:val="24"/>
              </w:rPr>
              <w:t>84</w:t>
            </w:r>
          </w:p>
        </w:tc>
        <w:tc>
          <w:tcPr>
            <w:tcW w:w="2680" w:type="dxa"/>
            <w:tcBorders>
              <w:top w:val="nil"/>
              <w:left w:val="nil"/>
              <w:bottom w:val="single" w:color="auto" w:sz="4" w:space="0"/>
              <w:right w:val="single" w:color="auto" w:sz="4" w:space="0"/>
            </w:tcBorders>
            <w:shd w:val="clear" w:color="auto" w:fill="auto"/>
            <w:noWrap/>
            <w:vAlign w:val="center"/>
          </w:tcPr>
          <w:p w14:paraId="51CDC19A">
            <w:pPr>
              <w:widowControl/>
              <w:ind w:firstLine="0" w:firstLineChars="0"/>
              <w:jc w:val="center"/>
              <w:rPr>
                <w:rFonts w:ascii="宋体" w:hAnsi="宋体" w:cs="Arial"/>
                <w:kern w:val="0"/>
                <w:sz w:val="24"/>
                <w:szCs w:val="24"/>
              </w:rPr>
            </w:pPr>
            <w:r>
              <w:rPr>
                <w:rFonts w:ascii="宋体" w:hAnsi="宋体" w:cs="Arial"/>
                <w:kern w:val="0"/>
                <w:sz w:val="24"/>
                <w:szCs w:val="24"/>
              </w:rPr>
              <w:t>金古东排水单元</w:t>
            </w:r>
          </w:p>
        </w:tc>
        <w:tc>
          <w:tcPr>
            <w:tcW w:w="1276" w:type="dxa"/>
            <w:tcBorders>
              <w:top w:val="nil"/>
              <w:left w:val="nil"/>
              <w:bottom w:val="single" w:color="auto" w:sz="4" w:space="0"/>
              <w:right w:val="single" w:color="auto" w:sz="4" w:space="0"/>
            </w:tcBorders>
            <w:shd w:val="clear" w:color="auto" w:fill="auto"/>
            <w:vAlign w:val="center"/>
          </w:tcPr>
          <w:p w14:paraId="5D891E90">
            <w:pPr>
              <w:widowControl/>
              <w:ind w:firstLine="0" w:firstLineChars="0"/>
              <w:jc w:val="center"/>
              <w:rPr>
                <w:rFonts w:ascii="宋体" w:hAnsi="宋体" w:cs="Arial"/>
                <w:kern w:val="0"/>
                <w:sz w:val="24"/>
                <w:szCs w:val="24"/>
              </w:rPr>
            </w:pPr>
            <w:r>
              <w:rPr>
                <w:rFonts w:ascii="宋体" w:hAnsi="宋体" w:cs="Arial"/>
                <w:kern w:val="0"/>
                <w:sz w:val="24"/>
                <w:szCs w:val="24"/>
              </w:rPr>
              <w:t>76.9%</w:t>
            </w:r>
          </w:p>
        </w:tc>
      </w:tr>
      <w:tr w14:paraId="6168625E">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24F89CD4">
            <w:pPr>
              <w:widowControl/>
              <w:ind w:firstLine="0" w:firstLineChars="0"/>
              <w:jc w:val="center"/>
              <w:rPr>
                <w:rFonts w:ascii="宋体" w:hAnsi="宋体" w:cs="Arial"/>
                <w:kern w:val="0"/>
                <w:sz w:val="24"/>
                <w:szCs w:val="24"/>
              </w:rPr>
            </w:pPr>
            <w:r>
              <w:rPr>
                <w:rFonts w:ascii="宋体" w:hAnsi="宋体" w:cs="Arial"/>
                <w:kern w:val="0"/>
                <w:sz w:val="24"/>
                <w:szCs w:val="24"/>
              </w:rPr>
              <w:t>33</w:t>
            </w:r>
          </w:p>
        </w:tc>
        <w:tc>
          <w:tcPr>
            <w:tcW w:w="3118" w:type="dxa"/>
            <w:tcBorders>
              <w:top w:val="nil"/>
              <w:left w:val="nil"/>
              <w:bottom w:val="single" w:color="auto" w:sz="4" w:space="0"/>
              <w:right w:val="single" w:color="auto" w:sz="4" w:space="0"/>
            </w:tcBorders>
            <w:shd w:val="clear" w:color="auto" w:fill="auto"/>
            <w:vAlign w:val="center"/>
          </w:tcPr>
          <w:p w14:paraId="70A52F21">
            <w:pPr>
              <w:widowControl/>
              <w:ind w:firstLine="0" w:firstLineChars="0"/>
              <w:jc w:val="center"/>
              <w:rPr>
                <w:rFonts w:ascii="宋体" w:hAnsi="宋体" w:cs="Arial"/>
                <w:kern w:val="0"/>
                <w:sz w:val="24"/>
                <w:szCs w:val="24"/>
              </w:rPr>
            </w:pPr>
            <w:r>
              <w:rPr>
                <w:rFonts w:ascii="宋体" w:hAnsi="宋体" w:cs="Arial"/>
                <w:kern w:val="0"/>
                <w:sz w:val="24"/>
                <w:szCs w:val="24"/>
              </w:rPr>
              <w:t>吉口2排水单元</w:t>
            </w:r>
          </w:p>
        </w:tc>
        <w:tc>
          <w:tcPr>
            <w:tcW w:w="1389" w:type="dxa"/>
            <w:tcBorders>
              <w:top w:val="nil"/>
              <w:left w:val="nil"/>
              <w:bottom w:val="single" w:color="auto" w:sz="4" w:space="0"/>
              <w:right w:val="single" w:color="auto" w:sz="4" w:space="0"/>
            </w:tcBorders>
            <w:shd w:val="clear" w:color="auto" w:fill="auto"/>
            <w:vAlign w:val="center"/>
          </w:tcPr>
          <w:p w14:paraId="0C0DF516">
            <w:pPr>
              <w:widowControl/>
              <w:ind w:firstLine="0" w:firstLineChars="0"/>
              <w:jc w:val="center"/>
              <w:rPr>
                <w:rFonts w:ascii="宋体" w:hAnsi="宋体" w:cs="Arial"/>
                <w:kern w:val="0"/>
                <w:sz w:val="24"/>
                <w:szCs w:val="24"/>
              </w:rPr>
            </w:pPr>
            <w:r>
              <w:rPr>
                <w:rFonts w:ascii="宋体" w:hAnsi="宋体" w:cs="Arial"/>
                <w:kern w:val="0"/>
                <w:sz w:val="24"/>
                <w:szCs w:val="24"/>
              </w:rPr>
              <w:t>78.5%</w:t>
            </w:r>
          </w:p>
        </w:tc>
        <w:tc>
          <w:tcPr>
            <w:tcW w:w="708" w:type="dxa"/>
            <w:tcBorders>
              <w:top w:val="nil"/>
              <w:left w:val="nil"/>
              <w:bottom w:val="single" w:color="auto" w:sz="4" w:space="0"/>
              <w:right w:val="single" w:color="auto" w:sz="4" w:space="0"/>
            </w:tcBorders>
            <w:shd w:val="clear" w:color="auto" w:fill="auto"/>
            <w:noWrap/>
            <w:vAlign w:val="center"/>
          </w:tcPr>
          <w:p w14:paraId="0E7FF648">
            <w:pPr>
              <w:widowControl/>
              <w:ind w:firstLine="0" w:firstLineChars="0"/>
              <w:jc w:val="center"/>
              <w:rPr>
                <w:rFonts w:ascii="宋体" w:hAnsi="宋体" w:cs="Arial"/>
                <w:kern w:val="0"/>
                <w:sz w:val="24"/>
                <w:szCs w:val="24"/>
              </w:rPr>
            </w:pPr>
            <w:r>
              <w:rPr>
                <w:rFonts w:ascii="宋体" w:hAnsi="宋体" w:cs="Arial"/>
                <w:kern w:val="0"/>
                <w:sz w:val="24"/>
                <w:szCs w:val="24"/>
              </w:rPr>
              <w:t>86</w:t>
            </w:r>
          </w:p>
        </w:tc>
        <w:tc>
          <w:tcPr>
            <w:tcW w:w="2680" w:type="dxa"/>
            <w:tcBorders>
              <w:top w:val="nil"/>
              <w:left w:val="nil"/>
              <w:bottom w:val="single" w:color="auto" w:sz="4" w:space="0"/>
              <w:right w:val="single" w:color="auto" w:sz="4" w:space="0"/>
            </w:tcBorders>
            <w:shd w:val="clear" w:color="auto" w:fill="auto"/>
            <w:noWrap/>
            <w:vAlign w:val="center"/>
          </w:tcPr>
          <w:p w14:paraId="5E17DEDA">
            <w:pPr>
              <w:widowControl/>
              <w:ind w:firstLine="0" w:firstLineChars="0"/>
              <w:jc w:val="center"/>
              <w:rPr>
                <w:rFonts w:ascii="宋体" w:hAnsi="宋体" w:cs="Arial"/>
                <w:kern w:val="0"/>
                <w:sz w:val="24"/>
                <w:szCs w:val="24"/>
              </w:rPr>
            </w:pPr>
            <w:r>
              <w:rPr>
                <w:rFonts w:ascii="宋体" w:hAnsi="宋体" w:cs="Arial"/>
                <w:kern w:val="0"/>
                <w:sz w:val="24"/>
                <w:szCs w:val="24"/>
              </w:rPr>
              <w:t>金古北排水单元</w:t>
            </w:r>
          </w:p>
        </w:tc>
        <w:tc>
          <w:tcPr>
            <w:tcW w:w="1276" w:type="dxa"/>
            <w:tcBorders>
              <w:top w:val="nil"/>
              <w:left w:val="nil"/>
              <w:bottom w:val="single" w:color="auto" w:sz="4" w:space="0"/>
              <w:right w:val="single" w:color="auto" w:sz="4" w:space="0"/>
            </w:tcBorders>
            <w:shd w:val="clear" w:color="auto" w:fill="auto"/>
            <w:vAlign w:val="center"/>
          </w:tcPr>
          <w:p w14:paraId="54CD41F6">
            <w:pPr>
              <w:widowControl/>
              <w:ind w:firstLine="0" w:firstLineChars="0"/>
              <w:jc w:val="center"/>
              <w:rPr>
                <w:rFonts w:ascii="宋体" w:hAnsi="宋体" w:cs="Arial"/>
                <w:kern w:val="0"/>
                <w:sz w:val="24"/>
                <w:szCs w:val="24"/>
              </w:rPr>
            </w:pPr>
            <w:r>
              <w:rPr>
                <w:rFonts w:ascii="宋体" w:hAnsi="宋体" w:cs="Arial"/>
                <w:kern w:val="0"/>
                <w:sz w:val="24"/>
                <w:szCs w:val="24"/>
              </w:rPr>
              <w:t>71.3%</w:t>
            </w:r>
          </w:p>
        </w:tc>
      </w:tr>
      <w:tr w14:paraId="18CFC9F6">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7C928E7B">
            <w:pPr>
              <w:widowControl/>
              <w:ind w:firstLine="0" w:firstLineChars="0"/>
              <w:jc w:val="center"/>
              <w:rPr>
                <w:rFonts w:ascii="宋体" w:hAnsi="宋体" w:cs="Arial"/>
                <w:kern w:val="0"/>
                <w:sz w:val="24"/>
                <w:szCs w:val="24"/>
              </w:rPr>
            </w:pPr>
            <w:r>
              <w:rPr>
                <w:rFonts w:ascii="宋体" w:hAnsi="宋体" w:cs="Arial"/>
                <w:kern w:val="0"/>
                <w:sz w:val="24"/>
                <w:szCs w:val="24"/>
              </w:rPr>
              <w:t>34</w:t>
            </w:r>
          </w:p>
        </w:tc>
        <w:tc>
          <w:tcPr>
            <w:tcW w:w="3118" w:type="dxa"/>
            <w:tcBorders>
              <w:top w:val="nil"/>
              <w:left w:val="nil"/>
              <w:bottom w:val="single" w:color="auto" w:sz="4" w:space="0"/>
              <w:right w:val="single" w:color="auto" w:sz="4" w:space="0"/>
            </w:tcBorders>
            <w:shd w:val="clear" w:color="auto" w:fill="auto"/>
            <w:vAlign w:val="center"/>
          </w:tcPr>
          <w:p w14:paraId="1D70F8D3">
            <w:pPr>
              <w:widowControl/>
              <w:ind w:firstLine="0" w:firstLineChars="0"/>
              <w:jc w:val="center"/>
              <w:rPr>
                <w:rFonts w:ascii="宋体" w:hAnsi="宋体" w:cs="Arial"/>
                <w:kern w:val="0"/>
                <w:sz w:val="24"/>
                <w:szCs w:val="24"/>
              </w:rPr>
            </w:pPr>
            <w:r>
              <w:rPr>
                <w:rFonts w:ascii="宋体" w:hAnsi="宋体" w:cs="Arial"/>
                <w:kern w:val="0"/>
                <w:sz w:val="24"/>
                <w:szCs w:val="24"/>
              </w:rPr>
              <w:t>吉口3排水单元</w:t>
            </w:r>
          </w:p>
        </w:tc>
        <w:tc>
          <w:tcPr>
            <w:tcW w:w="1389" w:type="dxa"/>
            <w:tcBorders>
              <w:top w:val="nil"/>
              <w:left w:val="nil"/>
              <w:bottom w:val="single" w:color="auto" w:sz="4" w:space="0"/>
              <w:right w:val="single" w:color="auto" w:sz="4" w:space="0"/>
            </w:tcBorders>
            <w:shd w:val="clear" w:color="auto" w:fill="auto"/>
            <w:vAlign w:val="center"/>
          </w:tcPr>
          <w:p w14:paraId="12067F1C">
            <w:pPr>
              <w:widowControl/>
              <w:ind w:firstLine="0" w:firstLineChars="0"/>
              <w:jc w:val="center"/>
              <w:rPr>
                <w:rFonts w:ascii="宋体" w:hAnsi="宋体" w:cs="Arial"/>
                <w:kern w:val="0"/>
                <w:sz w:val="24"/>
                <w:szCs w:val="24"/>
              </w:rPr>
            </w:pPr>
            <w:r>
              <w:rPr>
                <w:rFonts w:ascii="宋体" w:hAnsi="宋体" w:cs="Arial"/>
                <w:kern w:val="0"/>
                <w:sz w:val="24"/>
                <w:szCs w:val="24"/>
              </w:rPr>
              <w:t>79.9%</w:t>
            </w:r>
          </w:p>
        </w:tc>
        <w:tc>
          <w:tcPr>
            <w:tcW w:w="708" w:type="dxa"/>
            <w:tcBorders>
              <w:top w:val="nil"/>
              <w:left w:val="nil"/>
              <w:bottom w:val="single" w:color="auto" w:sz="4" w:space="0"/>
              <w:right w:val="single" w:color="auto" w:sz="4" w:space="0"/>
            </w:tcBorders>
            <w:shd w:val="clear" w:color="auto" w:fill="auto"/>
            <w:noWrap/>
            <w:vAlign w:val="center"/>
          </w:tcPr>
          <w:p w14:paraId="1E472174">
            <w:pPr>
              <w:widowControl/>
              <w:ind w:firstLine="0" w:firstLineChars="0"/>
              <w:jc w:val="center"/>
              <w:rPr>
                <w:rFonts w:ascii="宋体" w:hAnsi="宋体" w:cs="Arial"/>
                <w:kern w:val="0"/>
                <w:sz w:val="24"/>
                <w:szCs w:val="24"/>
              </w:rPr>
            </w:pPr>
            <w:r>
              <w:rPr>
                <w:rFonts w:ascii="宋体" w:hAnsi="宋体" w:cs="Arial"/>
                <w:kern w:val="0"/>
                <w:sz w:val="24"/>
                <w:szCs w:val="24"/>
              </w:rPr>
              <w:t>87</w:t>
            </w:r>
          </w:p>
        </w:tc>
        <w:tc>
          <w:tcPr>
            <w:tcW w:w="2680" w:type="dxa"/>
            <w:tcBorders>
              <w:top w:val="nil"/>
              <w:left w:val="nil"/>
              <w:bottom w:val="single" w:color="auto" w:sz="4" w:space="0"/>
              <w:right w:val="single" w:color="auto" w:sz="4" w:space="0"/>
            </w:tcBorders>
            <w:shd w:val="clear" w:color="auto" w:fill="auto"/>
            <w:noWrap/>
            <w:vAlign w:val="center"/>
          </w:tcPr>
          <w:p w14:paraId="29DB0F2C">
            <w:pPr>
              <w:widowControl/>
              <w:ind w:firstLine="0" w:firstLineChars="0"/>
              <w:jc w:val="center"/>
              <w:rPr>
                <w:rFonts w:ascii="宋体" w:hAnsi="宋体" w:cs="Arial"/>
                <w:kern w:val="0"/>
                <w:sz w:val="24"/>
                <w:szCs w:val="24"/>
              </w:rPr>
            </w:pPr>
            <w:r>
              <w:rPr>
                <w:rFonts w:ascii="宋体" w:hAnsi="宋体" w:cs="Arial"/>
                <w:kern w:val="0"/>
                <w:sz w:val="24"/>
                <w:szCs w:val="24"/>
              </w:rPr>
              <w:t>溪东排水单元</w:t>
            </w:r>
          </w:p>
        </w:tc>
        <w:tc>
          <w:tcPr>
            <w:tcW w:w="1276" w:type="dxa"/>
            <w:tcBorders>
              <w:top w:val="nil"/>
              <w:left w:val="nil"/>
              <w:bottom w:val="single" w:color="auto" w:sz="4" w:space="0"/>
              <w:right w:val="single" w:color="auto" w:sz="4" w:space="0"/>
            </w:tcBorders>
            <w:shd w:val="clear" w:color="auto" w:fill="auto"/>
            <w:vAlign w:val="center"/>
          </w:tcPr>
          <w:p w14:paraId="53E1CF05">
            <w:pPr>
              <w:widowControl/>
              <w:ind w:firstLine="0" w:firstLineChars="0"/>
              <w:jc w:val="center"/>
              <w:rPr>
                <w:rFonts w:ascii="宋体" w:hAnsi="宋体" w:cs="Arial"/>
                <w:kern w:val="0"/>
                <w:sz w:val="24"/>
                <w:szCs w:val="24"/>
              </w:rPr>
            </w:pPr>
            <w:r>
              <w:rPr>
                <w:rFonts w:ascii="宋体" w:hAnsi="宋体" w:cs="Arial"/>
                <w:kern w:val="0"/>
                <w:sz w:val="24"/>
                <w:szCs w:val="24"/>
              </w:rPr>
              <w:t>83.7%</w:t>
            </w:r>
          </w:p>
        </w:tc>
      </w:tr>
      <w:tr w14:paraId="3790557A">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76839F5B">
            <w:pPr>
              <w:widowControl/>
              <w:ind w:firstLine="0" w:firstLineChars="0"/>
              <w:jc w:val="center"/>
              <w:rPr>
                <w:rFonts w:ascii="宋体" w:hAnsi="宋体" w:cs="Arial"/>
                <w:kern w:val="0"/>
                <w:sz w:val="24"/>
                <w:szCs w:val="24"/>
              </w:rPr>
            </w:pPr>
            <w:r>
              <w:rPr>
                <w:rFonts w:ascii="宋体" w:hAnsi="宋体" w:cs="Arial"/>
                <w:kern w:val="0"/>
                <w:sz w:val="24"/>
                <w:szCs w:val="24"/>
              </w:rPr>
              <w:t>35</w:t>
            </w:r>
          </w:p>
        </w:tc>
        <w:tc>
          <w:tcPr>
            <w:tcW w:w="3118" w:type="dxa"/>
            <w:tcBorders>
              <w:top w:val="nil"/>
              <w:left w:val="nil"/>
              <w:bottom w:val="single" w:color="auto" w:sz="4" w:space="0"/>
              <w:right w:val="single" w:color="auto" w:sz="4" w:space="0"/>
            </w:tcBorders>
            <w:shd w:val="clear" w:color="auto" w:fill="auto"/>
            <w:vAlign w:val="center"/>
          </w:tcPr>
          <w:p w14:paraId="328560B8">
            <w:pPr>
              <w:widowControl/>
              <w:ind w:firstLine="0" w:firstLineChars="0"/>
              <w:jc w:val="center"/>
              <w:rPr>
                <w:rFonts w:ascii="宋体" w:hAnsi="宋体" w:cs="Arial"/>
                <w:kern w:val="0"/>
                <w:sz w:val="24"/>
                <w:szCs w:val="24"/>
              </w:rPr>
            </w:pPr>
            <w:r>
              <w:rPr>
                <w:rFonts w:ascii="宋体" w:hAnsi="宋体" w:cs="Arial"/>
                <w:kern w:val="0"/>
                <w:sz w:val="24"/>
                <w:szCs w:val="24"/>
              </w:rPr>
              <w:t>吉口4排水单元</w:t>
            </w:r>
          </w:p>
        </w:tc>
        <w:tc>
          <w:tcPr>
            <w:tcW w:w="1389" w:type="dxa"/>
            <w:tcBorders>
              <w:top w:val="nil"/>
              <w:left w:val="nil"/>
              <w:bottom w:val="single" w:color="auto" w:sz="4" w:space="0"/>
              <w:right w:val="single" w:color="auto" w:sz="4" w:space="0"/>
            </w:tcBorders>
            <w:shd w:val="clear" w:color="auto" w:fill="auto"/>
            <w:vAlign w:val="center"/>
          </w:tcPr>
          <w:p w14:paraId="41DC33A8">
            <w:pPr>
              <w:widowControl/>
              <w:ind w:firstLine="0" w:firstLineChars="0"/>
              <w:jc w:val="center"/>
              <w:rPr>
                <w:rFonts w:ascii="宋体" w:hAnsi="宋体" w:cs="Arial"/>
                <w:kern w:val="0"/>
                <w:sz w:val="24"/>
                <w:szCs w:val="24"/>
              </w:rPr>
            </w:pPr>
            <w:r>
              <w:rPr>
                <w:rFonts w:ascii="宋体" w:hAnsi="宋体" w:cs="Arial"/>
                <w:kern w:val="0"/>
                <w:sz w:val="24"/>
                <w:szCs w:val="24"/>
              </w:rPr>
              <w:t>78.5%</w:t>
            </w:r>
          </w:p>
        </w:tc>
        <w:tc>
          <w:tcPr>
            <w:tcW w:w="708" w:type="dxa"/>
            <w:tcBorders>
              <w:top w:val="nil"/>
              <w:left w:val="nil"/>
              <w:bottom w:val="single" w:color="auto" w:sz="4" w:space="0"/>
              <w:right w:val="single" w:color="auto" w:sz="4" w:space="0"/>
            </w:tcBorders>
            <w:shd w:val="clear" w:color="auto" w:fill="auto"/>
            <w:noWrap/>
            <w:vAlign w:val="center"/>
          </w:tcPr>
          <w:p w14:paraId="37B69271">
            <w:pPr>
              <w:widowControl/>
              <w:ind w:firstLine="0" w:firstLineChars="0"/>
              <w:jc w:val="center"/>
              <w:rPr>
                <w:rFonts w:ascii="宋体" w:hAnsi="宋体" w:cs="Arial"/>
                <w:kern w:val="0"/>
                <w:sz w:val="24"/>
                <w:szCs w:val="24"/>
              </w:rPr>
            </w:pPr>
            <w:r>
              <w:rPr>
                <w:rFonts w:ascii="宋体" w:hAnsi="宋体" w:cs="Arial"/>
                <w:kern w:val="0"/>
                <w:sz w:val="24"/>
                <w:szCs w:val="24"/>
              </w:rPr>
              <w:t>88</w:t>
            </w:r>
          </w:p>
        </w:tc>
        <w:tc>
          <w:tcPr>
            <w:tcW w:w="2680" w:type="dxa"/>
            <w:tcBorders>
              <w:top w:val="nil"/>
              <w:left w:val="nil"/>
              <w:bottom w:val="single" w:color="auto" w:sz="4" w:space="0"/>
              <w:right w:val="single" w:color="auto" w:sz="4" w:space="0"/>
            </w:tcBorders>
            <w:shd w:val="clear" w:color="auto" w:fill="auto"/>
            <w:noWrap/>
            <w:vAlign w:val="center"/>
          </w:tcPr>
          <w:p w14:paraId="721CCDCB">
            <w:pPr>
              <w:widowControl/>
              <w:ind w:firstLine="0" w:firstLineChars="0"/>
              <w:jc w:val="center"/>
              <w:rPr>
                <w:rFonts w:ascii="宋体" w:hAnsi="宋体" w:cs="Arial"/>
                <w:kern w:val="0"/>
                <w:sz w:val="24"/>
                <w:szCs w:val="24"/>
              </w:rPr>
            </w:pPr>
            <w:r>
              <w:rPr>
                <w:rFonts w:ascii="宋体" w:hAnsi="宋体" w:cs="Arial"/>
                <w:kern w:val="0"/>
                <w:sz w:val="24"/>
                <w:szCs w:val="24"/>
              </w:rPr>
              <w:t>金明东路排水单元</w:t>
            </w:r>
          </w:p>
        </w:tc>
        <w:tc>
          <w:tcPr>
            <w:tcW w:w="1276" w:type="dxa"/>
            <w:tcBorders>
              <w:top w:val="nil"/>
              <w:left w:val="nil"/>
              <w:bottom w:val="single" w:color="auto" w:sz="4" w:space="0"/>
              <w:right w:val="single" w:color="auto" w:sz="4" w:space="0"/>
            </w:tcBorders>
            <w:shd w:val="clear" w:color="auto" w:fill="auto"/>
            <w:vAlign w:val="center"/>
          </w:tcPr>
          <w:p w14:paraId="560FCF4B">
            <w:pPr>
              <w:widowControl/>
              <w:ind w:firstLine="0" w:firstLineChars="0"/>
              <w:jc w:val="center"/>
              <w:rPr>
                <w:rFonts w:ascii="宋体" w:hAnsi="宋体" w:cs="Arial"/>
                <w:kern w:val="0"/>
                <w:sz w:val="24"/>
                <w:szCs w:val="24"/>
              </w:rPr>
            </w:pPr>
            <w:r>
              <w:rPr>
                <w:rFonts w:ascii="宋体" w:hAnsi="宋体" w:cs="Arial"/>
                <w:kern w:val="0"/>
                <w:sz w:val="24"/>
                <w:szCs w:val="24"/>
              </w:rPr>
              <w:t>75.6%</w:t>
            </w:r>
          </w:p>
        </w:tc>
      </w:tr>
      <w:tr w14:paraId="11F1B786">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372BEC02">
            <w:pPr>
              <w:widowControl/>
              <w:ind w:firstLine="0" w:firstLineChars="0"/>
              <w:jc w:val="center"/>
              <w:rPr>
                <w:rFonts w:ascii="宋体" w:hAnsi="宋体" w:cs="Arial"/>
                <w:kern w:val="0"/>
                <w:sz w:val="24"/>
                <w:szCs w:val="24"/>
              </w:rPr>
            </w:pPr>
            <w:r>
              <w:rPr>
                <w:rFonts w:ascii="宋体" w:hAnsi="宋体" w:cs="Arial"/>
                <w:kern w:val="0"/>
                <w:sz w:val="24"/>
                <w:szCs w:val="24"/>
              </w:rPr>
              <w:t>36</w:t>
            </w:r>
          </w:p>
        </w:tc>
        <w:tc>
          <w:tcPr>
            <w:tcW w:w="3118" w:type="dxa"/>
            <w:tcBorders>
              <w:top w:val="nil"/>
              <w:left w:val="nil"/>
              <w:bottom w:val="single" w:color="auto" w:sz="4" w:space="0"/>
              <w:right w:val="single" w:color="auto" w:sz="4" w:space="0"/>
            </w:tcBorders>
            <w:shd w:val="clear" w:color="auto" w:fill="auto"/>
            <w:vAlign w:val="center"/>
          </w:tcPr>
          <w:p w14:paraId="2B09D588">
            <w:pPr>
              <w:widowControl/>
              <w:ind w:firstLine="0" w:firstLineChars="0"/>
              <w:jc w:val="center"/>
              <w:rPr>
                <w:rFonts w:ascii="宋体" w:hAnsi="宋体" w:cs="Arial"/>
                <w:kern w:val="0"/>
                <w:sz w:val="24"/>
                <w:szCs w:val="24"/>
              </w:rPr>
            </w:pPr>
            <w:r>
              <w:rPr>
                <w:rFonts w:ascii="宋体" w:hAnsi="宋体" w:cs="Arial"/>
                <w:kern w:val="0"/>
                <w:sz w:val="24"/>
                <w:szCs w:val="24"/>
              </w:rPr>
              <w:t>吉口5排水单元</w:t>
            </w:r>
          </w:p>
        </w:tc>
        <w:tc>
          <w:tcPr>
            <w:tcW w:w="1389" w:type="dxa"/>
            <w:tcBorders>
              <w:top w:val="nil"/>
              <w:left w:val="nil"/>
              <w:bottom w:val="single" w:color="auto" w:sz="4" w:space="0"/>
              <w:right w:val="single" w:color="auto" w:sz="4" w:space="0"/>
            </w:tcBorders>
            <w:shd w:val="clear" w:color="auto" w:fill="auto"/>
            <w:vAlign w:val="center"/>
          </w:tcPr>
          <w:p w14:paraId="33517CDA">
            <w:pPr>
              <w:widowControl/>
              <w:ind w:firstLine="0" w:firstLineChars="0"/>
              <w:jc w:val="center"/>
              <w:rPr>
                <w:rFonts w:ascii="宋体" w:hAnsi="宋体" w:cs="Arial"/>
                <w:kern w:val="0"/>
                <w:sz w:val="24"/>
                <w:szCs w:val="24"/>
              </w:rPr>
            </w:pPr>
            <w:r>
              <w:rPr>
                <w:rFonts w:ascii="宋体" w:hAnsi="宋体" w:cs="Arial"/>
                <w:kern w:val="0"/>
                <w:sz w:val="24"/>
                <w:szCs w:val="24"/>
              </w:rPr>
              <w:t>79.2%</w:t>
            </w:r>
          </w:p>
        </w:tc>
        <w:tc>
          <w:tcPr>
            <w:tcW w:w="708" w:type="dxa"/>
            <w:tcBorders>
              <w:top w:val="nil"/>
              <w:left w:val="nil"/>
              <w:bottom w:val="single" w:color="auto" w:sz="4" w:space="0"/>
              <w:right w:val="single" w:color="auto" w:sz="4" w:space="0"/>
            </w:tcBorders>
            <w:shd w:val="clear" w:color="auto" w:fill="auto"/>
            <w:noWrap/>
            <w:vAlign w:val="center"/>
          </w:tcPr>
          <w:p w14:paraId="582F84BF">
            <w:pPr>
              <w:widowControl/>
              <w:ind w:firstLine="0" w:firstLineChars="0"/>
              <w:jc w:val="center"/>
              <w:rPr>
                <w:rFonts w:ascii="宋体" w:hAnsi="宋体" w:cs="Arial"/>
                <w:kern w:val="0"/>
                <w:sz w:val="24"/>
                <w:szCs w:val="24"/>
              </w:rPr>
            </w:pPr>
            <w:r>
              <w:rPr>
                <w:rFonts w:ascii="宋体" w:hAnsi="宋体" w:cs="Arial"/>
                <w:kern w:val="0"/>
                <w:sz w:val="24"/>
                <w:szCs w:val="24"/>
              </w:rPr>
              <w:t>89</w:t>
            </w:r>
          </w:p>
        </w:tc>
        <w:tc>
          <w:tcPr>
            <w:tcW w:w="2680" w:type="dxa"/>
            <w:tcBorders>
              <w:top w:val="nil"/>
              <w:left w:val="nil"/>
              <w:bottom w:val="single" w:color="auto" w:sz="4" w:space="0"/>
              <w:right w:val="single" w:color="auto" w:sz="4" w:space="0"/>
            </w:tcBorders>
            <w:shd w:val="clear" w:color="auto" w:fill="auto"/>
            <w:noWrap/>
            <w:vAlign w:val="center"/>
          </w:tcPr>
          <w:p w14:paraId="32046D27">
            <w:pPr>
              <w:widowControl/>
              <w:ind w:firstLine="0" w:firstLineChars="0"/>
              <w:jc w:val="center"/>
              <w:rPr>
                <w:rFonts w:ascii="宋体" w:hAnsi="宋体" w:cs="Arial"/>
                <w:kern w:val="0"/>
                <w:sz w:val="24"/>
                <w:szCs w:val="24"/>
              </w:rPr>
            </w:pPr>
            <w:r>
              <w:rPr>
                <w:rFonts w:ascii="宋体" w:hAnsi="宋体" w:cs="Arial"/>
                <w:kern w:val="0"/>
                <w:sz w:val="24"/>
                <w:szCs w:val="24"/>
              </w:rPr>
              <w:t>金沙东路排水单元</w:t>
            </w:r>
          </w:p>
        </w:tc>
        <w:tc>
          <w:tcPr>
            <w:tcW w:w="1276" w:type="dxa"/>
            <w:tcBorders>
              <w:top w:val="nil"/>
              <w:left w:val="nil"/>
              <w:bottom w:val="single" w:color="auto" w:sz="4" w:space="0"/>
              <w:right w:val="single" w:color="auto" w:sz="4" w:space="0"/>
            </w:tcBorders>
            <w:shd w:val="clear" w:color="auto" w:fill="auto"/>
            <w:vAlign w:val="center"/>
          </w:tcPr>
          <w:p w14:paraId="6EDC3BDE">
            <w:pPr>
              <w:widowControl/>
              <w:ind w:firstLine="0" w:firstLineChars="0"/>
              <w:jc w:val="center"/>
              <w:rPr>
                <w:rFonts w:ascii="宋体" w:hAnsi="宋体" w:cs="Arial"/>
                <w:kern w:val="0"/>
                <w:sz w:val="24"/>
                <w:szCs w:val="24"/>
              </w:rPr>
            </w:pPr>
            <w:r>
              <w:rPr>
                <w:rFonts w:ascii="宋体" w:hAnsi="宋体" w:cs="Arial"/>
                <w:kern w:val="0"/>
                <w:sz w:val="24"/>
                <w:szCs w:val="24"/>
              </w:rPr>
              <w:t>82.9%</w:t>
            </w:r>
          </w:p>
        </w:tc>
      </w:tr>
      <w:tr w14:paraId="1D78DD07">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11A5D89">
            <w:pPr>
              <w:widowControl/>
              <w:ind w:firstLine="0" w:firstLineChars="0"/>
              <w:jc w:val="center"/>
              <w:rPr>
                <w:rFonts w:ascii="宋体" w:hAnsi="宋体" w:cs="Arial"/>
                <w:kern w:val="0"/>
                <w:sz w:val="24"/>
                <w:szCs w:val="24"/>
              </w:rPr>
            </w:pPr>
            <w:r>
              <w:rPr>
                <w:rFonts w:ascii="宋体" w:hAnsi="宋体" w:cs="Arial"/>
                <w:kern w:val="0"/>
                <w:sz w:val="24"/>
                <w:szCs w:val="24"/>
              </w:rPr>
              <w:t>37</w:t>
            </w:r>
          </w:p>
        </w:tc>
        <w:tc>
          <w:tcPr>
            <w:tcW w:w="3118" w:type="dxa"/>
            <w:tcBorders>
              <w:top w:val="nil"/>
              <w:left w:val="nil"/>
              <w:bottom w:val="single" w:color="auto" w:sz="4" w:space="0"/>
              <w:right w:val="single" w:color="auto" w:sz="4" w:space="0"/>
            </w:tcBorders>
            <w:shd w:val="clear" w:color="auto" w:fill="auto"/>
            <w:vAlign w:val="center"/>
          </w:tcPr>
          <w:p w14:paraId="6B82F9AE">
            <w:pPr>
              <w:widowControl/>
              <w:ind w:firstLine="0" w:firstLineChars="0"/>
              <w:jc w:val="center"/>
              <w:rPr>
                <w:rFonts w:ascii="宋体" w:hAnsi="宋体" w:cs="Arial"/>
                <w:kern w:val="0"/>
                <w:sz w:val="24"/>
                <w:szCs w:val="24"/>
              </w:rPr>
            </w:pPr>
            <w:r>
              <w:rPr>
                <w:rFonts w:ascii="宋体" w:hAnsi="宋体" w:cs="Arial"/>
                <w:kern w:val="0"/>
                <w:sz w:val="24"/>
                <w:szCs w:val="24"/>
              </w:rPr>
              <w:t>岩前西排水单元</w:t>
            </w:r>
          </w:p>
        </w:tc>
        <w:tc>
          <w:tcPr>
            <w:tcW w:w="1389" w:type="dxa"/>
            <w:tcBorders>
              <w:top w:val="nil"/>
              <w:left w:val="nil"/>
              <w:bottom w:val="single" w:color="auto" w:sz="4" w:space="0"/>
              <w:right w:val="single" w:color="auto" w:sz="4" w:space="0"/>
            </w:tcBorders>
            <w:shd w:val="clear" w:color="auto" w:fill="auto"/>
            <w:vAlign w:val="center"/>
          </w:tcPr>
          <w:p w14:paraId="1AB168CC">
            <w:pPr>
              <w:widowControl/>
              <w:ind w:firstLine="0" w:firstLineChars="0"/>
              <w:jc w:val="center"/>
              <w:rPr>
                <w:rFonts w:ascii="宋体" w:hAnsi="宋体" w:cs="Arial"/>
                <w:kern w:val="0"/>
                <w:sz w:val="24"/>
                <w:szCs w:val="24"/>
              </w:rPr>
            </w:pPr>
            <w:r>
              <w:rPr>
                <w:rFonts w:ascii="宋体" w:hAnsi="宋体" w:cs="Arial"/>
                <w:kern w:val="0"/>
                <w:sz w:val="24"/>
                <w:szCs w:val="24"/>
              </w:rPr>
              <w:t>73.1%</w:t>
            </w:r>
          </w:p>
        </w:tc>
        <w:tc>
          <w:tcPr>
            <w:tcW w:w="708" w:type="dxa"/>
            <w:tcBorders>
              <w:top w:val="nil"/>
              <w:left w:val="nil"/>
              <w:bottom w:val="single" w:color="auto" w:sz="4" w:space="0"/>
              <w:right w:val="single" w:color="auto" w:sz="4" w:space="0"/>
            </w:tcBorders>
            <w:shd w:val="clear" w:color="auto" w:fill="auto"/>
            <w:noWrap/>
            <w:vAlign w:val="center"/>
          </w:tcPr>
          <w:p w14:paraId="230E1E5F">
            <w:pPr>
              <w:widowControl/>
              <w:ind w:firstLine="0" w:firstLineChars="0"/>
              <w:jc w:val="center"/>
              <w:rPr>
                <w:rFonts w:ascii="宋体" w:hAnsi="宋体" w:cs="Arial"/>
                <w:kern w:val="0"/>
                <w:sz w:val="24"/>
                <w:szCs w:val="24"/>
              </w:rPr>
            </w:pPr>
            <w:r>
              <w:rPr>
                <w:rFonts w:ascii="宋体" w:hAnsi="宋体" w:cs="Arial"/>
                <w:kern w:val="0"/>
                <w:sz w:val="24"/>
                <w:szCs w:val="24"/>
              </w:rPr>
              <w:t>90</w:t>
            </w:r>
          </w:p>
        </w:tc>
        <w:tc>
          <w:tcPr>
            <w:tcW w:w="2680" w:type="dxa"/>
            <w:tcBorders>
              <w:top w:val="nil"/>
              <w:left w:val="nil"/>
              <w:bottom w:val="single" w:color="auto" w:sz="4" w:space="0"/>
              <w:right w:val="single" w:color="auto" w:sz="4" w:space="0"/>
            </w:tcBorders>
            <w:shd w:val="clear" w:color="auto" w:fill="auto"/>
            <w:noWrap/>
            <w:vAlign w:val="center"/>
          </w:tcPr>
          <w:p w14:paraId="6FAFE831">
            <w:pPr>
              <w:widowControl/>
              <w:ind w:firstLine="0" w:firstLineChars="0"/>
              <w:jc w:val="center"/>
              <w:rPr>
                <w:rFonts w:ascii="宋体" w:hAnsi="宋体" w:cs="Arial"/>
                <w:kern w:val="0"/>
                <w:sz w:val="24"/>
                <w:szCs w:val="24"/>
              </w:rPr>
            </w:pPr>
            <w:r>
              <w:rPr>
                <w:rFonts w:ascii="宋体" w:hAnsi="宋体" w:cs="Arial"/>
                <w:kern w:val="0"/>
                <w:sz w:val="24"/>
                <w:szCs w:val="24"/>
              </w:rPr>
              <w:t>长兴路排水单元</w:t>
            </w:r>
          </w:p>
        </w:tc>
        <w:tc>
          <w:tcPr>
            <w:tcW w:w="1276" w:type="dxa"/>
            <w:tcBorders>
              <w:top w:val="nil"/>
              <w:left w:val="nil"/>
              <w:bottom w:val="single" w:color="auto" w:sz="4" w:space="0"/>
              <w:right w:val="single" w:color="auto" w:sz="4" w:space="0"/>
            </w:tcBorders>
            <w:shd w:val="clear" w:color="auto" w:fill="auto"/>
            <w:vAlign w:val="center"/>
          </w:tcPr>
          <w:p w14:paraId="4A6B9D28">
            <w:pPr>
              <w:widowControl/>
              <w:ind w:firstLine="0" w:firstLineChars="0"/>
              <w:jc w:val="center"/>
              <w:rPr>
                <w:rFonts w:ascii="宋体" w:hAnsi="宋体" w:cs="Arial"/>
                <w:kern w:val="0"/>
                <w:sz w:val="24"/>
                <w:szCs w:val="24"/>
              </w:rPr>
            </w:pPr>
            <w:r>
              <w:rPr>
                <w:rFonts w:ascii="宋体" w:hAnsi="宋体" w:cs="Arial"/>
                <w:kern w:val="0"/>
                <w:sz w:val="24"/>
                <w:szCs w:val="24"/>
              </w:rPr>
              <w:t>76.1%</w:t>
            </w:r>
          </w:p>
        </w:tc>
      </w:tr>
      <w:tr w14:paraId="7759CDA8">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0C412AF">
            <w:pPr>
              <w:widowControl/>
              <w:ind w:firstLine="0" w:firstLineChars="0"/>
              <w:jc w:val="center"/>
              <w:rPr>
                <w:rFonts w:ascii="宋体" w:hAnsi="宋体" w:cs="Arial"/>
                <w:kern w:val="0"/>
                <w:sz w:val="24"/>
                <w:szCs w:val="24"/>
              </w:rPr>
            </w:pPr>
            <w:r>
              <w:rPr>
                <w:rFonts w:ascii="宋体" w:hAnsi="宋体" w:cs="Arial"/>
                <w:kern w:val="0"/>
                <w:sz w:val="24"/>
                <w:szCs w:val="24"/>
              </w:rPr>
              <w:t>38</w:t>
            </w:r>
          </w:p>
        </w:tc>
        <w:tc>
          <w:tcPr>
            <w:tcW w:w="3118" w:type="dxa"/>
            <w:tcBorders>
              <w:top w:val="nil"/>
              <w:left w:val="nil"/>
              <w:bottom w:val="single" w:color="auto" w:sz="4" w:space="0"/>
              <w:right w:val="single" w:color="auto" w:sz="4" w:space="0"/>
            </w:tcBorders>
            <w:shd w:val="clear" w:color="auto" w:fill="auto"/>
            <w:vAlign w:val="center"/>
          </w:tcPr>
          <w:p w14:paraId="3D0DA5CE">
            <w:pPr>
              <w:widowControl/>
              <w:ind w:firstLine="0" w:firstLineChars="0"/>
              <w:jc w:val="center"/>
              <w:rPr>
                <w:rFonts w:ascii="宋体" w:hAnsi="宋体" w:cs="Arial"/>
                <w:kern w:val="0"/>
                <w:sz w:val="24"/>
                <w:szCs w:val="24"/>
              </w:rPr>
            </w:pPr>
            <w:r>
              <w:rPr>
                <w:rFonts w:ascii="宋体" w:hAnsi="宋体" w:cs="Arial"/>
                <w:kern w:val="0"/>
                <w:sz w:val="24"/>
                <w:szCs w:val="24"/>
              </w:rPr>
              <w:t>岩前东排水单元</w:t>
            </w:r>
          </w:p>
        </w:tc>
        <w:tc>
          <w:tcPr>
            <w:tcW w:w="1389" w:type="dxa"/>
            <w:tcBorders>
              <w:top w:val="nil"/>
              <w:left w:val="nil"/>
              <w:bottom w:val="single" w:color="auto" w:sz="4" w:space="0"/>
              <w:right w:val="single" w:color="auto" w:sz="4" w:space="0"/>
            </w:tcBorders>
            <w:shd w:val="clear" w:color="auto" w:fill="auto"/>
            <w:vAlign w:val="center"/>
          </w:tcPr>
          <w:p w14:paraId="4F9EAEB2">
            <w:pPr>
              <w:widowControl/>
              <w:ind w:firstLine="0" w:firstLineChars="0"/>
              <w:jc w:val="center"/>
              <w:rPr>
                <w:rFonts w:ascii="宋体" w:hAnsi="宋体" w:cs="Arial"/>
                <w:kern w:val="0"/>
                <w:sz w:val="24"/>
                <w:szCs w:val="24"/>
              </w:rPr>
            </w:pPr>
            <w:r>
              <w:rPr>
                <w:rFonts w:ascii="宋体" w:hAnsi="宋体" w:cs="Arial"/>
                <w:kern w:val="0"/>
                <w:sz w:val="24"/>
                <w:szCs w:val="24"/>
              </w:rPr>
              <w:t>80.7%</w:t>
            </w:r>
          </w:p>
        </w:tc>
        <w:tc>
          <w:tcPr>
            <w:tcW w:w="708" w:type="dxa"/>
            <w:tcBorders>
              <w:top w:val="nil"/>
              <w:left w:val="nil"/>
              <w:bottom w:val="single" w:color="auto" w:sz="4" w:space="0"/>
              <w:right w:val="single" w:color="auto" w:sz="4" w:space="0"/>
            </w:tcBorders>
            <w:shd w:val="clear" w:color="auto" w:fill="auto"/>
            <w:noWrap/>
            <w:vAlign w:val="center"/>
          </w:tcPr>
          <w:p w14:paraId="15A0BADC">
            <w:pPr>
              <w:widowControl/>
              <w:ind w:firstLine="0" w:firstLineChars="0"/>
              <w:jc w:val="center"/>
              <w:rPr>
                <w:rFonts w:ascii="宋体" w:hAnsi="宋体" w:cs="Arial"/>
                <w:kern w:val="0"/>
                <w:sz w:val="24"/>
                <w:szCs w:val="24"/>
              </w:rPr>
            </w:pPr>
            <w:r>
              <w:rPr>
                <w:rFonts w:ascii="宋体" w:hAnsi="宋体" w:cs="Arial"/>
                <w:kern w:val="0"/>
                <w:sz w:val="24"/>
                <w:szCs w:val="24"/>
              </w:rPr>
              <w:t>91</w:t>
            </w:r>
          </w:p>
        </w:tc>
        <w:tc>
          <w:tcPr>
            <w:tcW w:w="2680" w:type="dxa"/>
            <w:tcBorders>
              <w:top w:val="nil"/>
              <w:left w:val="nil"/>
              <w:bottom w:val="single" w:color="auto" w:sz="4" w:space="0"/>
              <w:right w:val="single" w:color="auto" w:sz="4" w:space="0"/>
            </w:tcBorders>
            <w:shd w:val="clear" w:color="auto" w:fill="auto"/>
            <w:noWrap/>
            <w:vAlign w:val="center"/>
          </w:tcPr>
          <w:p w14:paraId="522D3561">
            <w:pPr>
              <w:widowControl/>
              <w:ind w:firstLine="0" w:firstLineChars="0"/>
              <w:jc w:val="center"/>
              <w:rPr>
                <w:rFonts w:ascii="宋体" w:hAnsi="宋体" w:cs="Arial"/>
                <w:kern w:val="0"/>
                <w:sz w:val="24"/>
                <w:szCs w:val="24"/>
              </w:rPr>
            </w:pPr>
            <w:r>
              <w:rPr>
                <w:rFonts w:ascii="宋体" w:hAnsi="宋体" w:cs="Arial"/>
                <w:kern w:val="0"/>
                <w:sz w:val="24"/>
                <w:szCs w:val="24"/>
              </w:rPr>
              <w:t>东门排水单元</w:t>
            </w:r>
          </w:p>
        </w:tc>
        <w:tc>
          <w:tcPr>
            <w:tcW w:w="1276" w:type="dxa"/>
            <w:tcBorders>
              <w:top w:val="nil"/>
              <w:left w:val="nil"/>
              <w:bottom w:val="single" w:color="auto" w:sz="4" w:space="0"/>
              <w:right w:val="single" w:color="auto" w:sz="4" w:space="0"/>
            </w:tcBorders>
            <w:shd w:val="clear" w:color="auto" w:fill="auto"/>
            <w:vAlign w:val="center"/>
          </w:tcPr>
          <w:p w14:paraId="2B65B191">
            <w:pPr>
              <w:widowControl/>
              <w:ind w:firstLine="0" w:firstLineChars="0"/>
              <w:jc w:val="center"/>
              <w:rPr>
                <w:rFonts w:ascii="宋体" w:hAnsi="宋体" w:cs="Arial"/>
                <w:kern w:val="0"/>
                <w:sz w:val="24"/>
                <w:szCs w:val="24"/>
              </w:rPr>
            </w:pPr>
            <w:r>
              <w:rPr>
                <w:rFonts w:ascii="宋体" w:hAnsi="宋体" w:cs="Arial"/>
                <w:kern w:val="0"/>
                <w:sz w:val="24"/>
                <w:szCs w:val="24"/>
              </w:rPr>
              <w:t>60.6%</w:t>
            </w:r>
          </w:p>
        </w:tc>
      </w:tr>
      <w:tr w14:paraId="5C13AB84">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B3398E5">
            <w:pPr>
              <w:widowControl/>
              <w:ind w:firstLine="0" w:firstLineChars="0"/>
              <w:jc w:val="center"/>
              <w:rPr>
                <w:rFonts w:ascii="宋体" w:hAnsi="宋体" w:cs="Arial"/>
                <w:kern w:val="0"/>
                <w:sz w:val="24"/>
                <w:szCs w:val="24"/>
              </w:rPr>
            </w:pPr>
            <w:r>
              <w:rPr>
                <w:rFonts w:ascii="宋体" w:hAnsi="宋体" w:cs="Arial"/>
                <w:kern w:val="0"/>
                <w:sz w:val="24"/>
                <w:szCs w:val="24"/>
              </w:rPr>
              <w:t>39</w:t>
            </w:r>
          </w:p>
        </w:tc>
        <w:tc>
          <w:tcPr>
            <w:tcW w:w="3118" w:type="dxa"/>
            <w:tcBorders>
              <w:top w:val="nil"/>
              <w:left w:val="nil"/>
              <w:bottom w:val="single" w:color="auto" w:sz="4" w:space="0"/>
              <w:right w:val="single" w:color="auto" w:sz="4" w:space="0"/>
            </w:tcBorders>
            <w:shd w:val="clear" w:color="auto" w:fill="auto"/>
            <w:vAlign w:val="center"/>
          </w:tcPr>
          <w:p w14:paraId="157D7491">
            <w:pPr>
              <w:widowControl/>
              <w:ind w:firstLine="0" w:firstLineChars="0"/>
              <w:jc w:val="center"/>
              <w:rPr>
                <w:rFonts w:ascii="宋体" w:hAnsi="宋体" w:cs="Arial"/>
                <w:kern w:val="0"/>
                <w:sz w:val="24"/>
                <w:szCs w:val="24"/>
              </w:rPr>
            </w:pPr>
            <w:r>
              <w:rPr>
                <w:rFonts w:ascii="宋体" w:hAnsi="宋体" w:cs="Arial"/>
                <w:kern w:val="0"/>
                <w:sz w:val="24"/>
                <w:szCs w:val="24"/>
              </w:rPr>
              <w:t>垃圾焚烧厂排水单元</w:t>
            </w:r>
          </w:p>
        </w:tc>
        <w:tc>
          <w:tcPr>
            <w:tcW w:w="1389" w:type="dxa"/>
            <w:tcBorders>
              <w:top w:val="nil"/>
              <w:left w:val="nil"/>
              <w:bottom w:val="single" w:color="auto" w:sz="4" w:space="0"/>
              <w:right w:val="single" w:color="auto" w:sz="4" w:space="0"/>
            </w:tcBorders>
            <w:shd w:val="clear" w:color="auto" w:fill="auto"/>
            <w:vAlign w:val="center"/>
          </w:tcPr>
          <w:p w14:paraId="08ED9D52">
            <w:pPr>
              <w:widowControl/>
              <w:ind w:firstLine="0" w:firstLineChars="0"/>
              <w:jc w:val="center"/>
              <w:rPr>
                <w:rFonts w:ascii="宋体" w:hAnsi="宋体" w:cs="Arial"/>
                <w:kern w:val="0"/>
                <w:sz w:val="24"/>
                <w:szCs w:val="24"/>
              </w:rPr>
            </w:pPr>
            <w:r>
              <w:rPr>
                <w:rFonts w:ascii="宋体" w:hAnsi="宋体" w:cs="Arial"/>
                <w:kern w:val="0"/>
                <w:sz w:val="24"/>
                <w:szCs w:val="24"/>
              </w:rPr>
              <w:t>63.2%</w:t>
            </w:r>
          </w:p>
        </w:tc>
        <w:tc>
          <w:tcPr>
            <w:tcW w:w="708" w:type="dxa"/>
            <w:tcBorders>
              <w:top w:val="nil"/>
              <w:left w:val="nil"/>
              <w:bottom w:val="single" w:color="auto" w:sz="4" w:space="0"/>
              <w:right w:val="single" w:color="auto" w:sz="4" w:space="0"/>
            </w:tcBorders>
            <w:shd w:val="clear" w:color="auto" w:fill="auto"/>
            <w:noWrap/>
            <w:vAlign w:val="center"/>
          </w:tcPr>
          <w:p w14:paraId="1EB90093">
            <w:pPr>
              <w:widowControl/>
              <w:ind w:firstLine="0" w:firstLineChars="0"/>
              <w:jc w:val="center"/>
              <w:rPr>
                <w:rFonts w:ascii="宋体" w:hAnsi="宋体" w:cs="Arial"/>
                <w:kern w:val="0"/>
                <w:sz w:val="24"/>
                <w:szCs w:val="24"/>
              </w:rPr>
            </w:pPr>
            <w:r>
              <w:rPr>
                <w:rFonts w:ascii="宋体" w:hAnsi="宋体" w:cs="Arial"/>
                <w:kern w:val="0"/>
                <w:sz w:val="24"/>
                <w:szCs w:val="24"/>
              </w:rPr>
              <w:t>92</w:t>
            </w:r>
          </w:p>
        </w:tc>
        <w:tc>
          <w:tcPr>
            <w:tcW w:w="2680" w:type="dxa"/>
            <w:tcBorders>
              <w:top w:val="nil"/>
              <w:left w:val="nil"/>
              <w:bottom w:val="single" w:color="auto" w:sz="4" w:space="0"/>
              <w:right w:val="single" w:color="auto" w:sz="4" w:space="0"/>
            </w:tcBorders>
            <w:shd w:val="clear" w:color="auto" w:fill="auto"/>
            <w:noWrap/>
            <w:vAlign w:val="center"/>
          </w:tcPr>
          <w:p w14:paraId="3A57BA34">
            <w:pPr>
              <w:widowControl/>
              <w:ind w:firstLine="0" w:firstLineChars="0"/>
              <w:jc w:val="center"/>
              <w:rPr>
                <w:rFonts w:ascii="宋体" w:hAnsi="宋体" w:cs="Arial"/>
                <w:kern w:val="0"/>
                <w:sz w:val="24"/>
                <w:szCs w:val="24"/>
              </w:rPr>
            </w:pPr>
            <w:r>
              <w:rPr>
                <w:rFonts w:ascii="宋体" w:hAnsi="宋体" w:cs="Arial"/>
                <w:kern w:val="0"/>
                <w:sz w:val="24"/>
                <w:szCs w:val="24"/>
              </w:rPr>
              <w:t>长泰南路排水单元</w:t>
            </w:r>
          </w:p>
        </w:tc>
        <w:tc>
          <w:tcPr>
            <w:tcW w:w="1276" w:type="dxa"/>
            <w:tcBorders>
              <w:top w:val="nil"/>
              <w:left w:val="nil"/>
              <w:bottom w:val="single" w:color="auto" w:sz="4" w:space="0"/>
              <w:right w:val="single" w:color="auto" w:sz="4" w:space="0"/>
            </w:tcBorders>
            <w:shd w:val="clear" w:color="auto" w:fill="auto"/>
            <w:vAlign w:val="center"/>
          </w:tcPr>
          <w:p w14:paraId="528F3C93">
            <w:pPr>
              <w:widowControl/>
              <w:ind w:firstLine="0" w:firstLineChars="0"/>
              <w:jc w:val="center"/>
              <w:rPr>
                <w:rFonts w:ascii="宋体" w:hAnsi="宋体" w:cs="Arial"/>
                <w:kern w:val="0"/>
                <w:sz w:val="24"/>
                <w:szCs w:val="24"/>
              </w:rPr>
            </w:pPr>
            <w:r>
              <w:rPr>
                <w:rFonts w:ascii="宋体" w:hAnsi="宋体" w:cs="Arial"/>
                <w:kern w:val="0"/>
                <w:sz w:val="24"/>
                <w:szCs w:val="24"/>
              </w:rPr>
              <w:t>72.6%</w:t>
            </w:r>
          </w:p>
        </w:tc>
      </w:tr>
      <w:tr w14:paraId="55DCAAFF">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79A7D82B">
            <w:pPr>
              <w:widowControl/>
              <w:ind w:firstLine="0" w:firstLineChars="0"/>
              <w:jc w:val="center"/>
              <w:rPr>
                <w:rFonts w:ascii="宋体" w:hAnsi="宋体" w:cs="Arial"/>
                <w:kern w:val="0"/>
                <w:sz w:val="24"/>
                <w:szCs w:val="24"/>
              </w:rPr>
            </w:pPr>
            <w:r>
              <w:rPr>
                <w:rFonts w:ascii="宋体" w:hAnsi="宋体" w:cs="Arial"/>
                <w:kern w:val="0"/>
                <w:sz w:val="24"/>
                <w:szCs w:val="24"/>
              </w:rPr>
              <w:t>40</w:t>
            </w:r>
          </w:p>
        </w:tc>
        <w:tc>
          <w:tcPr>
            <w:tcW w:w="3118" w:type="dxa"/>
            <w:tcBorders>
              <w:top w:val="nil"/>
              <w:left w:val="nil"/>
              <w:bottom w:val="single" w:color="auto" w:sz="4" w:space="0"/>
              <w:right w:val="single" w:color="auto" w:sz="4" w:space="0"/>
            </w:tcBorders>
            <w:shd w:val="clear" w:color="auto" w:fill="auto"/>
            <w:vAlign w:val="center"/>
          </w:tcPr>
          <w:p w14:paraId="371CD512">
            <w:pPr>
              <w:widowControl/>
              <w:ind w:firstLine="0" w:firstLineChars="0"/>
              <w:jc w:val="center"/>
              <w:rPr>
                <w:rFonts w:ascii="宋体" w:hAnsi="宋体" w:cs="Arial"/>
                <w:kern w:val="0"/>
                <w:sz w:val="24"/>
                <w:szCs w:val="24"/>
              </w:rPr>
            </w:pPr>
            <w:r>
              <w:rPr>
                <w:rFonts w:ascii="宋体" w:hAnsi="宋体" w:cs="Arial"/>
                <w:kern w:val="0"/>
                <w:sz w:val="24"/>
                <w:szCs w:val="24"/>
              </w:rPr>
              <w:t>黄砂1排水单元</w:t>
            </w:r>
          </w:p>
        </w:tc>
        <w:tc>
          <w:tcPr>
            <w:tcW w:w="1389" w:type="dxa"/>
            <w:tcBorders>
              <w:top w:val="nil"/>
              <w:left w:val="nil"/>
              <w:bottom w:val="single" w:color="auto" w:sz="4" w:space="0"/>
              <w:right w:val="single" w:color="auto" w:sz="4" w:space="0"/>
            </w:tcBorders>
            <w:shd w:val="clear" w:color="auto" w:fill="auto"/>
            <w:vAlign w:val="center"/>
          </w:tcPr>
          <w:p w14:paraId="6826D94C">
            <w:pPr>
              <w:widowControl/>
              <w:ind w:firstLine="0" w:firstLineChars="0"/>
              <w:jc w:val="center"/>
              <w:rPr>
                <w:rFonts w:ascii="宋体" w:hAnsi="宋体" w:cs="Arial"/>
                <w:kern w:val="0"/>
                <w:sz w:val="24"/>
                <w:szCs w:val="24"/>
              </w:rPr>
            </w:pPr>
            <w:r>
              <w:rPr>
                <w:rFonts w:ascii="宋体" w:hAnsi="宋体" w:cs="Arial"/>
                <w:kern w:val="0"/>
                <w:sz w:val="24"/>
                <w:szCs w:val="24"/>
              </w:rPr>
              <w:t>77.7%</w:t>
            </w:r>
          </w:p>
        </w:tc>
        <w:tc>
          <w:tcPr>
            <w:tcW w:w="708" w:type="dxa"/>
            <w:tcBorders>
              <w:top w:val="nil"/>
              <w:left w:val="nil"/>
              <w:bottom w:val="single" w:color="auto" w:sz="4" w:space="0"/>
              <w:right w:val="single" w:color="auto" w:sz="4" w:space="0"/>
            </w:tcBorders>
            <w:shd w:val="clear" w:color="auto" w:fill="auto"/>
            <w:noWrap/>
            <w:vAlign w:val="center"/>
          </w:tcPr>
          <w:p w14:paraId="356B1692">
            <w:pPr>
              <w:widowControl/>
              <w:ind w:firstLine="0" w:firstLineChars="0"/>
              <w:jc w:val="center"/>
              <w:rPr>
                <w:rFonts w:ascii="宋体" w:hAnsi="宋体" w:cs="Arial"/>
                <w:kern w:val="0"/>
                <w:sz w:val="24"/>
                <w:szCs w:val="24"/>
              </w:rPr>
            </w:pPr>
            <w:r>
              <w:rPr>
                <w:rFonts w:ascii="宋体" w:hAnsi="宋体" w:cs="Arial"/>
                <w:kern w:val="0"/>
                <w:sz w:val="24"/>
                <w:szCs w:val="24"/>
              </w:rPr>
              <w:t>93</w:t>
            </w:r>
          </w:p>
        </w:tc>
        <w:tc>
          <w:tcPr>
            <w:tcW w:w="2680" w:type="dxa"/>
            <w:tcBorders>
              <w:top w:val="nil"/>
              <w:left w:val="nil"/>
              <w:bottom w:val="single" w:color="auto" w:sz="4" w:space="0"/>
              <w:right w:val="single" w:color="auto" w:sz="4" w:space="0"/>
            </w:tcBorders>
            <w:shd w:val="clear" w:color="auto" w:fill="auto"/>
            <w:noWrap/>
            <w:vAlign w:val="center"/>
          </w:tcPr>
          <w:p w14:paraId="684DB056">
            <w:pPr>
              <w:widowControl/>
              <w:ind w:firstLine="0" w:firstLineChars="0"/>
              <w:jc w:val="center"/>
              <w:rPr>
                <w:rFonts w:ascii="宋体" w:hAnsi="宋体" w:cs="Arial"/>
                <w:kern w:val="0"/>
                <w:sz w:val="24"/>
                <w:szCs w:val="24"/>
              </w:rPr>
            </w:pPr>
            <w:r>
              <w:rPr>
                <w:rFonts w:ascii="宋体" w:hAnsi="宋体" w:cs="Arial"/>
                <w:kern w:val="0"/>
                <w:sz w:val="24"/>
                <w:szCs w:val="24"/>
              </w:rPr>
              <w:t>明湖公园排水单元</w:t>
            </w:r>
          </w:p>
        </w:tc>
        <w:tc>
          <w:tcPr>
            <w:tcW w:w="1276" w:type="dxa"/>
            <w:tcBorders>
              <w:top w:val="nil"/>
              <w:left w:val="nil"/>
              <w:bottom w:val="single" w:color="auto" w:sz="4" w:space="0"/>
              <w:right w:val="single" w:color="auto" w:sz="4" w:space="0"/>
            </w:tcBorders>
            <w:shd w:val="clear" w:color="auto" w:fill="auto"/>
            <w:vAlign w:val="center"/>
          </w:tcPr>
          <w:p w14:paraId="0772B028">
            <w:pPr>
              <w:widowControl/>
              <w:ind w:firstLine="0" w:firstLineChars="0"/>
              <w:jc w:val="center"/>
              <w:rPr>
                <w:rFonts w:ascii="宋体" w:hAnsi="宋体" w:cs="Arial"/>
                <w:kern w:val="0"/>
                <w:sz w:val="24"/>
                <w:szCs w:val="24"/>
              </w:rPr>
            </w:pPr>
            <w:r>
              <w:rPr>
                <w:rFonts w:ascii="宋体" w:hAnsi="宋体" w:cs="Arial"/>
                <w:kern w:val="0"/>
                <w:sz w:val="24"/>
                <w:szCs w:val="24"/>
              </w:rPr>
              <w:t>73.3%</w:t>
            </w:r>
          </w:p>
        </w:tc>
      </w:tr>
      <w:tr w14:paraId="7D61246A">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D98E8E2">
            <w:pPr>
              <w:widowControl/>
              <w:ind w:firstLine="0" w:firstLineChars="0"/>
              <w:jc w:val="center"/>
              <w:rPr>
                <w:rFonts w:ascii="宋体" w:hAnsi="宋体" w:cs="Arial"/>
                <w:kern w:val="0"/>
                <w:sz w:val="24"/>
                <w:szCs w:val="24"/>
              </w:rPr>
            </w:pPr>
            <w:r>
              <w:rPr>
                <w:rFonts w:ascii="宋体" w:hAnsi="宋体" w:cs="Arial"/>
                <w:kern w:val="0"/>
                <w:sz w:val="24"/>
                <w:szCs w:val="24"/>
              </w:rPr>
              <w:t>41</w:t>
            </w:r>
          </w:p>
        </w:tc>
        <w:tc>
          <w:tcPr>
            <w:tcW w:w="3118" w:type="dxa"/>
            <w:tcBorders>
              <w:top w:val="nil"/>
              <w:left w:val="nil"/>
              <w:bottom w:val="single" w:color="auto" w:sz="4" w:space="0"/>
              <w:right w:val="single" w:color="auto" w:sz="4" w:space="0"/>
            </w:tcBorders>
            <w:shd w:val="clear" w:color="auto" w:fill="auto"/>
            <w:vAlign w:val="center"/>
          </w:tcPr>
          <w:p w14:paraId="3E2ADD53">
            <w:pPr>
              <w:widowControl/>
              <w:ind w:firstLine="0" w:firstLineChars="0"/>
              <w:jc w:val="center"/>
              <w:rPr>
                <w:rFonts w:ascii="宋体" w:hAnsi="宋体" w:cs="Arial"/>
                <w:kern w:val="0"/>
                <w:sz w:val="24"/>
                <w:szCs w:val="24"/>
              </w:rPr>
            </w:pPr>
            <w:r>
              <w:rPr>
                <w:rFonts w:ascii="宋体" w:hAnsi="宋体" w:cs="Arial"/>
                <w:kern w:val="0"/>
                <w:sz w:val="24"/>
                <w:szCs w:val="24"/>
              </w:rPr>
              <w:t>黄砂2排水单元</w:t>
            </w:r>
          </w:p>
        </w:tc>
        <w:tc>
          <w:tcPr>
            <w:tcW w:w="1389" w:type="dxa"/>
            <w:tcBorders>
              <w:top w:val="nil"/>
              <w:left w:val="nil"/>
              <w:bottom w:val="single" w:color="auto" w:sz="4" w:space="0"/>
              <w:right w:val="single" w:color="auto" w:sz="4" w:space="0"/>
            </w:tcBorders>
            <w:shd w:val="clear" w:color="auto" w:fill="auto"/>
            <w:vAlign w:val="center"/>
          </w:tcPr>
          <w:p w14:paraId="0D798DF9">
            <w:pPr>
              <w:widowControl/>
              <w:ind w:firstLine="0" w:firstLineChars="0"/>
              <w:jc w:val="center"/>
              <w:rPr>
                <w:rFonts w:ascii="宋体" w:hAnsi="宋体" w:cs="Arial"/>
                <w:kern w:val="0"/>
                <w:sz w:val="24"/>
                <w:szCs w:val="24"/>
              </w:rPr>
            </w:pPr>
            <w:r>
              <w:rPr>
                <w:rFonts w:ascii="宋体" w:hAnsi="宋体" w:cs="Arial"/>
                <w:kern w:val="0"/>
                <w:sz w:val="24"/>
                <w:szCs w:val="24"/>
              </w:rPr>
              <w:t>82.4%</w:t>
            </w:r>
          </w:p>
        </w:tc>
        <w:tc>
          <w:tcPr>
            <w:tcW w:w="708" w:type="dxa"/>
            <w:tcBorders>
              <w:top w:val="nil"/>
              <w:left w:val="nil"/>
              <w:bottom w:val="single" w:color="auto" w:sz="4" w:space="0"/>
              <w:right w:val="single" w:color="auto" w:sz="4" w:space="0"/>
            </w:tcBorders>
            <w:shd w:val="clear" w:color="auto" w:fill="auto"/>
            <w:noWrap/>
            <w:vAlign w:val="center"/>
          </w:tcPr>
          <w:p w14:paraId="0B48549D">
            <w:pPr>
              <w:widowControl/>
              <w:ind w:firstLine="0" w:firstLineChars="0"/>
              <w:jc w:val="center"/>
              <w:rPr>
                <w:rFonts w:ascii="宋体" w:hAnsi="宋体" w:cs="Arial"/>
                <w:kern w:val="0"/>
                <w:sz w:val="24"/>
                <w:szCs w:val="24"/>
              </w:rPr>
            </w:pPr>
            <w:r>
              <w:rPr>
                <w:rFonts w:ascii="宋体" w:hAnsi="宋体" w:cs="Arial"/>
                <w:kern w:val="0"/>
                <w:sz w:val="24"/>
                <w:szCs w:val="24"/>
              </w:rPr>
              <w:t>94</w:t>
            </w:r>
          </w:p>
        </w:tc>
        <w:tc>
          <w:tcPr>
            <w:tcW w:w="2680" w:type="dxa"/>
            <w:tcBorders>
              <w:top w:val="nil"/>
              <w:left w:val="nil"/>
              <w:bottom w:val="single" w:color="auto" w:sz="4" w:space="0"/>
              <w:right w:val="single" w:color="auto" w:sz="4" w:space="0"/>
            </w:tcBorders>
            <w:shd w:val="clear" w:color="auto" w:fill="auto"/>
            <w:noWrap/>
            <w:vAlign w:val="center"/>
          </w:tcPr>
          <w:p w14:paraId="70E2C5A0">
            <w:pPr>
              <w:widowControl/>
              <w:ind w:firstLine="0" w:firstLineChars="0"/>
              <w:jc w:val="center"/>
              <w:rPr>
                <w:rFonts w:ascii="宋体" w:hAnsi="宋体" w:cs="Arial"/>
                <w:kern w:val="0"/>
                <w:sz w:val="24"/>
                <w:szCs w:val="24"/>
              </w:rPr>
            </w:pPr>
            <w:r>
              <w:rPr>
                <w:rFonts w:ascii="宋体" w:hAnsi="宋体" w:cs="Arial"/>
                <w:kern w:val="0"/>
                <w:sz w:val="24"/>
                <w:szCs w:val="24"/>
              </w:rPr>
              <w:t>三官堂路排水单元</w:t>
            </w:r>
          </w:p>
        </w:tc>
        <w:tc>
          <w:tcPr>
            <w:tcW w:w="1276" w:type="dxa"/>
            <w:tcBorders>
              <w:top w:val="nil"/>
              <w:left w:val="nil"/>
              <w:bottom w:val="single" w:color="auto" w:sz="4" w:space="0"/>
              <w:right w:val="single" w:color="auto" w:sz="4" w:space="0"/>
            </w:tcBorders>
            <w:shd w:val="clear" w:color="auto" w:fill="auto"/>
            <w:vAlign w:val="center"/>
          </w:tcPr>
          <w:p w14:paraId="46C48CFA">
            <w:pPr>
              <w:widowControl/>
              <w:ind w:firstLine="0" w:firstLineChars="0"/>
              <w:jc w:val="center"/>
              <w:rPr>
                <w:rFonts w:ascii="宋体" w:hAnsi="宋体" w:cs="Arial"/>
                <w:kern w:val="0"/>
                <w:sz w:val="24"/>
                <w:szCs w:val="24"/>
              </w:rPr>
            </w:pPr>
            <w:r>
              <w:rPr>
                <w:rFonts w:ascii="宋体" w:hAnsi="宋体" w:cs="Arial"/>
                <w:kern w:val="0"/>
                <w:sz w:val="24"/>
                <w:szCs w:val="24"/>
              </w:rPr>
              <w:t>64.6%</w:t>
            </w:r>
          </w:p>
        </w:tc>
      </w:tr>
      <w:tr w14:paraId="4474B0CD">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12BEEF4C">
            <w:pPr>
              <w:widowControl/>
              <w:ind w:firstLine="0" w:firstLineChars="0"/>
              <w:jc w:val="center"/>
              <w:rPr>
                <w:rFonts w:ascii="宋体" w:hAnsi="宋体" w:cs="Arial"/>
                <w:kern w:val="0"/>
                <w:sz w:val="24"/>
                <w:szCs w:val="24"/>
              </w:rPr>
            </w:pPr>
            <w:r>
              <w:rPr>
                <w:rFonts w:ascii="宋体" w:hAnsi="宋体" w:cs="Arial"/>
                <w:kern w:val="0"/>
                <w:sz w:val="24"/>
                <w:szCs w:val="24"/>
              </w:rPr>
              <w:t>42</w:t>
            </w:r>
          </w:p>
        </w:tc>
        <w:tc>
          <w:tcPr>
            <w:tcW w:w="3118" w:type="dxa"/>
            <w:tcBorders>
              <w:top w:val="nil"/>
              <w:left w:val="nil"/>
              <w:bottom w:val="single" w:color="auto" w:sz="4" w:space="0"/>
              <w:right w:val="single" w:color="auto" w:sz="4" w:space="0"/>
            </w:tcBorders>
            <w:shd w:val="clear" w:color="auto" w:fill="auto"/>
            <w:vAlign w:val="center"/>
          </w:tcPr>
          <w:p w14:paraId="41EEE298">
            <w:pPr>
              <w:widowControl/>
              <w:ind w:firstLine="0" w:firstLineChars="0"/>
              <w:jc w:val="center"/>
              <w:rPr>
                <w:rFonts w:ascii="宋体" w:hAnsi="宋体" w:cs="Arial"/>
                <w:kern w:val="0"/>
                <w:sz w:val="24"/>
                <w:szCs w:val="24"/>
              </w:rPr>
            </w:pPr>
            <w:r>
              <w:rPr>
                <w:rFonts w:ascii="宋体" w:hAnsi="宋体" w:cs="Arial"/>
                <w:kern w:val="0"/>
                <w:sz w:val="24"/>
                <w:szCs w:val="24"/>
              </w:rPr>
              <w:t>月亮湾排水分区</w:t>
            </w:r>
          </w:p>
        </w:tc>
        <w:tc>
          <w:tcPr>
            <w:tcW w:w="1389" w:type="dxa"/>
            <w:tcBorders>
              <w:top w:val="nil"/>
              <w:left w:val="nil"/>
              <w:bottom w:val="single" w:color="auto" w:sz="4" w:space="0"/>
              <w:right w:val="single" w:color="auto" w:sz="4" w:space="0"/>
            </w:tcBorders>
            <w:shd w:val="clear" w:color="auto" w:fill="auto"/>
            <w:vAlign w:val="center"/>
          </w:tcPr>
          <w:p w14:paraId="0477AC9A">
            <w:pPr>
              <w:widowControl/>
              <w:ind w:firstLine="0" w:firstLineChars="0"/>
              <w:jc w:val="center"/>
              <w:rPr>
                <w:rFonts w:ascii="宋体" w:hAnsi="宋体" w:cs="Arial"/>
                <w:kern w:val="0"/>
                <w:sz w:val="24"/>
                <w:szCs w:val="24"/>
              </w:rPr>
            </w:pPr>
            <w:r>
              <w:rPr>
                <w:rFonts w:ascii="宋体" w:hAnsi="宋体" w:cs="Arial"/>
                <w:kern w:val="0"/>
                <w:sz w:val="24"/>
                <w:szCs w:val="24"/>
              </w:rPr>
              <w:t>88.8%</w:t>
            </w:r>
          </w:p>
        </w:tc>
        <w:tc>
          <w:tcPr>
            <w:tcW w:w="708" w:type="dxa"/>
            <w:tcBorders>
              <w:top w:val="nil"/>
              <w:left w:val="nil"/>
              <w:bottom w:val="single" w:color="auto" w:sz="4" w:space="0"/>
              <w:right w:val="single" w:color="auto" w:sz="4" w:space="0"/>
            </w:tcBorders>
            <w:shd w:val="clear" w:color="auto" w:fill="auto"/>
            <w:noWrap/>
            <w:vAlign w:val="center"/>
          </w:tcPr>
          <w:p w14:paraId="7E253914">
            <w:pPr>
              <w:widowControl/>
              <w:ind w:firstLine="0" w:firstLineChars="0"/>
              <w:jc w:val="center"/>
              <w:rPr>
                <w:rFonts w:ascii="宋体" w:hAnsi="宋体" w:cs="Arial"/>
                <w:kern w:val="0"/>
                <w:sz w:val="24"/>
                <w:szCs w:val="24"/>
              </w:rPr>
            </w:pPr>
            <w:r>
              <w:rPr>
                <w:rFonts w:ascii="宋体" w:hAnsi="宋体" w:cs="Arial"/>
                <w:kern w:val="0"/>
                <w:sz w:val="24"/>
                <w:szCs w:val="24"/>
              </w:rPr>
              <w:t>95</w:t>
            </w:r>
          </w:p>
        </w:tc>
        <w:tc>
          <w:tcPr>
            <w:tcW w:w="2680" w:type="dxa"/>
            <w:tcBorders>
              <w:top w:val="nil"/>
              <w:left w:val="nil"/>
              <w:bottom w:val="single" w:color="auto" w:sz="4" w:space="0"/>
              <w:right w:val="single" w:color="auto" w:sz="4" w:space="0"/>
            </w:tcBorders>
            <w:shd w:val="clear" w:color="auto" w:fill="auto"/>
            <w:noWrap/>
            <w:vAlign w:val="center"/>
          </w:tcPr>
          <w:p w14:paraId="750BA9C0">
            <w:pPr>
              <w:widowControl/>
              <w:ind w:firstLine="0" w:firstLineChars="0"/>
              <w:jc w:val="center"/>
              <w:rPr>
                <w:rFonts w:ascii="宋体" w:hAnsi="宋体" w:cs="Arial"/>
                <w:kern w:val="0"/>
                <w:sz w:val="24"/>
                <w:szCs w:val="24"/>
              </w:rPr>
            </w:pPr>
            <w:r>
              <w:rPr>
                <w:rFonts w:ascii="宋体" w:hAnsi="宋体" w:cs="Arial"/>
                <w:kern w:val="0"/>
                <w:sz w:val="24"/>
                <w:szCs w:val="24"/>
              </w:rPr>
              <w:t>大洲排水单元</w:t>
            </w:r>
          </w:p>
        </w:tc>
        <w:tc>
          <w:tcPr>
            <w:tcW w:w="1276" w:type="dxa"/>
            <w:tcBorders>
              <w:top w:val="nil"/>
              <w:left w:val="nil"/>
              <w:bottom w:val="single" w:color="auto" w:sz="4" w:space="0"/>
              <w:right w:val="single" w:color="auto" w:sz="4" w:space="0"/>
            </w:tcBorders>
            <w:shd w:val="clear" w:color="auto" w:fill="auto"/>
            <w:vAlign w:val="center"/>
          </w:tcPr>
          <w:p w14:paraId="5B7C23C2">
            <w:pPr>
              <w:widowControl/>
              <w:ind w:firstLine="0" w:firstLineChars="0"/>
              <w:jc w:val="center"/>
              <w:rPr>
                <w:rFonts w:ascii="宋体" w:hAnsi="宋体" w:cs="Arial"/>
                <w:kern w:val="0"/>
                <w:sz w:val="24"/>
                <w:szCs w:val="24"/>
              </w:rPr>
            </w:pPr>
            <w:r>
              <w:rPr>
                <w:rFonts w:ascii="宋体" w:hAnsi="宋体" w:cs="Arial"/>
                <w:kern w:val="0"/>
                <w:sz w:val="24"/>
                <w:szCs w:val="24"/>
              </w:rPr>
              <w:t>78.3%</w:t>
            </w:r>
          </w:p>
        </w:tc>
      </w:tr>
      <w:tr w14:paraId="5E6D2835">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BAF94D2">
            <w:pPr>
              <w:widowControl/>
              <w:ind w:firstLine="0" w:firstLineChars="0"/>
              <w:jc w:val="center"/>
              <w:rPr>
                <w:rFonts w:ascii="宋体" w:hAnsi="宋体" w:cs="Arial"/>
                <w:kern w:val="0"/>
                <w:sz w:val="24"/>
                <w:szCs w:val="24"/>
              </w:rPr>
            </w:pPr>
            <w:r>
              <w:rPr>
                <w:rFonts w:ascii="宋体" w:hAnsi="宋体" w:cs="Arial"/>
                <w:kern w:val="0"/>
                <w:sz w:val="24"/>
                <w:szCs w:val="24"/>
              </w:rPr>
              <w:t>43</w:t>
            </w:r>
          </w:p>
        </w:tc>
        <w:tc>
          <w:tcPr>
            <w:tcW w:w="3118" w:type="dxa"/>
            <w:tcBorders>
              <w:top w:val="nil"/>
              <w:left w:val="nil"/>
              <w:bottom w:val="single" w:color="auto" w:sz="4" w:space="0"/>
              <w:right w:val="single" w:color="auto" w:sz="4" w:space="0"/>
            </w:tcBorders>
            <w:shd w:val="clear" w:color="auto" w:fill="auto"/>
            <w:vAlign w:val="center"/>
          </w:tcPr>
          <w:p w14:paraId="29ED08CB">
            <w:pPr>
              <w:widowControl/>
              <w:ind w:firstLine="0" w:firstLineChars="0"/>
              <w:jc w:val="center"/>
              <w:rPr>
                <w:rFonts w:ascii="宋体" w:hAnsi="宋体" w:cs="Arial"/>
                <w:kern w:val="0"/>
                <w:sz w:val="24"/>
                <w:szCs w:val="24"/>
              </w:rPr>
            </w:pPr>
            <w:r>
              <w:rPr>
                <w:rFonts w:ascii="宋体" w:hAnsi="宋体" w:cs="Arial"/>
                <w:kern w:val="0"/>
                <w:sz w:val="24"/>
                <w:szCs w:val="24"/>
              </w:rPr>
              <w:t>荆西1排水单元</w:t>
            </w:r>
          </w:p>
        </w:tc>
        <w:tc>
          <w:tcPr>
            <w:tcW w:w="1389" w:type="dxa"/>
            <w:tcBorders>
              <w:top w:val="nil"/>
              <w:left w:val="nil"/>
              <w:bottom w:val="single" w:color="auto" w:sz="4" w:space="0"/>
              <w:right w:val="single" w:color="auto" w:sz="4" w:space="0"/>
            </w:tcBorders>
            <w:shd w:val="clear" w:color="auto" w:fill="auto"/>
            <w:vAlign w:val="center"/>
          </w:tcPr>
          <w:p w14:paraId="057718AF">
            <w:pPr>
              <w:widowControl/>
              <w:ind w:firstLine="0" w:firstLineChars="0"/>
              <w:jc w:val="center"/>
              <w:rPr>
                <w:rFonts w:ascii="宋体" w:hAnsi="宋体" w:cs="Arial"/>
                <w:kern w:val="0"/>
                <w:sz w:val="24"/>
                <w:szCs w:val="24"/>
              </w:rPr>
            </w:pPr>
            <w:r>
              <w:rPr>
                <w:rFonts w:ascii="宋体" w:hAnsi="宋体" w:cs="Arial"/>
                <w:kern w:val="0"/>
                <w:sz w:val="24"/>
                <w:szCs w:val="24"/>
              </w:rPr>
              <w:t>82.9%</w:t>
            </w:r>
          </w:p>
        </w:tc>
        <w:tc>
          <w:tcPr>
            <w:tcW w:w="708" w:type="dxa"/>
            <w:tcBorders>
              <w:top w:val="nil"/>
              <w:left w:val="nil"/>
              <w:bottom w:val="single" w:color="auto" w:sz="4" w:space="0"/>
              <w:right w:val="single" w:color="auto" w:sz="4" w:space="0"/>
            </w:tcBorders>
            <w:shd w:val="clear" w:color="auto" w:fill="auto"/>
            <w:noWrap/>
            <w:vAlign w:val="center"/>
          </w:tcPr>
          <w:p w14:paraId="44FAA93F">
            <w:pPr>
              <w:widowControl/>
              <w:ind w:firstLine="0" w:firstLineChars="0"/>
              <w:jc w:val="center"/>
              <w:rPr>
                <w:rFonts w:ascii="宋体" w:hAnsi="宋体" w:cs="Arial"/>
                <w:kern w:val="0"/>
                <w:sz w:val="24"/>
                <w:szCs w:val="24"/>
              </w:rPr>
            </w:pPr>
            <w:r>
              <w:rPr>
                <w:rFonts w:ascii="宋体" w:hAnsi="宋体" w:cs="Arial"/>
                <w:kern w:val="0"/>
                <w:sz w:val="24"/>
                <w:szCs w:val="24"/>
              </w:rPr>
              <w:t>96</w:t>
            </w:r>
          </w:p>
        </w:tc>
        <w:tc>
          <w:tcPr>
            <w:tcW w:w="2680" w:type="dxa"/>
            <w:tcBorders>
              <w:top w:val="nil"/>
              <w:left w:val="nil"/>
              <w:bottom w:val="single" w:color="auto" w:sz="4" w:space="0"/>
              <w:right w:val="single" w:color="auto" w:sz="4" w:space="0"/>
            </w:tcBorders>
            <w:shd w:val="clear" w:color="auto" w:fill="auto"/>
            <w:noWrap/>
            <w:vAlign w:val="center"/>
          </w:tcPr>
          <w:p w14:paraId="5F3BAE27">
            <w:pPr>
              <w:widowControl/>
              <w:ind w:firstLine="0" w:firstLineChars="0"/>
              <w:jc w:val="center"/>
              <w:rPr>
                <w:rFonts w:ascii="宋体" w:hAnsi="宋体" w:cs="Arial"/>
                <w:kern w:val="0"/>
                <w:sz w:val="24"/>
                <w:szCs w:val="24"/>
              </w:rPr>
            </w:pPr>
            <w:r>
              <w:rPr>
                <w:rFonts w:ascii="宋体" w:hAnsi="宋体" w:cs="Arial"/>
                <w:kern w:val="0"/>
                <w:sz w:val="24"/>
                <w:szCs w:val="24"/>
              </w:rPr>
              <w:t>龙坑溪排水单元</w:t>
            </w:r>
          </w:p>
        </w:tc>
        <w:tc>
          <w:tcPr>
            <w:tcW w:w="1276" w:type="dxa"/>
            <w:tcBorders>
              <w:top w:val="nil"/>
              <w:left w:val="nil"/>
              <w:bottom w:val="single" w:color="auto" w:sz="4" w:space="0"/>
              <w:right w:val="single" w:color="auto" w:sz="4" w:space="0"/>
            </w:tcBorders>
            <w:shd w:val="clear" w:color="auto" w:fill="auto"/>
            <w:vAlign w:val="center"/>
          </w:tcPr>
          <w:p w14:paraId="0F94E6F6">
            <w:pPr>
              <w:widowControl/>
              <w:ind w:firstLine="0" w:firstLineChars="0"/>
              <w:jc w:val="center"/>
              <w:rPr>
                <w:rFonts w:ascii="宋体" w:hAnsi="宋体" w:cs="Arial"/>
                <w:kern w:val="0"/>
                <w:sz w:val="24"/>
                <w:szCs w:val="24"/>
              </w:rPr>
            </w:pPr>
            <w:r>
              <w:rPr>
                <w:rFonts w:ascii="宋体" w:hAnsi="宋体" w:cs="Arial"/>
                <w:kern w:val="0"/>
                <w:sz w:val="24"/>
                <w:szCs w:val="24"/>
              </w:rPr>
              <w:t>80.3%</w:t>
            </w:r>
          </w:p>
        </w:tc>
      </w:tr>
      <w:tr w14:paraId="700FCC83">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1CAC65FA">
            <w:pPr>
              <w:widowControl/>
              <w:ind w:firstLine="0" w:firstLineChars="0"/>
              <w:jc w:val="center"/>
              <w:rPr>
                <w:rFonts w:ascii="宋体" w:hAnsi="宋体" w:cs="Arial"/>
                <w:kern w:val="0"/>
                <w:sz w:val="24"/>
                <w:szCs w:val="24"/>
              </w:rPr>
            </w:pPr>
            <w:r>
              <w:rPr>
                <w:rFonts w:ascii="宋体" w:hAnsi="宋体" w:cs="Arial"/>
                <w:kern w:val="0"/>
                <w:sz w:val="24"/>
                <w:szCs w:val="24"/>
              </w:rPr>
              <w:t>44</w:t>
            </w:r>
          </w:p>
        </w:tc>
        <w:tc>
          <w:tcPr>
            <w:tcW w:w="3118" w:type="dxa"/>
            <w:tcBorders>
              <w:top w:val="nil"/>
              <w:left w:val="nil"/>
              <w:bottom w:val="single" w:color="auto" w:sz="4" w:space="0"/>
              <w:right w:val="single" w:color="auto" w:sz="4" w:space="0"/>
            </w:tcBorders>
            <w:shd w:val="clear" w:color="auto" w:fill="auto"/>
            <w:vAlign w:val="center"/>
          </w:tcPr>
          <w:p w14:paraId="1CD0F0CE">
            <w:pPr>
              <w:widowControl/>
              <w:ind w:firstLine="0" w:firstLineChars="0"/>
              <w:jc w:val="center"/>
              <w:rPr>
                <w:rFonts w:ascii="宋体" w:hAnsi="宋体" w:cs="Arial"/>
                <w:kern w:val="0"/>
                <w:sz w:val="24"/>
                <w:szCs w:val="24"/>
              </w:rPr>
            </w:pPr>
            <w:r>
              <w:rPr>
                <w:rFonts w:ascii="宋体" w:hAnsi="宋体" w:cs="Arial"/>
                <w:kern w:val="0"/>
                <w:sz w:val="24"/>
                <w:szCs w:val="24"/>
              </w:rPr>
              <w:t>荆西2排水单元</w:t>
            </w:r>
          </w:p>
        </w:tc>
        <w:tc>
          <w:tcPr>
            <w:tcW w:w="1389" w:type="dxa"/>
            <w:tcBorders>
              <w:top w:val="nil"/>
              <w:left w:val="nil"/>
              <w:bottom w:val="single" w:color="auto" w:sz="4" w:space="0"/>
              <w:right w:val="single" w:color="auto" w:sz="4" w:space="0"/>
            </w:tcBorders>
            <w:shd w:val="clear" w:color="auto" w:fill="auto"/>
            <w:vAlign w:val="center"/>
          </w:tcPr>
          <w:p w14:paraId="16B2BF2B">
            <w:pPr>
              <w:widowControl/>
              <w:ind w:firstLine="0" w:firstLineChars="0"/>
              <w:jc w:val="center"/>
              <w:rPr>
                <w:rFonts w:ascii="宋体" w:hAnsi="宋体" w:cs="Arial"/>
                <w:kern w:val="0"/>
                <w:sz w:val="24"/>
                <w:szCs w:val="24"/>
              </w:rPr>
            </w:pPr>
            <w:r>
              <w:rPr>
                <w:rFonts w:ascii="宋体" w:hAnsi="宋体" w:cs="Arial"/>
                <w:kern w:val="0"/>
                <w:sz w:val="24"/>
                <w:szCs w:val="24"/>
              </w:rPr>
              <w:t>72.6%</w:t>
            </w:r>
          </w:p>
        </w:tc>
        <w:tc>
          <w:tcPr>
            <w:tcW w:w="708" w:type="dxa"/>
            <w:tcBorders>
              <w:top w:val="nil"/>
              <w:left w:val="nil"/>
              <w:bottom w:val="single" w:color="auto" w:sz="4" w:space="0"/>
              <w:right w:val="single" w:color="auto" w:sz="4" w:space="0"/>
            </w:tcBorders>
            <w:shd w:val="clear" w:color="auto" w:fill="auto"/>
            <w:noWrap/>
            <w:vAlign w:val="center"/>
          </w:tcPr>
          <w:p w14:paraId="625C8E2A">
            <w:pPr>
              <w:widowControl/>
              <w:ind w:firstLine="0" w:firstLineChars="0"/>
              <w:jc w:val="center"/>
              <w:rPr>
                <w:rFonts w:ascii="宋体" w:hAnsi="宋体" w:cs="Arial"/>
                <w:kern w:val="0"/>
                <w:sz w:val="24"/>
                <w:szCs w:val="24"/>
              </w:rPr>
            </w:pPr>
            <w:r>
              <w:rPr>
                <w:rFonts w:ascii="宋体" w:hAnsi="宋体" w:cs="Arial"/>
                <w:kern w:val="0"/>
                <w:sz w:val="24"/>
                <w:szCs w:val="24"/>
              </w:rPr>
              <w:t>97</w:t>
            </w:r>
          </w:p>
        </w:tc>
        <w:tc>
          <w:tcPr>
            <w:tcW w:w="2680" w:type="dxa"/>
            <w:tcBorders>
              <w:top w:val="nil"/>
              <w:left w:val="nil"/>
              <w:bottom w:val="single" w:color="auto" w:sz="4" w:space="0"/>
              <w:right w:val="single" w:color="auto" w:sz="4" w:space="0"/>
            </w:tcBorders>
            <w:shd w:val="clear" w:color="auto" w:fill="auto"/>
            <w:noWrap/>
            <w:vAlign w:val="center"/>
          </w:tcPr>
          <w:p w14:paraId="13C6CE48">
            <w:pPr>
              <w:widowControl/>
              <w:ind w:firstLine="0" w:firstLineChars="0"/>
              <w:jc w:val="center"/>
              <w:rPr>
                <w:rFonts w:ascii="宋体" w:hAnsi="宋体" w:cs="Arial"/>
                <w:kern w:val="0"/>
                <w:sz w:val="24"/>
                <w:szCs w:val="24"/>
              </w:rPr>
            </w:pPr>
            <w:r>
              <w:rPr>
                <w:rFonts w:ascii="宋体" w:hAnsi="宋体" w:cs="Arial"/>
                <w:kern w:val="0"/>
                <w:sz w:val="24"/>
                <w:szCs w:val="24"/>
              </w:rPr>
              <w:t>畔溪上游排水单元</w:t>
            </w:r>
          </w:p>
        </w:tc>
        <w:tc>
          <w:tcPr>
            <w:tcW w:w="1276" w:type="dxa"/>
            <w:tcBorders>
              <w:top w:val="nil"/>
              <w:left w:val="nil"/>
              <w:bottom w:val="single" w:color="auto" w:sz="4" w:space="0"/>
              <w:right w:val="single" w:color="auto" w:sz="4" w:space="0"/>
            </w:tcBorders>
            <w:shd w:val="clear" w:color="auto" w:fill="auto"/>
            <w:vAlign w:val="center"/>
          </w:tcPr>
          <w:p w14:paraId="4CE45EA5">
            <w:pPr>
              <w:widowControl/>
              <w:ind w:firstLine="0" w:firstLineChars="0"/>
              <w:jc w:val="center"/>
              <w:rPr>
                <w:rFonts w:ascii="宋体" w:hAnsi="宋体" w:cs="Arial"/>
                <w:kern w:val="0"/>
                <w:sz w:val="24"/>
                <w:szCs w:val="24"/>
              </w:rPr>
            </w:pPr>
            <w:r>
              <w:rPr>
                <w:rFonts w:ascii="宋体" w:hAnsi="宋体" w:cs="Arial"/>
                <w:kern w:val="0"/>
                <w:sz w:val="24"/>
                <w:szCs w:val="24"/>
              </w:rPr>
              <w:t>70.9%</w:t>
            </w:r>
          </w:p>
        </w:tc>
      </w:tr>
      <w:tr w14:paraId="1EDE0197">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29259F00">
            <w:pPr>
              <w:widowControl/>
              <w:ind w:firstLine="0" w:firstLineChars="0"/>
              <w:jc w:val="center"/>
              <w:rPr>
                <w:rFonts w:ascii="宋体" w:hAnsi="宋体" w:cs="Arial"/>
                <w:kern w:val="0"/>
                <w:sz w:val="24"/>
                <w:szCs w:val="24"/>
              </w:rPr>
            </w:pPr>
            <w:r>
              <w:rPr>
                <w:rFonts w:ascii="宋体" w:hAnsi="宋体" w:cs="Arial"/>
                <w:kern w:val="0"/>
                <w:sz w:val="24"/>
                <w:szCs w:val="24"/>
              </w:rPr>
              <w:t>45</w:t>
            </w:r>
          </w:p>
        </w:tc>
        <w:tc>
          <w:tcPr>
            <w:tcW w:w="3118" w:type="dxa"/>
            <w:tcBorders>
              <w:top w:val="nil"/>
              <w:left w:val="nil"/>
              <w:bottom w:val="single" w:color="auto" w:sz="4" w:space="0"/>
              <w:right w:val="single" w:color="auto" w:sz="4" w:space="0"/>
            </w:tcBorders>
            <w:shd w:val="clear" w:color="auto" w:fill="auto"/>
            <w:vAlign w:val="center"/>
          </w:tcPr>
          <w:p w14:paraId="23517B93">
            <w:pPr>
              <w:widowControl/>
              <w:ind w:firstLine="0" w:firstLineChars="0"/>
              <w:jc w:val="center"/>
              <w:rPr>
                <w:rFonts w:ascii="宋体" w:hAnsi="宋体" w:cs="Arial"/>
                <w:kern w:val="0"/>
                <w:sz w:val="24"/>
                <w:szCs w:val="24"/>
              </w:rPr>
            </w:pPr>
            <w:r>
              <w:rPr>
                <w:rFonts w:ascii="宋体" w:hAnsi="宋体" w:cs="Arial"/>
                <w:kern w:val="0"/>
                <w:sz w:val="24"/>
                <w:szCs w:val="24"/>
              </w:rPr>
              <w:t>荆西3排水单元</w:t>
            </w:r>
          </w:p>
        </w:tc>
        <w:tc>
          <w:tcPr>
            <w:tcW w:w="1389" w:type="dxa"/>
            <w:tcBorders>
              <w:top w:val="nil"/>
              <w:left w:val="nil"/>
              <w:bottom w:val="single" w:color="auto" w:sz="4" w:space="0"/>
              <w:right w:val="single" w:color="auto" w:sz="4" w:space="0"/>
            </w:tcBorders>
            <w:shd w:val="clear" w:color="auto" w:fill="auto"/>
            <w:vAlign w:val="center"/>
          </w:tcPr>
          <w:p w14:paraId="07FE6F34">
            <w:pPr>
              <w:widowControl/>
              <w:ind w:firstLine="0" w:firstLineChars="0"/>
              <w:jc w:val="center"/>
              <w:rPr>
                <w:rFonts w:ascii="宋体" w:hAnsi="宋体" w:cs="Arial"/>
                <w:kern w:val="0"/>
                <w:sz w:val="24"/>
                <w:szCs w:val="24"/>
              </w:rPr>
            </w:pPr>
            <w:r>
              <w:rPr>
                <w:rFonts w:ascii="宋体" w:hAnsi="宋体" w:cs="Arial"/>
                <w:kern w:val="0"/>
                <w:sz w:val="24"/>
                <w:szCs w:val="24"/>
              </w:rPr>
              <w:t>78.7%</w:t>
            </w:r>
          </w:p>
        </w:tc>
        <w:tc>
          <w:tcPr>
            <w:tcW w:w="708" w:type="dxa"/>
            <w:tcBorders>
              <w:top w:val="nil"/>
              <w:left w:val="nil"/>
              <w:bottom w:val="single" w:color="auto" w:sz="4" w:space="0"/>
              <w:right w:val="single" w:color="auto" w:sz="4" w:space="0"/>
            </w:tcBorders>
            <w:shd w:val="clear" w:color="auto" w:fill="auto"/>
            <w:noWrap/>
            <w:vAlign w:val="center"/>
          </w:tcPr>
          <w:p w14:paraId="46FCC53A">
            <w:pPr>
              <w:widowControl/>
              <w:ind w:firstLine="0" w:firstLineChars="0"/>
              <w:jc w:val="center"/>
              <w:rPr>
                <w:rFonts w:ascii="宋体" w:hAnsi="宋体" w:cs="Arial"/>
                <w:kern w:val="0"/>
                <w:sz w:val="24"/>
                <w:szCs w:val="24"/>
              </w:rPr>
            </w:pPr>
            <w:r>
              <w:rPr>
                <w:rFonts w:ascii="宋体" w:hAnsi="宋体" w:cs="Arial"/>
                <w:kern w:val="0"/>
                <w:sz w:val="24"/>
                <w:szCs w:val="24"/>
              </w:rPr>
              <w:t>98</w:t>
            </w:r>
          </w:p>
        </w:tc>
        <w:tc>
          <w:tcPr>
            <w:tcW w:w="2680" w:type="dxa"/>
            <w:tcBorders>
              <w:top w:val="nil"/>
              <w:left w:val="nil"/>
              <w:bottom w:val="single" w:color="auto" w:sz="4" w:space="0"/>
              <w:right w:val="single" w:color="auto" w:sz="4" w:space="0"/>
            </w:tcBorders>
            <w:shd w:val="clear" w:color="auto" w:fill="auto"/>
            <w:noWrap/>
            <w:vAlign w:val="center"/>
          </w:tcPr>
          <w:p w14:paraId="6A2729C5">
            <w:pPr>
              <w:widowControl/>
              <w:ind w:firstLine="0" w:firstLineChars="0"/>
              <w:jc w:val="center"/>
              <w:rPr>
                <w:rFonts w:ascii="宋体" w:hAnsi="宋体" w:cs="Arial"/>
                <w:kern w:val="0"/>
                <w:sz w:val="24"/>
                <w:szCs w:val="24"/>
              </w:rPr>
            </w:pPr>
            <w:r>
              <w:rPr>
                <w:rFonts w:ascii="宋体" w:hAnsi="宋体" w:cs="Arial"/>
                <w:kern w:val="0"/>
                <w:sz w:val="24"/>
                <w:szCs w:val="24"/>
              </w:rPr>
              <w:t>垄东排水单元</w:t>
            </w:r>
          </w:p>
        </w:tc>
        <w:tc>
          <w:tcPr>
            <w:tcW w:w="1276" w:type="dxa"/>
            <w:tcBorders>
              <w:top w:val="nil"/>
              <w:left w:val="nil"/>
              <w:bottom w:val="single" w:color="auto" w:sz="4" w:space="0"/>
              <w:right w:val="single" w:color="auto" w:sz="4" w:space="0"/>
            </w:tcBorders>
            <w:shd w:val="clear" w:color="auto" w:fill="auto"/>
            <w:vAlign w:val="center"/>
          </w:tcPr>
          <w:p w14:paraId="7B7A5363">
            <w:pPr>
              <w:widowControl/>
              <w:ind w:firstLine="0" w:firstLineChars="0"/>
              <w:jc w:val="center"/>
              <w:rPr>
                <w:rFonts w:ascii="宋体" w:hAnsi="宋体" w:cs="Arial"/>
                <w:kern w:val="0"/>
                <w:sz w:val="24"/>
                <w:szCs w:val="24"/>
              </w:rPr>
            </w:pPr>
            <w:r>
              <w:rPr>
                <w:rFonts w:ascii="宋体" w:hAnsi="宋体" w:cs="Arial"/>
                <w:kern w:val="0"/>
                <w:sz w:val="24"/>
                <w:szCs w:val="24"/>
              </w:rPr>
              <w:t>88.4%</w:t>
            </w:r>
          </w:p>
        </w:tc>
      </w:tr>
      <w:tr w14:paraId="1E8F7194">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5EFC4D0">
            <w:pPr>
              <w:widowControl/>
              <w:ind w:firstLine="0" w:firstLineChars="0"/>
              <w:jc w:val="center"/>
              <w:rPr>
                <w:rFonts w:ascii="宋体" w:hAnsi="宋体" w:cs="Arial"/>
                <w:kern w:val="0"/>
                <w:sz w:val="24"/>
                <w:szCs w:val="24"/>
              </w:rPr>
            </w:pPr>
            <w:r>
              <w:rPr>
                <w:rFonts w:ascii="宋体" w:hAnsi="宋体" w:cs="Arial"/>
                <w:kern w:val="0"/>
                <w:sz w:val="24"/>
                <w:szCs w:val="24"/>
              </w:rPr>
              <w:t>46</w:t>
            </w:r>
          </w:p>
        </w:tc>
        <w:tc>
          <w:tcPr>
            <w:tcW w:w="3118" w:type="dxa"/>
            <w:tcBorders>
              <w:top w:val="nil"/>
              <w:left w:val="nil"/>
              <w:bottom w:val="single" w:color="auto" w:sz="4" w:space="0"/>
              <w:right w:val="single" w:color="auto" w:sz="4" w:space="0"/>
            </w:tcBorders>
            <w:shd w:val="clear" w:color="auto" w:fill="auto"/>
            <w:vAlign w:val="center"/>
          </w:tcPr>
          <w:p w14:paraId="1A5E39EE">
            <w:pPr>
              <w:widowControl/>
              <w:ind w:firstLine="0" w:firstLineChars="0"/>
              <w:jc w:val="center"/>
              <w:rPr>
                <w:rFonts w:ascii="宋体" w:hAnsi="宋体" w:cs="Arial"/>
                <w:kern w:val="0"/>
                <w:sz w:val="24"/>
                <w:szCs w:val="24"/>
              </w:rPr>
            </w:pPr>
            <w:r>
              <w:rPr>
                <w:rFonts w:ascii="宋体" w:hAnsi="宋体" w:cs="Arial"/>
                <w:kern w:val="0"/>
                <w:sz w:val="24"/>
                <w:szCs w:val="24"/>
              </w:rPr>
              <w:t>小蕉西排水单元</w:t>
            </w:r>
          </w:p>
        </w:tc>
        <w:tc>
          <w:tcPr>
            <w:tcW w:w="1389" w:type="dxa"/>
            <w:tcBorders>
              <w:top w:val="nil"/>
              <w:left w:val="nil"/>
              <w:bottom w:val="single" w:color="auto" w:sz="4" w:space="0"/>
              <w:right w:val="single" w:color="auto" w:sz="4" w:space="0"/>
            </w:tcBorders>
            <w:shd w:val="clear" w:color="auto" w:fill="auto"/>
            <w:vAlign w:val="center"/>
          </w:tcPr>
          <w:p w14:paraId="2BE11530">
            <w:pPr>
              <w:widowControl/>
              <w:ind w:firstLine="0" w:firstLineChars="0"/>
              <w:jc w:val="center"/>
              <w:rPr>
                <w:rFonts w:ascii="宋体" w:hAnsi="宋体" w:cs="Arial"/>
                <w:kern w:val="0"/>
                <w:sz w:val="24"/>
                <w:szCs w:val="24"/>
              </w:rPr>
            </w:pPr>
            <w:r>
              <w:rPr>
                <w:rFonts w:ascii="宋体" w:hAnsi="宋体" w:cs="Arial"/>
                <w:kern w:val="0"/>
                <w:sz w:val="24"/>
                <w:szCs w:val="24"/>
              </w:rPr>
              <w:t>77.3%</w:t>
            </w:r>
          </w:p>
        </w:tc>
        <w:tc>
          <w:tcPr>
            <w:tcW w:w="708" w:type="dxa"/>
            <w:tcBorders>
              <w:top w:val="nil"/>
              <w:left w:val="nil"/>
              <w:bottom w:val="single" w:color="auto" w:sz="4" w:space="0"/>
              <w:right w:val="single" w:color="auto" w:sz="4" w:space="0"/>
            </w:tcBorders>
            <w:shd w:val="clear" w:color="auto" w:fill="auto"/>
            <w:noWrap/>
            <w:vAlign w:val="center"/>
          </w:tcPr>
          <w:p w14:paraId="74F68EFA">
            <w:pPr>
              <w:widowControl/>
              <w:ind w:firstLine="0" w:firstLineChars="0"/>
              <w:jc w:val="center"/>
              <w:rPr>
                <w:rFonts w:ascii="宋体" w:hAnsi="宋体" w:cs="Arial"/>
                <w:kern w:val="0"/>
                <w:sz w:val="24"/>
                <w:szCs w:val="24"/>
              </w:rPr>
            </w:pPr>
            <w:r>
              <w:rPr>
                <w:rFonts w:ascii="宋体" w:hAnsi="宋体" w:cs="Arial"/>
                <w:kern w:val="0"/>
                <w:sz w:val="24"/>
                <w:szCs w:val="24"/>
              </w:rPr>
              <w:t>100</w:t>
            </w:r>
          </w:p>
        </w:tc>
        <w:tc>
          <w:tcPr>
            <w:tcW w:w="2680" w:type="dxa"/>
            <w:tcBorders>
              <w:top w:val="nil"/>
              <w:left w:val="nil"/>
              <w:bottom w:val="single" w:color="auto" w:sz="4" w:space="0"/>
              <w:right w:val="single" w:color="auto" w:sz="4" w:space="0"/>
            </w:tcBorders>
            <w:shd w:val="clear" w:color="auto" w:fill="auto"/>
            <w:noWrap/>
            <w:vAlign w:val="center"/>
          </w:tcPr>
          <w:p w14:paraId="31D80408">
            <w:pPr>
              <w:widowControl/>
              <w:ind w:firstLine="0" w:firstLineChars="0"/>
              <w:jc w:val="center"/>
              <w:rPr>
                <w:rFonts w:ascii="宋体" w:hAnsi="宋体" w:cs="Arial"/>
                <w:kern w:val="0"/>
                <w:sz w:val="24"/>
                <w:szCs w:val="24"/>
              </w:rPr>
            </w:pPr>
            <w:r>
              <w:rPr>
                <w:rFonts w:ascii="宋体" w:hAnsi="宋体" w:cs="Arial"/>
                <w:kern w:val="0"/>
                <w:sz w:val="24"/>
                <w:szCs w:val="24"/>
              </w:rPr>
              <w:t>富口镇南3排水单元</w:t>
            </w:r>
          </w:p>
        </w:tc>
        <w:tc>
          <w:tcPr>
            <w:tcW w:w="1276" w:type="dxa"/>
            <w:tcBorders>
              <w:top w:val="nil"/>
              <w:left w:val="nil"/>
              <w:bottom w:val="single" w:color="auto" w:sz="4" w:space="0"/>
              <w:right w:val="single" w:color="auto" w:sz="4" w:space="0"/>
            </w:tcBorders>
            <w:shd w:val="clear" w:color="auto" w:fill="auto"/>
            <w:vAlign w:val="center"/>
          </w:tcPr>
          <w:p w14:paraId="471F8072">
            <w:pPr>
              <w:widowControl/>
              <w:ind w:firstLine="0" w:firstLineChars="0"/>
              <w:jc w:val="center"/>
              <w:rPr>
                <w:rFonts w:ascii="宋体" w:hAnsi="宋体" w:cs="Arial"/>
                <w:kern w:val="0"/>
                <w:sz w:val="24"/>
                <w:szCs w:val="24"/>
              </w:rPr>
            </w:pPr>
            <w:r>
              <w:rPr>
                <w:rFonts w:ascii="宋体" w:hAnsi="宋体" w:cs="Arial"/>
                <w:kern w:val="0"/>
                <w:sz w:val="24"/>
                <w:szCs w:val="24"/>
              </w:rPr>
              <w:t>83.2%</w:t>
            </w:r>
          </w:p>
        </w:tc>
      </w:tr>
      <w:tr w14:paraId="219542DE">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004FE48">
            <w:pPr>
              <w:widowControl/>
              <w:ind w:firstLine="0" w:firstLineChars="0"/>
              <w:jc w:val="center"/>
              <w:rPr>
                <w:rFonts w:ascii="宋体" w:hAnsi="宋体" w:cs="Arial"/>
                <w:kern w:val="0"/>
                <w:sz w:val="24"/>
                <w:szCs w:val="24"/>
              </w:rPr>
            </w:pPr>
            <w:r>
              <w:rPr>
                <w:rFonts w:ascii="宋体" w:hAnsi="宋体" w:cs="Arial"/>
                <w:kern w:val="0"/>
                <w:sz w:val="24"/>
                <w:szCs w:val="24"/>
              </w:rPr>
              <w:t>47</w:t>
            </w:r>
          </w:p>
        </w:tc>
        <w:tc>
          <w:tcPr>
            <w:tcW w:w="3118" w:type="dxa"/>
            <w:tcBorders>
              <w:top w:val="nil"/>
              <w:left w:val="nil"/>
              <w:bottom w:val="single" w:color="auto" w:sz="4" w:space="0"/>
              <w:right w:val="single" w:color="auto" w:sz="4" w:space="0"/>
            </w:tcBorders>
            <w:shd w:val="clear" w:color="auto" w:fill="auto"/>
            <w:vAlign w:val="center"/>
          </w:tcPr>
          <w:p w14:paraId="5A9BB685">
            <w:pPr>
              <w:widowControl/>
              <w:ind w:firstLine="0" w:firstLineChars="0"/>
              <w:jc w:val="center"/>
              <w:rPr>
                <w:rFonts w:ascii="宋体" w:hAnsi="宋体" w:cs="Arial"/>
                <w:kern w:val="0"/>
                <w:sz w:val="24"/>
                <w:szCs w:val="24"/>
              </w:rPr>
            </w:pPr>
            <w:r>
              <w:rPr>
                <w:rFonts w:ascii="宋体" w:hAnsi="宋体" w:cs="Arial"/>
                <w:kern w:val="0"/>
                <w:sz w:val="24"/>
                <w:szCs w:val="24"/>
              </w:rPr>
              <w:t>大坂西排水单元</w:t>
            </w:r>
          </w:p>
        </w:tc>
        <w:tc>
          <w:tcPr>
            <w:tcW w:w="1389" w:type="dxa"/>
            <w:tcBorders>
              <w:top w:val="nil"/>
              <w:left w:val="nil"/>
              <w:bottom w:val="single" w:color="auto" w:sz="4" w:space="0"/>
              <w:right w:val="single" w:color="auto" w:sz="4" w:space="0"/>
            </w:tcBorders>
            <w:shd w:val="clear" w:color="auto" w:fill="auto"/>
            <w:vAlign w:val="center"/>
          </w:tcPr>
          <w:p w14:paraId="22B5E629">
            <w:pPr>
              <w:widowControl/>
              <w:ind w:firstLine="0" w:firstLineChars="0"/>
              <w:jc w:val="center"/>
              <w:rPr>
                <w:rFonts w:ascii="宋体" w:hAnsi="宋体" w:cs="Arial"/>
                <w:kern w:val="0"/>
                <w:sz w:val="24"/>
                <w:szCs w:val="24"/>
              </w:rPr>
            </w:pPr>
            <w:r>
              <w:rPr>
                <w:rFonts w:ascii="宋体" w:hAnsi="宋体" w:cs="Arial"/>
                <w:kern w:val="0"/>
                <w:sz w:val="24"/>
                <w:szCs w:val="24"/>
              </w:rPr>
              <w:t>76.1%</w:t>
            </w:r>
          </w:p>
        </w:tc>
        <w:tc>
          <w:tcPr>
            <w:tcW w:w="708" w:type="dxa"/>
            <w:tcBorders>
              <w:top w:val="nil"/>
              <w:left w:val="nil"/>
              <w:bottom w:val="single" w:color="auto" w:sz="4" w:space="0"/>
              <w:right w:val="single" w:color="auto" w:sz="4" w:space="0"/>
            </w:tcBorders>
            <w:shd w:val="clear" w:color="auto" w:fill="auto"/>
            <w:noWrap/>
            <w:vAlign w:val="center"/>
          </w:tcPr>
          <w:p w14:paraId="374B6C11">
            <w:pPr>
              <w:widowControl/>
              <w:ind w:firstLine="0" w:firstLineChars="0"/>
              <w:jc w:val="center"/>
              <w:rPr>
                <w:rFonts w:ascii="宋体" w:hAnsi="宋体" w:cs="Arial"/>
                <w:kern w:val="0"/>
                <w:sz w:val="24"/>
                <w:szCs w:val="24"/>
              </w:rPr>
            </w:pPr>
            <w:r>
              <w:rPr>
                <w:rFonts w:ascii="宋体" w:hAnsi="宋体" w:cs="Arial"/>
                <w:kern w:val="0"/>
                <w:sz w:val="24"/>
                <w:szCs w:val="24"/>
              </w:rPr>
              <w:t>101</w:t>
            </w:r>
          </w:p>
        </w:tc>
        <w:tc>
          <w:tcPr>
            <w:tcW w:w="2680" w:type="dxa"/>
            <w:tcBorders>
              <w:top w:val="nil"/>
              <w:left w:val="nil"/>
              <w:bottom w:val="single" w:color="auto" w:sz="4" w:space="0"/>
              <w:right w:val="single" w:color="auto" w:sz="4" w:space="0"/>
            </w:tcBorders>
            <w:shd w:val="clear" w:color="auto" w:fill="auto"/>
            <w:noWrap/>
            <w:vAlign w:val="center"/>
          </w:tcPr>
          <w:p w14:paraId="637D925A">
            <w:pPr>
              <w:widowControl/>
              <w:ind w:firstLine="0" w:firstLineChars="0"/>
              <w:jc w:val="center"/>
              <w:rPr>
                <w:rFonts w:ascii="宋体" w:hAnsi="宋体" w:cs="Arial"/>
                <w:kern w:val="0"/>
                <w:sz w:val="24"/>
                <w:szCs w:val="24"/>
              </w:rPr>
            </w:pPr>
            <w:r>
              <w:rPr>
                <w:rFonts w:ascii="宋体" w:hAnsi="宋体" w:cs="Arial"/>
                <w:kern w:val="0"/>
                <w:sz w:val="24"/>
                <w:szCs w:val="24"/>
              </w:rPr>
              <w:t>富口镇南2排水单元</w:t>
            </w:r>
          </w:p>
        </w:tc>
        <w:tc>
          <w:tcPr>
            <w:tcW w:w="1276" w:type="dxa"/>
            <w:tcBorders>
              <w:top w:val="nil"/>
              <w:left w:val="nil"/>
              <w:bottom w:val="single" w:color="auto" w:sz="4" w:space="0"/>
              <w:right w:val="single" w:color="auto" w:sz="4" w:space="0"/>
            </w:tcBorders>
            <w:shd w:val="clear" w:color="auto" w:fill="auto"/>
            <w:vAlign w:val="center"/>
          </w:tcPr>
          <w:p w14:paraId="63648027">
            <w:pPr>
              <w:widowControl/>
              <w:ind w:firstLine="0" w:firstLineChars="0"/>
              <w:jc w:val="center"/>
              <w:rPr>
                <w:rFonts w:ascii="宋体" w:hAnsi="宋体" w:cs="Arial"/>
                <w:kern w:val="0"/>
                <w:sz w:val="24"/>
                <w:szCs w:val="24"/>
              </w:rPr>
            </w:pPr>
            <w:r>
              <w:rPr>
                <w:rFonts w:ascii="宋体" w:hAnsi="宋体" w:cs="Arial"/>
                <w:kern w:val="0"/>
                <w:sz w:val="24"/>
                <w:szCs w:val="24"/>
              </w:rPr>
              <w:t>83.3%</w:t>
            </w:r>
          </w:p>
        </w:tc>
      </w:tr>
      <w:tr w14:paraId="7EA49001">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76330B4C">
            <w:pPr>
              <w:widowControl/>
              <w:ind w:firstLine="0" w:firstLineChars="0"/>
              <w:jc w:val="center"/>
              <w:rPr>
                <w:rFonts w:ascii="宋体" w:hAnsi="宋体" w:cs="Arial"/>
                <w:kern w:val="0"/>
                <w:sz w:val="24"/>
                <w:szCs w:val="24"/>
              </w:rPr>
            </w:pPr>
            <w:r>
              <w:rPr>
                <w:rFonts w:ascii="宋体" w:hAnsi="宋体" w:cs="Arial"/>
                <w:kern w:val="0"/>
                <w:sz w:val="24"/>
                <w:szCs w:val="24"/>
              </w:rPr>
              <w:t>48</w:t>
            </w:r>
          </w:p>
        </w:tc>
        <w:tc>
          <w:tcPr>
            <w:tcW w:w="3118" w:type="dxa"/>
            <w:tcBorders>
              <w:top w:val="nil"/>
              <w:left w:val="nil"/>
              <w:bottom w:val="single" w:color="auto" w:sz="4" w:space="0"/>
              <w:right w:val="single" w:color="auto" w:sz="4" w:space="0"/>
            </w:tcBorders>
            <w:shd w:val="clear" w:color="auto" w:fill="auto"/>
            <w:vAlign w:val="center"/>
          </w:tcPr>
          <w:p w14:paraId="1F455BD8">
            <w:pPr>
              <w:widowControl/>
              <w:ind w:firstLine="0" w:firstLineChars="0"/>
              <w:jc w:val="center"/>
              <w:rPr>
                <w:rFonts w:ascii="宋体" w:hAnsi="宋体" w:cs="Arial"/>
                <w:kern w:val="0"/>
                <w:sz w:val="24"/>
                <w:szCs w:val="24"/>
              </w:rPr>
            </w:pPr>
            <w:r>
              <w:rPr>
                <w:rFonts w:ascii="宋体" w:hAnsi="宋体" w:cs="Arial"/>
                <w:kern w:val="0"/>
                <w:sz w:val="24"/>
                <w:szCs w:val="24"/>
              </w:rPr>
              <w:t>台江园区西排水单元</w:t>
            </w:r>
          </w:p>
        </w:tc>
        <w:tc>
          <w:tcPr>
            <w:tcW w:w="1389" w:type="dxa"/>
            <w:tcBorders>
              <w:top w:val="nil"/>
              <w:left w:val="nil"/>
              <w:bottom w:val="single" w:color="auto" w:sz="4" w:space="0"/>
              <w:right w:val="single" w:color="auto" w:sz="4" w:space="0"/>
            </w:tcBorders>
            <w:shd w:val="clear" w:color="auto" w:fill="auto"/>
            <w:vAlign w:val="center"/>
          </w:tcPr>
          <w:p w14:paraId="42E14369">
            <w:pPr>
              <w:widowControl/>
              <w:ind w:firstLine="0" w:firstLineChars="0"/>
              <w:jc w:val="center"/>
              <w:rPr>
                <w:rFonts w:ascii="宋体" w:hAnsi="宋体" w:cs="Arial"/>
                <w:kern w:val="0"/>
                <w:sz w:val="24"/>
                <w:szCs w:val="24"/>
              </w:rPr>
            </w:pPr>
            <w:r>
              <w:rPr>
                <w:rFonts w:ascii="宋体" w:hAnsi="宋体" w:cs="Arial"/>
                <w:kern w:val="0"/>
                <w:sz w:val="24"/>
                <w:szCs w:val="24"/>
              </w:rPr>
              <w:t>70.3%</w:t>
            </w:r>
          </w:p>
        </w:tc>
        <w:tc>
          <w:tcPr>
            <w:tcW w:w="708" w:type="dxa"/>
            <w:tcBorders>
              <w:top w:val="nil"/>
              <w:left w:val="nil"/>
              <w:bottom w:val="single" w:color="auto" w:sz="4" w:space="0"/>
              <w:right w:val="single" w:color="auto" w:sz="4" w:space="0"/>
            </w:tcBorders>
            <w:shd w:val="clear" w:color="auto" w:fill="auto"/>
            <w:noWrap/>
            <w:vAlign w:val="center"/>
          </w:tcPr>
          <w:p w14:paraId="56E3FA18">
            <w:pPr>
              <w:widowControl/>
              <w:ind w:firstLine="0" w:firstLineChars="0"/>
              <w:jc w:val="center"/>
              <w:rPr>
                <w:rFonts w:ascii="宋体" w:hAnsi="宋体" w:cs="Arial"/>
                <w:kern w:val="0"/>
                <w:sz w:val="24"/>
                <w:szCs w:val="24"/>
              </w:rPr>
            </w:pPr>
            <w:r>
              <w:rPr>
                <w:rFonts w:ascii="宋体" w:hAnsi="宋体" w:cs="Arial"/>
                <w:kern w:val="0"/>
                <w:sz w:val="24"/>
                <w:szCs w:val="24"/>
              </w:rPr>
              <w:t>102</w:t>
            </w:r>
          </w:p>
        </w:tc>
        <w:tc>
          <w:tcPr>
            <w:tcW w:w="2680" w:type="dxa"/>
            <w:tcBorders>
              <w:top w:val="nil"/>
              <w:left w:val="nil"/>
              <w:bottom w:val="single" w:color="auto" w:sz="4" w:space="0"/>
              <w:right w:val="single" w:color="auto" w:sz="4" w:space="0"/>
            </w:tcBorders>
            <w:shd w:val="clear" w:color="auto" w:fill="auto"/>
            <w:noWrap/>
            <w:vAlign w:val="center"/>
          </w:tcPr>
          <w:p w14:paraId="02FE5A97">
            <w:pPr>
              <w:widowControl/>
              <w:ind w:firstLine="0" w:firstLineChars="0"/>
              <w:jc w:val="center"/>
              <w:rPr>
                <w:rFonts w:ascii="宋体" w:hAnsi="宋体" w:cs="Arial"/>
                <w:kern w:val="0"/>
                <w:sz w:val="24"/>
                <w:szCs w:val="24"/>
              </w:rPr>
            </w:pPr>
            <w:r>
              <w:rPr>
                <w:rFonts w:ascii="宋体" w:hAnsi="宋体" w:cs="Arial"/>
                <w:kern w:val="0"/>
                <w:sz w:val="24"/>
                <w:szCs w:val="24"/>
              </w:rPr>
              <w:t>富口镇南1排水单元</w:t>
            </w:r>
          </w:p>
        </w:tc>
        <w:tc>
          <w:tcPr>
            <w:tcW w:w="1276" w:type="dxa"/>
            <w:tcBorders>
              <w:top w:val="nil"/>
              <w:left w:val="nil"/>
              <w:bottom w:val="single" w:color="auto" w:sz="4" w:space="0"/>
              <w:right w:val="single" w:color="auto" w:sz="4" w:space="0"/>
            </w:tcBorders>
            <w:shd w:val="clear" w:color="auto" w:fill="auto"/>
            <w:vAlign w:val="center"/>
          </w:tcPr>
          <w:p w14:paraId="72E60D99">
            <w:pPr>
              <w:widowControl/>
              <w:ind w:firstLine="0" w:firstLineChars="0"/>
              <w:jc w:val="center"/>
              <w:rPr>
                <w:rFonts w:ascii="宋体" w:hAnsi="宋体" w:cs="Arial"/>
                <w:kern w:val="0"/>
                <w:sz w:val="24"/>
                <w:szCs w:val="24"/>
              </w:rPr>
            </w:pPr>
            <w:r>
              <w:rPr>
                <w:rFonts w:ascii="宋体" w:hAnsi="宋体" w:cs="Arial"/>
                <w:kern w:val="0"/>
                <w:sz w:val="24"/>
                <w:szCs w:val="24"/>
              </w:rPr>
              <w:t>82.4%</w:t>
            </w:r>
          </w:p>
        </w:tc>
      </w:tr>
      <w:tr w14:paraId="62153C98">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A357D03">
            <w:pPr>
              <w:widowControl/>
              <w:ind w:firstLine="0" w:firstLineChars="0"/>
              <w:jc w:val="center"/>
              <w:rPr>
                <w:rFonts w:ascii="宋体" w:hAnsi="宋体" w:cs="Arial"/>
                <w:kern w:val="0"/>
                <w:sz w:val="24"/>
                <w:szCs w:val="24"/>
              </w:rPr>
            </w:pPr>
            <w:r>
              <w:rPr>
                <w:rFonts w:ascii="宋体" w:hAnsi="宋体" w:cs="Arial"/>
                <w:kern w:val="0"/>
                <w:sz w:val="24"/>
                <w:szCs w:val="24"/>
              </w:rPr>
              <w:t>49</w:t>
            </w:r>
          </w:p>
        </w:tc>
        <w:tc>
          <w:tcPr>
            <w:tcW w:w="3118" w:type="dxa"/>
            <w:tcBorders>
              <w:top w:val="nil"/>
              <w:left w:val="nil"/>
              <w:bottom w:val="single" w:color="auto" w:sz="4" w:space="0"/>
              <w:right w:val="single" w:color="auto" w:sz="4" w:space="0"/>
            </w:tcBorders>
            <w:shd w:val="clear" w:color="auto" w:fill="auto"/>
            <w:vAlign w:val="center"/>
          </w:tcPr>
          <w:p w14:paraId="41099F4D">
            <w:pPr>
              <w:widowControl/>
              <w:ind w:firstLine="0" w:firstLineChars="0"/>
              <w:jc w:val="center"/>
              <w:rPr>
                <w:rFonts w:ascii="宋体" w:hAnsi="宋体" w:cs="Arial"/>
                <w:kern w:val="0"/>
                <w:sz w:val="24"/>
                <w:szCs w:val="24"/>
              </w:rPr>
            </w:pPr>
            <w:r>
              <w:rPr>
                <w:rFonts w:ascii="宋体" w:hAnsi="宋体" w:cs="Arial"/>
                <w:kern w:val="0"/>
                <w:sz w:val="24"/>
                <w:szCs w:val="24"/>
              </w:rPr>
              <w:t>大坂东排水单元</w:t>
            </w:r>
          </w:p>
        </w:tc>
        <w:tc>
          <w:tcPr>
            <w:tcW w:w="1389" w:type="dxa"/>
            <w:tcBorders>
              <w:top w:val="nil"/>
              <w:left w:val="nil"/>
              <w:bottom w:val="single" w:color="auto" w:sz="4" w:space="0"/>
              <w:right w:val="single" w:color="auto" w:sz="4" w:space="0"/>
            </w:tcBorders>
            <w:shd w:val="clear" w:color="auto" w:fill="auto"/>
            <w:vAlign w:val="center"/>
          </w:tcPr>
          <w:p w14:paraId="29312431">
            <w:pPr>
              <w:widowControl/>
              <w:ind w:firstLine="0" w:firstLineChars="0"/>
              <w:jc w:val="center"/>
              <w:rPr>
                <w:rFonts w:ascii="宋体" w:hAnsi="宋体" w:cs="Arial"/>
                <w:kern w:val="0"/>
                <w:sz w:val="24"/>
                <w:szCs w:val="24"/>
              </w:rPr>
            </w:pPr>
            <w:r>
              <w:rPr>
                <w:rFonts w:ascii="宋体" w:hAnsi="宋体" w:cs="Arial"/>
                <w:kern w:val="0"/>
                <w:sz w:val="24"/>
                <w:szCs w:val="24"/>
              </w:rPr>
              <w:t>71.2%</w:t>
            </w:r>
          </w:p>
        </w:tc>
        <w:tc>
          <w:tcPr>
            <w:tcW w:w="708" w:type="dxa"/>
            <w:tcBorders>
              <w:top w:val="nil"/>
              <w:left w:val="nil"/>
              <w:bottom w:val="single" w:color="auto" w:sz="4" w:space="0"/>
              <w:right w:val="single" w:color="auto" w:sz="4" w:space="0"/>
            </w:tcBorders>
            <w:shd w:val="clear" w:color="auto" w:fill="auto"/>
            <w:noWrap/>
            <w:vAlign w:val="center"/>
          </w:tcPr>
          <w:p w14:paraId="5D462FC2">
            <w:pPr>
              <w:widowControl/>
              <w:ind w:firstLine="0" w:firstLineChars="0"/>
              <w:jc w:val="center"/>
              <w:rPr>
                <w:rFonts w:ascii="宋体" w:hAnsi="宋体" w:cs="Arial"/>
                <w:kern w:val="0"/>
                <w:sz w:val="24"/>
                <w:szCs w:val="24"/>
              </w:rPr>
            </w:pPr>
            <w:r>
              <w:rPr>
                <w:rFonts w:ascii="宋体" w:hAnsi="宋体" w:cs="Arial"/>
                <w:kern w:val="0"/>
                <w:sz w:val="24"/>
                <w:szCs w:val="24"/>
              </w:rPr>
              <w:t>103</w:t>
            </w:r>
          </w:p>
        </w:tc>
        <w:tc>
          <w:tcPr>
            <w:tcW w:w="2680" w:type="dxa"/>
            <w:tcBorders>
              <w:top w:val="nil"/>
              <w:left w:val="nil"/>
              <w:bottom w:val="single" w:color="auto" w:sz="4" w:space="0"/>
              <w:right w:val="single" w:color="auto" w:sz="4" w:space="0"/>
            </w:tcBorders>
            <w:shd w:val="clear" w:color="auto" w:fill="auto"/>
            <w:noWrap/>
            <w:vAlign w:val="center"/>
          </w:tcPr>
          <w:p w14:paraId="68A31C03">
            <w:pPr>
              <w:widowControl/>
              <w:ind w:firstLine="0" w:firstLineChars="0"/>
              <w:jc w:val="center"/>
              <w:rPr>
                <w:rFonts w:ascii="宋体" w:hAnsi="宋体" w:cs="Arial"/>
                <w:kern w:val="0"/>
                <w:sz w:val="24"/>
                <w:szCs w:val="24"/>
              </w:rPr>
            </w:pPr>
            <w:r>
              <w:rPr>
                <w:rFonts w:ascii="宋体" w:hAnsi="宋体" w:cs="Arial"/>
                <w:kern w:val="0"/>
                <w:sz w:val="24"/>
                <w:szCs w:val="24"/>
              </w:rPr>
              <w:t>富口镇北排水单元</w:t>
            </w:r>
          </w:p>
        </w:tc>
        <w:tc>
          <w:tcPr>
            <w:tcW w:w="1276" w:type="dxa"/>
            <w:tcBorders>
              <w:top w:val="nil"/>
              <w:left w:val="nil"/>
              <w:bottom w:val="single" w:color="auto" w:sz="4" w:space="0"/>
              <w:right w:val="single" w:color="auto" w:sz="4" w:space="0"/>
            </w:tcBorders>
            <w:shd w:val="clear" w:color="auto" w:fill="auto"/>
            <w:vAlign w:val="center"/>
          </w:tcPr>
          <w:p w14:paraId="54768691">
            <w:pPr>
              <w:widowControl/>
              <w:ind w:firstLine="0" w:firstLineChars="0"/>
              <w:jc w:val="center"/>
              <w:rPr>
                <w:rFonts w:ascii="宋体" w:hAnsi="宋体" w:cs="Arial"/>
                <w:kern w:val="0"/>
                <w:sz w:val="24"/>
                <w:szCs w:val="24"/>
              </w:rPr>
            </w:pPr>
            <w:r>
              <w:rPr>
                <w:rFonts w:ascii="宋体" w:hAnsi="宋体" w:cs="Arial"/>
                <w:kern w:val="0"/>
                <w:sz w:val="24"/>
                <w:szCs w:val="24"/>
              </w:rPr>
              <w:t>85.1%</w:t>
            </w:r>
          </w:p>
        </w:tc>
      </w:tr>
      <w:tr w14:paraId="315F014F">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63C27DD7">
            <w:pPr>
              <w:widowControl/>
              <w:ind w:firstLine="0" w:firstLineChars="0"/>
              <w:jc w:val="center"/>
              <w:rPr>
                <w:rFonts w:ascii="宋体" w:hAnsi="宋体" w:cs="Arial"/>
                <w:kern w:val="0"/>
                <w:sz w:val="24"/>
                <w:szCs w:val="24"/>
              </w:rPr>
            </w:pPr>
            <w:r>
              <w:rPr>
                <w:rFonts w:ascii="宋体" w:hAnsi="宋体" w:cs="Arial"/>
                <w:kern w:val="0"/>
                <w:sz w:val="24"/>
                <w:szCs w:val="24"/>
              </w:rPr>
              <w:t>50</w:t>
            </w:r>
          </w:p>
        </w:tc>
        <w:tc>
          <w:tcPr>
            <w:tcW w:w="3118" w:type="dxa"/>
            <w:tcBorders>
              <w:top w:val="nil"/>
              <w:left w:val="nil"/>
              <w:bottom w:val="single" w:color="auto" w:sz="4" w:space="0"/>
              <w:right w:val="single" w:color="auto" w:sz="4" w:space="0"/>
            </w:tcBorders>
            <w:shd w:val="clear" w:color="auto" w:fill="auto"/>
            <w:vAlign w:val="center"/>
          </w:tcPr>
          <w:p w14:paraId="37628D27">
            <w:pPr>
              <w:widowControl/>
              <w:ind w:firstLine="0" w:firstLineChars="0"/>
              <w:jc w:val="center"/>
              <w:rPr>
                <w:rFonts w:ascii="宋体" w:hAnsi="宋体" w:cs="Arial"/>
                <w:kern w:val="0"/>
                <w:sz w:val="24"/>
                <w:szCs w:val="24"/>
              </w:rPr>
            </w:pPr>
            <w:r>
              <w:rPr>
                <w:rFonts w:ascii="宋体" w:hAnsi="宋体" w:cs="Arial"/>
                <w:kern w:val="0"/>
                <w:sz w:val="24"/>
                <w:szCs w:val="24"/>
              </w:rPr>
              <w:t>台江园区东排水单元</w:t>
            </w:r>
          </w:p>
        </w:tc>
        <w:tc>
          <w:tcPr>
            <w:tcW w:w="1389" w:type="dxa"/>
            <w:tcBorders>
              <w:top w:val="nil"/>
              <w:left w:val="nil"/>
              <w:bottom w:val="single" w:color="auto" w:sz="4" w:space="0"/>
              <w:right w:val="single" w:color="auto" w:sz="4" w:space="0"/>
            </w:tcBorders>
            <w:shd w:val="clear" w:color="auto" w:fill="auto"/>
            <w:vAlign w:val="center"/>
          </w:tcPr>
          <w:p w14:paraId="5ACDE829">
            <w:pPr>
              <w:widowControl/>
              <w:ind w:firstLine="0" w:firstLineChars="0"/>
              <w:jc w:val="center"/>
              <w:rPr>
                <w:rFonts w:ascii="宋体" w:hAnsi="宋体" w:cs="Arial"/>
                <w:kern w:val="0"/>
                <w:sz w:val="24"/>
                <w:szCs w:val="24"/>
              </w:rPr>
            </w:pPr>
            <w:r>
              <w:rPr>
                <w:rFonts w:ascii="宋体" w:hAnsi="宋体" w:cs="Arial"/>
                <w:kern w:val="0"/>
                <w:sz w:val="24"/>
                <w:szCs w:val="24"/>
              </w:rPr>
              <w:t>69.1%</w:t>
            </w:r>
          </w:p>
        </w:tc>
        <w:tc>
          <w:tcPr>
            <w:tcW w:w="708" w:type="dxa"/>
            <w:tcBorders>
              <w:top w:val="nil"/>
              <w:left w:val="nil"/>
              <w:bottom w:val="single" w:color="auto" w:sz="4" w:space="0"/>
              <w:right w:val="single" w:color="auto" w:sz="4" w:space="0"/>
            </w:tcBorders>
            <w:shd w:val="clear" w:color="auto" w:fill="auto"/>
            <w:noWrap/>
            <w:vAlign w:val="center"/>
          </w:tcPr>
          <w:p w14:paraId="28504251">
            <w:pPr>
              <w:widowControl/>
              <w:ind w:firstLine="0" w:firstLineChars="0"/>
              <w:jc w:val="center"/>
              <w:rPr>
                <w:rFonts w:ascii="宋体" w:hAnsi="宋体" w:cs="Arial"/>
                <w:kern w:val="0"/>
                <w:sz w:val="24"/>
                <w:szCs w:val="24"/>
              </w:rPr>
            </w:pPr>
            <w:r>
              <w:rPr>
                <w:rFonts w:ascii="宋体" w:hAnsi="宋体" w:cs="Arial"/>
                <w:kern w:val="0"/>
                <w:sz w:val="24"/>
                <w:szCs w:val="24"/>
              </w:rPr>
              <w:t>104</w:t>
            </w:r>
          </w:p>
        </w:tc>
        <w:tc>
          <w:tcPr>
            <w:tcW w:w="2680" w:type="dxa"/>
            <w:tcBorders>
              <w:top w:val="nil"/>
              <w:left w:val="nil"/>
              <w:bottom w:val="single" w:color="auto" w:sz="4" w:space="0"/>
              <w:right w:val="single" w:color="auto" w:sz="4" w:space="0"/>
            </w:tcBorders>
            <w:shd w:val="clear" w:color="auto" w:fill="auto"/>
            <w:noWrap/>
            <w:vAlign w:val="center"/>
          </w:tcPr>
          <w:p w14:paraId="2A0CD39A">
            <w:pPr>
              <w:widowControl/>
              <w:ind w:firstLine="0" w:firstLineChars="0"/>
              <w:jc w:val="center"/>
              <w:rPr>
                <w:rFonts w:ascii="宋体" w:hAnsi="宋体" w:cs="Arial"/>
                <w:kern w:val="0"/>
                <w:sz w:val="24"/>
                <w:szCs w:val="24"/>
              </w:rPr>
            </w:pPr>
            <w:r>
              <w:rPr>
                <w:rFonts w:ascii="宋体" w:hAnsi="宋体" w:cs="Arial"/>
                <w:kern w:val="0"/>
                <w:sz w:val="24"/>
                <w:szCs w:val="24"/>
              </w:rPr>
              <w:t>白溪口排水单元</w:t>
            </w:r>
          </w:p>
        </w:tc>
        <w:tc>
          <w:tcPr>
            <w:tcW w:w="1276" w:type="dxa"/>
            <w:tcBorders>
              <w:top w:val="nil"/>
              <w:left w:val="nil"/>
              <w:bottom w:val="single" w:color="auto" w:sz="4" w:space="0"/>
              <w:right w:val="single" w:color="auto" w:sz="4" w:space="0"/>
            </w:tcBorders>
            <w:shd w:val="clear" w:color="auto" w:fill="auto"/>
            <w:vAlign w:val="center"/>
          </w:tcPr>
          <w:p w14:paraId="491E7AEF">
            <w:pPr>
              <w:widowControl/>
              <w:ind w:firstLine="0" w:firstLineChars="0"/>
              <w:jc w:val="center"/>
              <w:rPr>
                <w:rFonts w:ascii="宋体" w:hAnsi="宋体" w:cs="Arial"/>
                <w:kern w:val="0"/>
                <w:sz w:val="24"/>
                <w:szCs w:val="24"/>
              </w:rPr>
            </w:pPr>
            <w:r>
              <w:rPr>
                <w:rFonts w:ascii="宋体" w:hAnsi="宋体" w:cs="Arial"/>
                <w:kern w:val="0"/>
                <w:sz w:val="24"/>
                <w:szCs w:val="24"/>
              </w:rPr>
              <w:t>71.1%</w:t>
            </w:r>
          </w:p>
        </w:tc>
      </w:tr>
      <w:tr w14:paraId="737F3E95">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24C20F6A">
            <w:pPr>
              <w:widowControl/>
              <w:ind w:firstLine="0" w:firstLineChars="0"/>
              <w:jc w:val="center"/>
              <w:rPr>
                <w:rFonts w:ascii="宋体" w:hAnsi="宋体" w:cs="Arial"/>
                <w:kern w:val="0"/>
                <w:sz w:val="24"/>
                <w:szCs w:val="24"/>
              </w:rPr>
            </w:pPr>
            <w:r>
              <w:rPr>
                <w:rFonts w:ascii="宋体" w:hAnsi="宋体" w:cs="Arial"/>
                <w:kern w:val="0"/>
                <w:sz w:val="24"/>
                <w:szCs w:val="24"/>
              </w:rPr>
              <w:t>51</w:t>
            </w:r>
          </w:p>
        </w:tc>
        <w:tc>
          <w:tcPr>
            <w:tcW w:w="3118" w:type="dxa"/>
            <w:tcBorders>
              <w:top w:val="nil"/>
              <w:left w:val="nil"/>
              <w:bottom w:val="single" w:color="auto" w:sz="4" w:space="0"/>
              <w:right w:val="single" w:color="auto" w:sz="4" w:space="0"/>
            </w:tcBorders>
            <w:shd w:val="clear" w:color="auto" w:fill="auto"/>
            <w:vAlign w:val="center"/>
          </w:tcPr>
          <w:p w14:paraId="43D61592">
            <w:pPr>
              <w:widowControl/>
              <w:ind w:firstLine="0" w:firstLineChars="0"/>
              <w:jc w:val="center"/>
              <w:rPr>
                <w:rFonts w:ascii="宋体" w:hAnsi="宋体" w:cs="Arial"/>
                <w:kern w:val="0"/>
                <w:sz w:val="24"/>
                <w:szCs w:val="24"/>
              </w:rPr>
            </w:pPr>
            <w:r>
              <w:rPr>
                <w:rFonts w:ascii="宋体" w:hAnsi="宋体" w:cs="Arial"/>
                <w:kern w:val="0"/>
                <w:sz w:val="24"/>
                <w:szCs w:val="24"/>
              </w:rPr>
              <w:t>小蕉排水单元</w:t>
            </w:r>
          </w:p>
        </w:tc>
        <w:tc>
          <w:tcPr>
            <w:tcW w:w="1389" w:type="dxa"/>
            <w:tcBorders>
              <w:top w:val="nil"/>
              <w:left w:val="nil"/>
              <w:bottom w:val="single" w:color="auto" w:sz="4" w:space="0"/>
              <w:right w:val="single" w:color="auto" w:sz="4" w:space="0"/>
            </w:tcBorders>
            <w:shd w:val="clear" w:color="auto" w:fill="auto"/>
            <w:vAlign w:val="center"/>
          </w:tcPr>
          <w:p w14:paraId="0706677F">
            <w:pPr>
              <w:widowControl/>
              <w:ind w:firstLine="0" w:firstLineChars="0"/>
              <w:jc w:val="center"/>
              <w:rPr>
                <w:rFonts w:ascii="宋体" w:hAnsi="宋体" w:cs="Arial"/>
                <w:kern w:val="0"/>
                <w:sz w:val="24"/>
                <w:szCs w:val="24"/>
              </w:rPr>
            </w:pPr>
            <w:r>
              <w:rPr>
                <w:rFonts w:ascii="宋体" w:hAnsi="宋体" w:cs="Arial"/>
                <w:kern w:val="0"/>
                <w:sz w:val="24"/>
                <w:szCs w:val="24"/>
              </w:rPr>
              <w:t>73.7%</w:t>
            </w:r>
          </w:p>
        </w:tc>
        <w:tc>
          <w:tcPr>
            <w:tcW w:w="708" w:type="dxa"/>
            <w:tcBorders>
              <w:top w:val="nil"/>
              <w:left w:val="nil"/>
              <w:bottom w:val="single" w:color="auto" w:sz="4" w:space="0"/>
              <w:right w:val="single" w:color="auto" w:sz="4" w:space="0"/>
            </w:tcBorders>
            <w:shd w:val="clear" w:color="auto" w:fill="auto"/>
            <w:noWrap/>
            <w:vAlign w:val="center"/>
          </w:tcPr>
          <w:p w14:paraId="1BBD245E">
            <w:pPr>
              <w:widowControl/>
              <w:ind w:firstLine="0" w:firstLineChars="0"/>
              <w:jc w:val="center"/>
              <w:rPr>
                <w:rFonts w:ascii="宋体" w:hAnsi="宋体" w:cs="Arial"/>
                <w:kern w:val="0"/>
                <w:sz w:val="24"/>
                <w:szCs w:val="24"/>
              </w:rPr>
            </w:pPr>
            <w:r>
              <w:rPr>
                <w:rFonts w:ascii="宋体" w:hAnsi="宋体" w:cs="Arial"/>
                <w:kern w:val="0"/>
                <w:sz w:val="24"/>
                <w:szCs w:val="24"/>
              </w:rPr>
              <w:t>105</w:t>
            </w:r>
          </w:p>
        </w:tc>
        <w:tc>
          <w:tcPr>
            <w:tcW w:w="2680" w:type="dxa"/>
            <w:tcBorders>
              <w:top w:val="nil"/>
              <w:left w:val="nil"/>
              <w:bottom w:val="single" w:color="auto" w:sz="4" w:space="0"/>
              <w:right w:val="single" w:color="auto" w:sz="4" w:space="0"/>
            </w:tcBorders>
            <w:shd w:val="clear" w:color="auto" w:fill="auto"/>
            <w:noWrap/>
            <w:vAlign w:val="center"/>
          </w:tcPr>
          <w:p w14:paraId="4228EA96">
            <w:pPr>
              <w:widowControl/>
              <w:ind w:firstLine="0" w:firstLineChars="0"/>
              <w:jc w:val="center"/>
              <w:rPr>
                <w:rFonts w:ascii="宋体" w:hAnsi="宋体" w:cs="Arial"/>
                <w:kern w:val="0"/>
                <w:sz w:val="24"/>
                <w:szCs w:val="24"/>
              </w:rPr>
            </w:pPr>
            <w:r>
              <w:rPr>
                <w:rFonts w:ascii="宋体" w:hAnsi="宋体" w:cs="Arial"/>
                <w:kern w:val="0"/>
                <w:sz w:val="24"/>
                <w:szCs w:val="24"/>
              </w:rPr>
              <w:t>兰石排水单元</w:t>
            </w:r>
          </w:p>
        </w:tc>
        <w:tc>
          <w:tcPr>
            <w:tcW w:w="1276" w:type="dxa"/>
            <w:tcBorders>
              <w:top w:val="nil"/>
              <w:left w:val="nil"/>
              <w:bottom w:val="single" w:color="auto" w:sz="4" w:space="0"/>
              <w:right w:val="single" w:color="auto" w:sz="4" w:space="0"/>
            </w:tcBorders>
            <w:shd w:val="clear" w:color="auto" w:fill="auto"/>
            <w:vAlign w:val="center"/>
          </w:tcPr>
          <w:p w14:paraId="36BC5E6D">
            <w:pPr>
              <w:widowControl/>
              <w:ind w:firstLine="0" w:firstLineChars="0"/>
              <w:jc w:val="center"/>
              <w:rPr>
                <w:rFonts w:ascii="宋体" w:hAnsi="宋体" w:cs="Arial"/>
                <w:kern w:val="0"/>
                <w:sz w:val="24"/>
                <w:szCs w:val="24"/>
              </w:rPr>
            </w:pPr>
            <w:r>
              <w:rPr>
                <w:rFonts w:ascii="宋体" w:hAnsi="宋体" w:cs="Arial"/>
                <w:kern w:val="0"/>
                <w:sz w:val="24"/>
                <w:szCs w:val="24"/>
              </w:rPr>
              <w:t>84.3%</w:t>
            </w:r>
          </w:p>
        </w:tc>
      </w:tr>
      <w:tr w14:paraId="2819D479">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7390C2CD">
            <w:pPr>
              <w:widowControl/>
              <w:ind w:firstLine="0" w:firstLineChars="0"/>
              <w:jc w:val="center"/>
              <w:rPr>
                <w:rFonts w:ascii="宋体" w:hAnsi="宋体" w:cs="Arial"/>
                <w:kern w:val="0"/>
                <w:sz w:val="24"/>
                <w:szCs w:val="24"/>
              </w:rPr>
            </w:pPr>
            <w:r>
              <w:rPr>
                <w:rFonts w:ascii="宋体" w:hAnsi="宋体" w:cs="Arial"/>
                <w:kern w:val="0"/>
                <w:sz w:val="24"/>
                <w:szCs w:val="24"/>
              </w:rPr>
              <w:t>52</w:t>
            </w:r>
          </w:p>
        </w:tc>
        <w:tc>
          <w:tcPr>
            <w:tcW w:w="3118" w:type="dxa"/>
            <w:tcBorders>
              <w:top w:val="nil"/>
              <w:left w:val="nil"/>
              <w:bottom w:val="single" w:color="auto" w:sz="4" w:space="0"/>
              <w:right w:val="single" w:color="auto" w:sz="4" w:space="0"/>
            </w:tcBorders>
            <w:shd w:val="clear" w:color="auto" w:fill="auto"/>
            <w:vAlign w:val="center"/>
          </w:tcPr>
          <w:p w14:paraId="138E293D">
            <w:pPr>
              <w:widowControl/>
              <w:ind w:firstLine="0" w:firstLineChars="0"/>
              <w:jc w:val="center"/>
              <w:rPr>
                <w:rFonts w:ascii="宋体" w:hAnsi="宋体" w:cs="Arial"/>
                <w:kern w:val="0"/>
                <w:sz w:val="24"/>
                <w:szCs w:val="24"/>
              </w:rPr>
            </w:pPr>
            <w:r>
              <w:rPr>
                <w:rFonts w:ascii="宋体" w:hAnsi="宋体" w:cs="Arial"/>
                <w:kern w:val="0"/>
                <w:sz w:val="24"/>
                <w:szCs w:val="24"/>
              </w:rPr>
              <w:t>小蕉东排水单元</w:t>
            </w:r>
          </w:p>
        </w:tc>
        <w:tc>
          <w:tcPr>
            <w:tcW w:w="1389" w:type="dxa"/>
            <w:tcBorders>
              <w:top w:val="nil"/>
              <w:left w:val="nil"/>
              <w:bottom w:val="single" w:color="auto" w:sz="4" w:space="0"/>
              <w:right w:val="single" w:color="auto" w:sz="4" w:space="0"/>
            </w:tcBorders>
            <w:shd w:val="clear" w:color="auto" w:fill="auto"/>
            <w:vAlign w:val="center"/>
          </w:tcPr>
          <w:p w14:paraId="4FD0B8E4">
            <w:pPr>
              <w:widowControl/>
              <w:ind w:firstLine="0" w:firstLineChars="0"/>
              <w:jc w:val="center"/>
              <w:rPr>
                <w:rFonts w:ascii="宋体" w:hAnsi="宋体" w:cs="Arial"/>
                <w:kern w:val="0"/>
                <w:sz w:val="24"/>
                <w:szCs w:val="24"/>
              </w:rPr>
            </w:pPr>
            <w:r>
              <w:rPr>
                <w:rFonts w:ascii="宋体" w:hAnsi="宋体" w:cs="Arial"/>
                <w:kern w:val="0"/>
                <w:sz w:val="24"/>
                <w:szCs w:val="24"/>
              </w:rPr>
              <w:t>76.3%</w:t>
            </w:r>
          </w:p>
        </w:tc>
        <w:tc>
          <w:tcPr>
            <w:tcW w:w="708" w:type="dxa"/>
            <w:tcBorders>
              <w:top w:val="nil"/>
              <w:left w:val="nil"/>
              <w:bottom w:val="single" w:color="auto" w:sz="4" w:space="0"/>
              <w:right w:val="single" w:color="auto" w:sz="4" w:space="0"/>
            </w:tcBorders>
            <w:shd w:val="clear" w:color="auto" w:fill="auto"/>
            <w:noWrap/>
            <w:vAlign w:val="center"/>
          </w:tcPr>
          <w:p w14:paraId="1551D15B">
            <w:pPr>
              <w:widowControl/>
              <w:ind w:firstLine="0" w:firstLineChars="0"/>
              <w:jc w:val="center"/>
              <w:rPr>
                <w:rFonts w:ascii="宋体" w:hAnsi="宋体" w:cs="Arial"/>
                <w:kern w:val="0"/>
                <w:sz w:val="24"/>
                <w:szCs w:val="24"/>
              </w:rPr>
            </w:pPr>
            <w:r>
              <w:rPr>
                <w:rFonts w:ascii="宋体" w:hAnsi="宋体" w:cs="Arial"/>
                <w:kern w:val="0"/>
                <w:sz w:val="24"/>
                <w:szCs w:val="24"/>
              </w:rPr>
              <w:t>106</w:t>
            </w:r>
          </w:p>
        </w:tc>
        <w:tc>
          <w:tcPr>
            <w:tcW w:w="2680" w:type="dxa"/>
            <w:tcBorders>
              <w:top w:val="nil"/>
              <w:left w:val="nil"/>
              <w:bottom w:val="single" w:color="auto" w:sz="4" w:space="0"/>
              <w:right w:val="single" w:color="auto" w:sz="4" w:space="0"/>
            </w:tcBorders>
            <w:shd w:val="clear" w:color="auto" w:fill="auto"/>
            <w:noWrap/>
            <w:vAlign w:val="center"/>
          </w:tcPr>
          <w:p w14:paraId="7ED95151">
            <w:pPr>
              <w:widowControl/>
              <w:ind w:firstLine="0" w:firstLineChars="0"/>
              <w:jc w:val="center"/>
              <w:rPr>
                <w:rFonts w:ascii="宋体" w:hAnsi="宋体" w:cs="Arial"/>
                <w:kern w:val="0"/>
                <w:sz w:val="24"/>
                <w:szCs w:val="24"/>
              </w:rPr>
            </w:pPr>
            <w:r>
              <w:rPr>
                <w:rFonts w:ascii="宋体" w:hAnsi="宋体" w:cs="Arial"/>
                <w:kern w:val="0"/>
                <w:sz w:val="24"/>
                <w:szCs w:val="24"/>
              </w:rPr>
              <w:t>姜后排水单元</w:t>
            </w:r>
          </w:p>
        </w:tc>
        <w:tc>
          <w:tcPr>
            <w:tcW w:w="1276" w:type="dxa"/>
            <w:tcBorders>
              <w:top w:val="nil"/>
              <w:left w:val="nil"/>
              <w:bottom w:val="single" w:color="auto" w:sz="4" w:space="0"/>
              <w:right w:val="single" w:color="auto" w:sz="4" w:space="0"/>
            </w:tcBorders>
            <w:shd w:val="clear" w:color="auto" w:fill="auto"/>
            <w:vAlign w:val="center"/>
          </w:tcPr>
          <w:p w14:paraId="721198A5">
            <w:pPr>
              <w:widowControl/>
              <w:ind w:firstLine="0" w:firstLineChars="0"/>
              <w:jc w:val="center"/>
              <w:rPr>
                <w:rFonts w:ascii="宋体" w:hAnsi="宋体" w:cs="Arial"/>
                <w:kern w:val="0"/>
                <w:sz w:val="24"/>
                <w:szCs w:val="24"/>
              </w:rPr>
            </w:pPr>
            <w:r>
              <w:rPr>
                <w:rFonts w:ascii="宋体" w:hAnsi="宋体" w:cs="Arial"/>
                <w:kern w:val="0"/>
                <w:sz w:val="24"/>
                <w:szCs w:val="24"/>
              </w:rPr>
              <w:t>88.4%</w:t>
            </w:r>
          </w:p>
        </w:tc>
      </w:tr>
    </w:tbl>
    <w:p w14:paraId="76A8AED7">
      <w:pPr>
        <w:widowControl/>
        <w:ind w:firstLine="0" w:firstLineChars="0"/>
        <w:jc w:val="left"/>
        <w:rPr>
          <w:kern w:val="0"/>
          <w:sz w:val="24"/>
        </w:rPr>
      </w:pPr>
    </w:p>
    <w:sectPr>
      <w:headerReference r:id="rId11" w:type="default"/>
      <w:footerReference r:id="rId12" w:type="default"/>
      <w:pgSz w:w="23811" w:h="16838" w:orient="landscape"/>
      <w:pgMar w:top="1800" w:right="1440" w:bottom="1800" w:left="1440" w:header="851" w:footer="992" w:gutter="0"/>
      <w:pgNumType w:start="1"/>
      <w:cols w:space="1261" w:num="2"/>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Franklin Gothic Book">
    <w:panose1 w:val="020B05030201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小标宋_GBK">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modern"/>
    <w:pitch w:val="default"/>
    <w:sig w:usb0="800002BF" w:usb1="38CF7CFA" w:usb2="00000016" w:usb3="00000000" w:csb0="00040001" w:csb1="00000000"/>
  </w:font>
  <w:font w:name="FZHTK--GBK1-0">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EA1C4">
    <w:pPr>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24B4">
    <w:pPr>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F69B">
    <w:pPr>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4D54">
    <w:pPr>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DED7">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87AE">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68407">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6118">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MWNmZTkwNjE1ZGQwZTlhZWQ2ZjYzNjlhYjM3MTIifQ=="/>
  </w:docVars>
  <w:rsids>
    <w:rsidRoot w:val="008C6D9E"/>
    <w:rsid w:val="00000160"/>
    <w:rsid w:val="00001961"/>
    <w:rsid w:val="00001F44"/>
    <w:rsid w:val="00001F96"/>
    <w:rsid w:val="00002FDD"/>
    <w:rsid w:val="000038D0"/>
    <w:rsid w:val="00005059"/>
    <w:rsid w:val="00005A06"/>
    <w:rsid w:val="00005E51"/>
    <w:rsid w:val="00007428"/>
    <w:rsid w:val="00010847"/>
    <w:rsid w:val="00011E9D"/>
    <w:rsid w:val="000130CF"/>
    <w:rsid w:val="00013EEE"/>
    <w:rsid w:val="00014F58"/>
    <w:rsid w:val="00015DB4"/>
    <w:rsid w:val="00016060"/>
    <w:rsid w:val="000161A3"/>
    <w:rsid w:val="0001790A"/>
    <w:rsid w:val="00020B15"/>
    <w:rsid w:val="00020BE0"/>
    <w:rsid w:val="00020DDD"/>
    <w:rsid w:val="0002154F"/>
    <w:rsid w:val="00022507"/>
    <w:rsid w:val="00022C8F"/>
    <w:rsid w:val="0002502E"/>
    <w:rsid w:val="00025206"/>
    <w:rsid w:val="00025220"/>
    <w:rsid w:val="00031557"/>
    <w:rsid w:val="000319DD"/>
    <w:rsid w:val="00032672"/>
    <w:rsid w:val="000335F3"/>
    <w:rsid w:val="00034ED4"/>
    <w:rsid w:val="00035590"/>
    <w:rsid w:val="000369DE"/>
    <w:rsid w:val="00037023"/>
    <w:rsid w:val="00037AEC"/>
    <w:rsid w:val="00040BE8"/>
    <w:rsid w:val="00040C27"/>
    <w:rsid w:val="00041703"/>
    <w:rsid w:val="00041C10"/>
    <w:rsid w:val="0004212E"/>
    <w:rsid w:val="00042FDF"/>
    <w:rsid w:val="00043191"/>
    <w:rsid w:val="0004366F"/>
    <w:rsid w:val="000440EC"/>
    <w:rsid w:val="00046473"/>
    <w:rsid w:val="0004686B"/>
    <w:rsid w:val="0004695F"/>
    <w:rsid w:val="000471BC"/>
    <w:rsid w:val="00047223"/>
    <w:rsid w:val="00047764"/>
    <w:rsid w:val="000500BF"/>
    <w:rsid w:val="00050502"/>
    <w:rsid w:val="00050536"/>
    <w:rsid w:val="00051BAE"/>
    <w:rsid w:val="00051EA6"/>
    <w:rsid w:val="0005235B"/>
    <w:rsid w:val="00052C82"/>
    <w:rsid w:val="00053564"/>
    <w:rsid w:val="0005423F"/>
    <w:rsid w:val="00054251"/>
    <w:rsid w:val="000551EC"/>
    <w:rsid w:val="000554F9"/>
    <w:rsid w:val="000560B9"/>
    <w:rsid w:val="0005684D"/>
    <w:rsid w:val="00056D87"/>
    <w:rsid w:val="0006453E"/>
    <w:rsid w:val="00065495"/>
    <w:rsid w:val="000659E0"/>
    <w:rsid w:val="00067788"/>
    <w:rsid w:val="00070CB6"/>
    <w:rsid w:val="00070DE1"/>
    <w:rsid w:val="000711D8"/>
    <w:rsid w:val="00071713"/>
    <w:rsid w:val="000718A5"/>
    <w:rsid w:val="00071AAC"/>
    <w:rsid w:val="00071C58"/>
    <w:rsid w:val="000724DB"/>
    <w:rsid w:val="0007293B"/>
    <w:rsid w:val="00073B1F"/>
    <w:rsid w:val="00073B63"/>
    <w:rsid w:val="00074EC5"/>
    <w:rsid w:val="00075CF4"/>
    <w:rsid w:val="000763A1"/>
    <w:rsid w:val="000774B2"/>
    <w:rsid w:val="00077544"/>
    <w:rsid w:val="000779C1"/>
    <w:rsid w:val="00080536"/>
    <w:rsid w:val="000808B4"/>
    <w:rsid w:val="00080D80"/>
    <w:rsid w:val="00081419"/>
    <w:rsid w:val="00081CC1"/>
    <w:rsid w:val="00082B3C"/>
    <w:rsid w:val="00082C80"/>
    <w:rsid w:val="00082EF2"/>
    <w:rsid w:val="000835D5"/>
    <w:rsid w:val="0008417C"/>
    <w:rsid w:val="00085C36"/>
    <w:rsid w:val="00085D7E"/>
    <w:rsid w:val="0008615E"/>
    <w:rsid w:val="00086814"/>
    <w:rsid w:val="000869E1"/>
    <w:rsid w:val="00086BF0"/>
    <w:rsid w:val="00086DDC"/>
    <w:rsid w:val="000874A8"/>
    <w:rsid w:val="00087511"/>
    <w:rsid w:val="00087613"/>
    <w:rsid w:val="00087C05"/>
    <w:rsid w:val="00091408"/>
    <w:rsid w:val="0009269C"/>
    <w:rsid w:val="00093C02"/>
    <w:rsid w:val="00094A5D"/>
    <w:rsid w:val="00095842"/>
    <w:rsid w:val="00096726"/>
    <w:rsid w:val="0009783B"/>
    <w:rsid w:val="000978ED"/>
    <w:rsid w:val="00097953"/>
    <w:rsid w:val="000979EC"/>
    <w:rsid w:val="00097C5C"/>
    <w:rsid w:val="000A12C7"/>
    <w:rsid w:val="000A1E79"/>
    <w:rsid w:val="000A289D"/>
    <w:rsid w:val="000A2AE0"/>
    <w:rsid w:val="000A36DD"/>
    <w:rsid w:val="000A4088"/>
    <w:rsid w:val="000A4904"/>
    <w:rsid w:val="000A6BF9"/>
    <w:rsid w:val="000A7ABA"/>
    <w:rsid w:val="000B01B5"/>
    <w:rsid w:val="000B412E"/>
    <w:rsid w:val="000B431D"/>
    <w:rsid w:val="000B4AB7"/>
    <w:rsid w:val="000B5C76"/>
    <w:rsid w:val="000B6D5F"/>
    <w:rsid w:val="000B6D94"/>
    <w:rsid w:val="000B7A2D"/>
    <w:rsid w:val="000C0253"/>
    <w:rsid w:val="000C09BE"/>
    <w:rsid w:val="000C1361"/>
    <w:rsid w:val="000C1B23"/>
    <w:rsid w:val="000C2658"/>
    <w:rsid w:val="000C5364"/>
    <w:rsid w:val="000C5E48"/>
    <w:rsid w:val="000C732B"/>
    <w:rsid w:val="000C75F8"/>
    <w:rsid w:val="000D1B04"/>
    <w:rsid w:val="000D2700"/>
    <w:rsid w:val="000D2A74"/>
    <w:rsid w:val="000D2EF7"/>
    <w:rsid w:val="000D474C"/>
    <w:rsid w:val="000D62B5"/>
    <w:rsid w:val="000D66A2"/>
    <w:rsid w:val="000D6B66"/>
    <w:rsid w:val="000E070B"/>
    <w:rsid w:val="000E1438"/>
    <w:rsid w:val="000E1A16"/>
    <w:rsid w:val="000E284D"/>
    <w:rsid w:val="000E3034"/>
    <w:rsid w:val="000E35F9"/>
    <w:rsid w:val="000E3BCB"/>
    <w:rsid w:val="000E5A71"/>
    <w:rsid w:val="000F04CA"/>
    <w:rsid w:val="000F0DF6"/>
    <w:rsid w:val="000F19B9"/>
    <w:rsid w:val="000F2C67"/>
    <w:rsid w:val="000F380D"/>
    <w:rsid w:val="000F3950"/>
    <w:rsid w:val="000F44CF"/>
    <w:rsid w:val="000F4CFF"/>
    <w:rsid w:val="000F5288"/>
    <w:rsid w:val="000F5D15"/>
    <w:rsid w:val="000F7242"/>
    <w:rsid w:val="000F7B1F"/>
    <w:rsid w:val="001005EE"/>
    <w:rsid w:val="00100A83"/>
    <w:rsid w:val="001014D3"/>
    <w:rsid w:val="00101B63"/>
    <w:rsid w:val="00103B78"/>
    <w:rsid w:val="001055B0"/>
    <w:rsid w:val="001055C6"/>
    <w:rsid w:val="00106291"/>
    <w:rsid w:val="001071C2"/>
    <w:rsid w:val="00107529"/>
    <w:rsid w:val="00107613"/>
    <w:rsid w:val="00107DE5"/>
    <w:rsid w:val="00110B45"/>
    <w:rsid w:val="001117DD"/>
    <w:rsid w:val="0011238A"/>
    <w:rsid w:val="001127E1"/>
    <w:rsid w:val="00112B93"/>
    <w:rsid w:val="00113009"/>
    <w:rsid w:val="001130C2"/>
    <w:rsid w:val="00113E1E"/>
    <w:rsid w:val="001149A7"/>
    <w:rsid w:val="0011512A"/>
    <w:rsid w:val="00115504"/>
    <w:rsid w:val="00117582"/>
    <w:rsid w:val="00117C48"/>
    <w:rsid w:val="0012088D"/>
    <w:rsid w:val="00120FC1"/>
    <w:rsid w:val="00121CFB"/>
    <w:rsid w:val="00122E9A"/>
    <w:rsid w:val="0012385C"/>
    <w:rsid w:val="001239AC"/>
    <w:rsid w:val="001259C7"/>
    <w:rsid w:val="001265D9"/>
    <w:rsid w:val="00126C21"/>
    <w:rsid w:val="0013126B"/>
    <w:rsid w:val="00131861"/>
    <w:rsid w:val="0013217F"/>
    <w:rsid w:val="00132435"/>
    <w:rsid w:val="00132772"/>
    <w:rsid w:val="00132B3A"/>
    <w:rsid w:val="00132EAE"/>
    <w:rsid w:val="001339CD"/>
    <w:rsid w:val="00134E62"/>
    <w:rsid w:val="001355E8"/>
    <w:rsid w:val="001357F8"/>
    <w:rsid w:val="0013586F"/>
    <w:rsid w:val="001369A6"/>
    <w:rsid w:val="001404C7"/>
    <w:rsid w:val="001409DF"/>
    <w:rsid w:val="00141A90"/>
    <w:rsid w:val="00141C29"/>
    <w:rsid w:val="001426F3"/>
    <w:rsid w:val="0014279D"/>
    <w:rsid w:val="00142EE3"/>
    <w:rsid w:val="00145448"/>
    <w:rsid w:val="001455CB"/>
    <w:rsid w:val="00146F9E"/>
    <w:rsid w:val="001478BB"/>
    <w:rsid w:val="00147A01"/>
    <w:rsid w:val="0015054B"/>
    <w:rsid w:val="00151E25"/>
    <w:rsid w:val="001524F1"/>
    <w:rsid w:val="00152C21"/>
    <w:rsid w:val="001537D4"/>
    <w:rsid w:val="001537DF"/>
    <w:rsid w:val="00154111"/>
    <w:rsid w:val="00154C17"/>
    <w:rsid w:val="001557C7"/>
    <w:rsid w:val="00156255"/>
    <w:rsid w:val="00156468"/>
    <w:rsid w:val="00160839"/>
    <w:rsid w:val="00160D8B"/>
    <w:rsid w:val="00162584"/>
    <w:rsid w:val="00163EF1"/>
    <w:rsid w:val="00163EFF"/>
    <w:rsid w:val="001640E1"/>
    <w:rsid w:val="00164843"/>
    <w:rsid w:val="00164984"/>
    <w:rsid w:val="00164A31"/>
    <w:rsid w:val="00164DD0"/>
    <w:rsid w:val="001650F3"/>
    <w:rsid w:val="00165385"/>
    <w:rsid w:val="0016574B"/>
    <w:rsid w:val="001669EA"/>
    <w:rsid w:val="00167E50"/>
    <w:rsid w:val="001701D1"/>
    <w:rsid w:val="001703EC"/>
    <w:rsid w:val="00171D87"/>
    <w:rsid w:val="00171EA0"/>
    <w:rsid w:val="00172471"/>
    <w:rsid w:val="0017360C"/>
    <w:rsid w:val="0017373E"/>
    <w:rsid w:val="00173D7B"/>
    <w:rsid w:val="00173E65"/>
    <w:rsid w:val="00174C5D"/>
    <w:rsid w:val="00175393"/>
    <w:rsid w:val="00175609"/>
    <w:rsid w:val="00175D16"/>
    <w:rsid w:val="00176229"/>
    <w:rsid w:val="00176C0A"/>
    <w:rsid w:val="00177788"/>
    <w:rsid w:val="0018090B"/>
    <w:rsid w:val="00180C73"/>
    <w:rsid w:val="00180F89"/>
    <w:rsid w:val="00181347"/>
    <w:rsid w:val="00182A5B"/>
    <w:rsid w:val="00183A1A"/>
    <w:rsid w:val="00183A2D"/>
    <w:rsid w:val="0018516C"/>
    <w:rsid w:val="00185C56"/>
    <w:rsid w:val="00186EF4"/>
    <w:rsid w:val="00191A15"/>
    <w:rsid w:val="001922F6"/>
    <w:rsid w:val="001923F1"/>
    <w:rsid w:val="00192823"/>
    <w:rsid w:val="001929B0"/>
    <w:rsid w:val="001944AA"/>
    <w:rsid w:val="00194C5D"/>
    <w:rsid w:val="00194C73"/>
    <w:rsid w:val="0019579A"/>
    <w:rsid w:val="00195820"/>
    <w:rsid w:val="00196AB7"/>
    <w:rsid w:val="00196E4E"/>
    <w:rsid w:val="00197783"/>
    <w:rsid w:val="0019779B"/>
    <w:rsid w:val="001A3B70"/>
    <w:rsid w:val="001A438F"/>
    <w:rsid w:val="001A480E"/>
    <w:rsid w:val="001A4DB4"/>
    <w:rsid w:val="001A665D"/>
    <w:rsid w:val="001A6A15"/>
    <w:rsid w:val="001A75DD"/>
    <w:rsid w:val="001A789D"/>
    <w:rsid w:val="001B0DDF"/>
    <w:rsid w:val="001B0E22"/>
    <w:rsid w:val="001B12DE"/>
    <w:rsid w:val="001B1DA2"/>
    <w:rsid w:val="001B20D8"/>
    <w:rsid w:val="001B227B"/>
    <w:rsid w:val="001B32AB"/>
    <w:rsid w:val="001B3A09"/>
    <w:rsid w:val="001B429D"/>
    <w:rsid w:val="001B4C53"/>
    <w:rsid w:val="001B51A6"/>
    <w:rsid w:val="001B5AB4"/>
    <w:rsid w:val="001B5D09"/>
    <w:rsid w:val="001B5DE0"/>
    <w:rsid w:val="001B678E"/>
    <w:rsid w:val="001B6AEB"/>
    <w:rsid w:val="001B706A"/>
    <w:rsid w:val="001C0629"/>
    <w:rsid w:val="001C19C8"/>
    <w:rsid w:val="001C5164"/>
    <w:rsid w:val="001C6113"/>
    <w:rsid w:val="001C68E1"/>
    <w:rsid w:val="001C68EF"/>
    <w:rsid w:val="001C6BC9"/>
    <w:rsid w:val="001C7416"/>
    <w:rsid w:val="001D0C30"/>
    <w:rsid w:val="001D1742"/>
    <w:rsid w:val="001D26B6"/>
    <w:rsid w:val="001D2C37"/>
    <w:rsid w:val="001D3251"/>
    <w:rsid w:val="001D32D2"/>
    <w:rsid w:val="001D36FC"/>
    <w:rsid w:val="001D3812"/>
    <w:rsid w:val="001D57E6"/>
    <w:rsid w:val="001D6156"/>
    <w:rsid w:val="001D64FD"/>
    <w:rsid w:val="001D6CB6"/>
    <w:rsid w:val="001D6D68"/>
    <w:rsid w:val="001D748E"/>
    <w:rsid w:val="001D7610"/>
    <w:rsid w:val="001D77FB"/>
    <w:rsid w:val="001D7AD5"/>
    <w:rsid w:val="001D7DD4"/>
    <w:rsid w:val="001D7FFB"/>
    <w:rsid w:val="001E05A8"/>
    <w:rsid w:val="001E0CD9"/>
    <w:rsid w:val="001E207F"/>
    <w:rsid w:val="001E3A22"/>
    <w:rsid w:val="001E41E3"/>
    <w:rsid w:val="001E54E2"/>
    <w:rsid w:val="001E63DA"/>
    <w:rsid w:val="001E6515"/>
    <w:rsid w:val="001E785D"/>
    <w:rsid w:val="001F11DA"/>
    <w:rsid w:val="001F1EE8"/>
    <w:rsid w:val="001F212E"/>
    <w:rsid w:val="001F2AD2"/>
    <w:rsid w:val="001F2B6C"/>
    <w:rsid w:val="001F2DDE"/>
    <w:rsid w:val="001F3331"/>
    <w:rsid w:val="001F34FE"/>
    <w:rsid w:val="001F3E6A"/>
    <w:rsid w:val="001F451F"/>
    <w:rsid w:val="001F45AE"/>
    <w:rsid w:val="001F49A0"/>
    <w:rsid w:val="001F4D42"/>
    <w:rsid w:val="001F4DB7"/>
    <w:rsid w:val="001F4F1E"/>
    <w:rsid w:val="001F50C0"/>
    <w:rsid w:val="001F54C6"/>
    <w:rsid w:val="001F5664"/>
    <w:rsid w:val="001F5E5F"/>
    <w:rsid w:val="001F7EAB"/>
    <w:rsid w:val="0020050D"/>
    <w:rsid w:val="00201316"/>
    <w:rsid w:val="002027D2"/>
    <w:rsid w:val="00205229"/>
    <w:rsid w:val="0020626C"/>
    <w:rsid w:val="002078AE"/>
    <w:rsid w:val="002102FF"/>
    <w:rsid w:val="002106F3"/>
    <w:rsid w:val="00211B2D"/>
    <w:rsid w:val="00211BD6"/>
    <w:rsid w:val="002126A0"/>
    <w:rsid w:val="00214512"/>
    <w:rsid w:val="00215F5D"/>
    <w:rsid w:val="002165A1"/>
    <w:rsid w:val="00216674"/>
    <w:rsid w:val="00216EE4"/>
    <w:rsid w:val="00220206"/>
    <w:rsid w:val="00221149"/>
    <w:rsid w:val="00221683"/>
    <w:rsid w:val="00221714"/>
    <w:rsid w:val="00223152"/>
    <w:rsid w:val="0022336D"/>
    <w:rsid w:val="002236BE"/>
    <w:rsid w:val="00223C5F"/>
    <w:rsid w:val="00224001"/>
    <w:rsid w:val="00224254"/>
    <w:rsid w:val="00224B31"/>
    <w:rsid w:val="00224DF6"/>
    <w:rsid w:val="00225195"/>
    <w:rsid w:val="00226689"/>
    <w:rsid w:val="00227117"/>
    <w:rsid w:val="002272FE"/>
    <w:rsid w:val="002276EC"/>
    <w:rsid w:val="00230648"/>
    <w:rsid w:val="00231965"/>
    <w:rsid w:val="002327EB"/>
    <w:rsid w:val="002341CE"/>
    <w:rsid w:val="00235DDB"/>
    <w:rsid w:val="00237F36"/>
    <w:rsid w:val="0024071C"/>
    <w:rsid w:val="00241DAE"/>
    <w:rsid w:val="002420A7"/>
    <w:rsid w:val="00242899"/>
    <w:rsid w:val="002432A4"/>
    <w:rsid w:val="0024385A"/>
    <w:rsid w:val="00243880"/>
    <w:rsid w:val="00243998"/>
    <w:rsid w:val="00246B30"/>
    <w:rsid w:val="00246E85"/>
    <w:rsid w:val="00246FE7"/>
    <w:rsid w:val="00247294"/>
    <w:rsid w:val="00250640"/>
    <w:rsid w:val="0025187F"/>
    <w:rsid w:val="0025276B"/>
    <w:rsid w:val="00253257"/>
    <w:rsid w:val="00253EB4"/>
    <w:rsid w:val="00253F01"/>
    <w:rsid w:val="00254A8E"/>
    <w:rsid w:val="0025588A"/>
    <w:rsid w:val="00255E56"/>
    <w:rsid w:val="00257001"/>
    <w:rsid w:val="0025764D"/>
    <w:rsid w:val="002604B1"/>
    <w:rsid w:val="00260D22"/>
    <w:rsid w:val="00261070"/>
    <w:rsid w:val="0026129F"/>
    <w:rsid w:val="00261455"/>
    <w:rsid w:val="00261803"/>
    <w:rsid w:val="00262423"/>
    <w:rsid w:val="0026398A"/>
    <w:rsid w:val="002645F5"/>
    <w:rsid w:val="00264A19"/>
    <w:rsid w:val="00264D9C"/>
    <w:rsid w:val="00264DFC"/>
    <w:rsid w:val="002658E1"/>
    <w:rsid w:val="0026608E"/>
    <w:rsid w:val="0026660A"/>
    <w:rsid w:val="0026697E"/>
    <w:rsid w:val="0026729D"/>
    <w:rsid w:val="002702E2"/>
    <w:rsid w:val="00270F1C"/>
    <w:rsid w:val="0027250A"/>
    <w:rsid w:val="00272B8F"/>
    <w:rsid w:val="002739B1"/>
    <w:rsid w:val="00273D47"/>
    <w:rsid w:val="002751EA"/>
    <w:rsid w:val="0027566E"/>
    <w:rsid w:val="0027569B"/>
    <w:rsid w:val="002763E9"/>
    <w:rsid w:val="002767F7"/>
    <w:rsid w:val="00276CEA"/>
    <w:rsid w:val="00277BF0"/>
    <w:rsid w:val="00277DFD"/>
    <w:rsid w:val="00277F3A"/>
    <w:rsid w:val="002808D5"/>
    <w:rsid w:val="00281C1C"/>
    <w:rsid w:val="002824FE"/>
    <w:rsid w:val="0028361F"/>
    <w:rsid w:val="00283A2B"/>
    <w:rsid w:val="00283A3B"/>
    <w:rsid w:val="002869AB"/>
    <w:rsid w:val="002869C3"/>
    <w:rsid w:val="002871CE"/>
    <w:rsid w:val="00287212"/>
    <w:rsid w:val="0028759C"/>
    <w:rsid w:val="00291BD5"/>
    <w:rsid w:val="00292480"/>
    <w:rsid w:val="00292F08"/>
    <w:rsid w:val="00293CC1"/>
    <w:rsid w:val="00294159"/>
    <w:rsid w:val="00294E7D"/>
    <w:rsid w:val="002952A2"/>
    <w:rsid w:val="002963EC"/>
    <w:rsid w:val="00296957"/>
    <w:rsid w:val="00297AF3"/>
    <w:rsid w:val="00297DD2"/>
    <w:rsid w:val="002A0D9F"/>
    <w:rsid w:val="002A1860"/>
    <w:rsid w:val="002A19FE"/>
    <w:rsid w:val="002A3075"/>
    <w:rsid w:val="002A3C65"/>
    <w:rsid w:val="002A4F24"/>
    <w:rsid w:val="002A5A6C"/>
    <w:rsid w:val="002A6531"/>
    <w:rsid w:val="002A6F5B"/>
    <w:rsid w:val="002B079B"/>
    <w:rsid w:val="002B106E"/>
    <w:rsid w:val="002B1184"/>
    <w:rsid w:val="002B1268"/>
    <w:rsid w:val="002B2BCF"/>
    <w:rsid w:val="002B3D48"/>
    <w:rsid w:val="002B420C"/>
    <w:rsid w:val="002B42D8"/>
    <w:rsid w:val="002B4B6E"/>
    <w:rsid w:val="002B602F"/>
    <w:rsid w:val="002B7689"/>
    <w:rsid w:val="002B7CBB"/>
    <w:rsid w:val="002C028A"/>
    <w:rsid w:val="002C06F7"/>
    <w:rsid w:val="002C1614"/>
    <w:rsid w:val="002C1BE2"/>
    <w:rsid w:val="002C2EA5"/>
    <w:rsid w:val="002C356F"/>
    <w:rsid w:val="002C57C2"/>
    <w:rsid w:val="002C59EC"/>
    <w:rsid w:val="002C6B48"/>
    <w:rsid w:val="002D0DBC"/>
    <w:rsid w:val="002D1010"/>
    <w:rsid w:val="002D114A"/>
    <w:rsid w:val="002D1506"/>
    <w:rsid w:val="002D1F34"/>
    <w:rsid w:val="002D295C"/>
    <w:rsid w:val="002D3CEC"/>
    <w:rsid w:val="002D51E5"/>
    <w:rsid w:val="002D685D"/>
    <w:rsid w:val="002D6E3F"/>
    <w:rsid w:val="002E162E"/>
    <w:rsid w:val="002E24D8"/>
    <w:rsid w:val="002E2975"/>
    <w:rsid w:val="002E2B34"/>
    <w:rsid w:val="002E2E14"/>
    <w:rsid w:val="002E380B"/>
    <w:rsid w:val="002E6875"/>
    <w:rsid w:val="002E77AD"/>
    <w:rsid w:val="002E7BF9"/>
    <w:rsid w:val="002F03AE"/>
    <w:rsid w:val="002F0921"/>
    <w:rsid w:val="002F0CDF"/>
    <w:rsid w:val="002F0DAB"/>
    <w:rsid w:val="002F0DEE"/>
    <w:rsid w:val="002F13C6"/>
    <w:rsid w:val="002F1502"/>
    <w:rsid w:val="002F1764"/>
    <w:rsid w:val="002F1F1F"/>
    <w:rsid w:val="002F28A5"/>
    <w:rsid w:val="002F4BE6"/>
    <w:rsid w:val="00300243"/>
    <w:rsid w:val="003008CD"/>
    <w:rsid w:val="00300B21"/>
    <w:rsid w:val="00301F4C"/>
    <w:rsid w:val="0030240A"/>
    <w:rsid w:val="0030329F"/>
    <w:rsid w:val="00303A36"/>
    <w:rsid w:val="00303C89"/>
    <w:rsid w:val="003050D0"/>
    <w:rsid w:val="00305CF6"/>
    <w:rsid w:val="00305E62"/>
    <w:rsid w:val="0030602E"/>
    <w:rsid w:val="00306657"/>
    <w:rsid w:val="00306B4E"/>
    <w:rsid w:val="00307135"/>
    <w:rsid w:val="003074D6"/>
    <w:rsid w:val="003077A7"/>
    <w:rsid w:val="00310048"/>
    <w:rsid w:val="003106D6"/>
    <w:rsid w:val="00310F7B"/>
    <w:rsid w:val="00313B5D"/>
    <w:rsid w:val="00314529"/>
    <w:rsid w:val="00316CC1"/>
    <w:rsid w:val="0031732B"/>
    <w:rsid w:val="003176CF"/>
    <w:rsid w:val="00323A16"/>
    <w:rsid w:val="00323A7B"/>
    <w:rsid w:val="00323E4D"/>
    <w:rsid w:val="003242F7"/>
    <w:rsid w:val="003254ED"/>
    <w:rsid w:val="0032684C"/>
    <w:rsid w:val="00326F38"/>
    <w:rsid w:val="00326FF6"/>
    <w:rsid w:val="0032773E"/>
    <w:rsid w:val="00327C85"/>
    <w:rsid w:val="0033046A"/>
    <w:rsid w:val="00331610"/>
    <w:rsid w:val="00331786"/>
    <w:rsid w:val="00331EF4"/>
    <w:rsid w:val="00332070"/>
    <w:rsid w:val="0033550C"/>
    <w:rsid w:val="00335AE6"/>
    <w:rsid w:val="00336434"/>
    <w:rsid w:val="0033684A"/>
    <w:rsid w:val="00336965"/>
    <w:rsid w:val="00337712"/>
    <w:rsid w:val="00337A3C"/>
    <w:rsid w:val="00337AEC"/>
    <w:rsid w:val="00337C33"/>
    <w:rsid w:val="00342D61"/>
    <w:rsid w:val="003439EA"/>
    <w:rsid w:val="00343E84"/>
    <w:rsid w:val="00343FC2"/>
    <w:rsid w:val="003506E1"/>
    <w:rsid w:val="00350D37"/>
    <w:rsid w:val="00351264"/>
    <w:rsid w:val="003520C9"/>
    <w:rsid w:val="00353490"/>
    <w:rsid w:val="00353931"/>
    <w:rsid w:val="00354084"/>
    <w:rsid w:val="00354280"/>
    <w:rsid w:val="00354E68"/>
    <w:rsid w:val="00355348"/>
    <w:rsid w:val="0035601E"/>
    <w:rsid w:val="003567F0"/>
    <w:rsid w:val="0035696C"/>
    <w:rsid w:val="00356D05"/>
    <w:rsid w:val="00360338"/>
    <w:rsid w:val="003605B2"/>
    <w:rsid w:val="00362179"/>
    <w:rsid w:val="003626A6"/>
    <w:rsid w:val="00362953"/>
    <w:rsid w:val="003634F6"/>
    <w:rsid w:val="00363844"/>
    <w:rsid w:val="00365A50"/>
    <w:rsid w:val="0036717C"/>
    <w:rsid w:val="00367F87"/>
    <w:rsid w:val="003707CC"/>
    <w:rsid w:val="00373AEF"/>
    <w:rsid w:val="00373DA5"/>
    <w:rsid w:val="00374E50"/>
    <w:rsid w:val="003750D1"/>
    <w:rsid w:val="00376131"/>
    <w:rsid w:val="003765D8"/>
    <w:rsid w:val="003772EC"/>
    <w:rsid w:val="00380CFB"/>
    <w:rsid w:val="003816CB"/>
    <w:rsid w:val="0038207F"/>
    <w:rsid w:val="00382136"/>
    <w:rsid w:val="00382AEC"/>
    <w:rsid w:val="003831C6"/>
    <w:rsid w:val="00384666"/>
    <w:rsid w:val="003847D0"/>
    <w:rsid w:val="00385AFF"/>
    <w:rsid w:val="00385FAD"/>
    <w:rsid w:val="0038652A"/>
    <w:rsid w:val="00386772"/>
    <w:rsid w:val="003871FD"/>
    <w:rsid w:val="00387F04"/>
    <w:rsid w:val="00390200"/>
    <w:rsid w:val="003921AB"/>
    <w:rsid w:val="0039352B"/>
    <w:rsid w:val="00393973"/>
    <w:rsid w:val="00394666"/>
    <w:rsid w:val="00394823"/>
    <w:rsid w:val="00394E3F"/>
    <w:rsid w:val="00395951"/>
    <w:rsid w:val="00396462"/>
    <w:rsid w:val="00397B68"/>
    <w:rsid w:val="003A0AFD"/>
    <w:rsid w:val="003A1422"/>
    <w:rsid w:val="003A1489"/>
    <w:rsid w:val="003A1D5B"/>
    <w:rsid w:val="003A1E38"/>
    <w:rsid w:val="003A2E37"/>
    <w:rsid w:val="003A4705"/>
    <w:rsid w:val="003A5FEE"/>
    <w:rsid w:val="003A6BF1"/>
    <w:rsid w:val="003B0687"/>
    <w:rsid w:val="003B0A30"/>
    <w:rsid w:val="003B0A7B"/>
    <w:rsid w:val="003B109C"/>
    <w:rsid w:val="003B25E0"/>
    <w:rsid w:val="003B3CED"/>
    <w:rsid w:val="003B3D39"/>
    <w:rsid w:val="003B4F16"/>
    <w:rsid w:val="003B59E1"/>
    <w:rsid w:val="003B5B70"/>
    <w:rsid w:val="003B66EC"/>
    <w:rsid w:val="003B70F1"/>
    <w:rsid w:val="003B77C4"/>
    <w:rsid w:val="003C01CB"/>
    <w:rsid w:val="003C03B2"/>
    <w:rsid w:val="003C052B"/>
    <w:rsid w:val="003C3767"/>
    <w:rsid w:val="003C3B21"/>
    <w:rsid w:val="003C3BE0"/>
    <w:rsid w:val="003C4E97"/>
    <w:rsid w:val="003C5763"/>
    <w:rsid w:val="003C5ABC"/>
    <w:rsid w:val="003C656F"/>
    <w:rsid w:val="003C68E2"/>
    <w:rsid w:val="003C6C90"/>
    <w:rsid w:val="003C75DE"/>
    <w:rsid w:val="003C762C"/>
    <w:rsid w:val="003C7B2D"/>
    <w:rsid w:val="003D1468"/>
    <w:rsid w:val="003D20C9"/>
    <w:rsid w:val="003D25D2"/>
    <w:rsid w:val="003D260D"/>
    <w:rsid w:val="003D2EB1"/>
    <w:rsid w:val="003D3815"/>
    <w:rsid w:val="003D3CD5"/>
    <w:rsid w:val="003D5483"/>
    <w:rsid w:val="003D5D41"/>
    <w:rsid w:val="003D6E1D"/>
    <w:rsid w:val="003E164E"/>
    <w:rsid w:val="003E1C4F"/>
    <w:rsid w:val="003E35C0"/>
    <w:rsid w:val="003E3649"/>
    <w:rsid w:val="003E738B"/>
    <w:rsid w:val="003E745A"/>
    <w:rsid w:val="003E7C9B"/>
    <w:rsid w:val="003F0082"/>
    <w:rsid w:val="003F00D9"/>
    <w:rsid w:val="003F01CB"/>
    <w:rsid w:val="003F06D9"/>
    <w:rsid w:val="003F15A7"/>
    <w:rsid w:val="003F1B97"/>
    <w:rsid w:val="003F2905"/>
    <w:rsid w:val="003F2F64"/>
    <w:rsid w:val="003F3555"/>
    <w:rsid w:val="003F3A4C"/>
    <w:rsid w:val="003F49B7"/>
    <w:rsid w:val="003F5085"/>
    <w:rsid w:val="003F53D3"/>
    <w:rsid w:val="003F586A"/>
    <w:rsid w:val="003F59C2"/>
    <w:rsid w:val="003F5AD7"/>
    <w:rsid w:val="003F622F"/>
    <w:rsid w:val="003F6C41"/>
    <w:rsid w:val="004003CC"/>
    <w:rsid w:val="004008B3"/>
    <w:rsid w:val="004008D2"/>
    <w:rsid w:val="0040152A"/>
    <w:rsid w:val="00401FED"/>
    <w:rsid w:val="004024EF"/>
    <w:rsid w:val="00404EF0"/>
    <w:rsid w:val="00404F5A"/>
    <w:rsid w:val="0040536E"/>
    <w:rsid w:val="00406261"/>
    <w:rsid w:val="00406293"/>
    <w:rsid w:val="00406835"/>
    <w:rsid w:val="0040741E"/>
    <w:rsid w:val="00407927"/>
    <w:rsid w:val="0041110C"/>
    <w:rsid w:val="00411ADC"/>
    <w:rsid w:val="00411CF9"/>
    <w:rsid w:val="00412FDD"/>
    <w:rsid w:val="00413988"/>
    <w:rsid w:val="00413E72"/>
    <w:rsid w:val="004141E9"/>
    <w:rsid w:val="00414A0D"/>
    <w:rsid w:val="00414B48"/>
    <w:rsid w:val="00414C3B"/>
    <w:rsid w:val="00415088"/>
    <w:rsid w:val="004150F8"/>
    <w:rsid w:val="00415DC9"/>
    <w:rsid w:val="00415E9E"/>
    <w:rsid w:val="0041796E"/>
    <w:rsid w:val="0042068D"/>
    <w:rsid w:val="0042179B"/>
    <w:rsid w:val="00421D68"/>
    <w:rsid w:val="00421E3F"/>
    <w:rsid w:val="0042217C"/>
    <w:rsid w:val="004240DF"/>
    <w:rsid w:val="0042546D"/>
    <w:rsid w:val="004256EF"/>
    <w:rsid w:val="00425CFF"/>
    <w:rsid w:val="00427784"/>
    <w:rsid w:val="00427973"/>
    <w:rsid w:val="0043046E"/>
    <w:rsid w:val="0043071B"/>
    <w:rsid w:val="00430B95"/>
    <w:rsid w:val="00430DBD"/>
    <w:rsid w:val="00431150"/>
    <w:rsid w:val="004312CD"/>
    <w:rsid w:val="00432388"/>
    <w:rsid w:val="00433288"/>
    <w:rsid w:val="00434278"/>
    <w:rsid w:val="004342CD"/>
    <w:rsid w:val="00435097"/>
    <w:rsid w:val="00436338"/>
    <w:rsid w:val="004373DA"/>
    <w:rsid w:val="00437470"/>
    <w:rsid w:val="00437FDB"/>
    <w:rsid w:val="00440B94"/>
    <w:rsid w:val="004436AC"/>
    <w:rsid w:val="00443C95"/>
    <w:rsid w:val="004440F0"/>
    <w:rsid w:val="00444D44"/>
    <w:rsid w:val="0044543F"/>
    <w:rsid w:val="00445D81"/>
    <w:rsid w:val="00445F5C"/>
    <w:rsid w:val="00446004"/>
    <w:rsid w:val="004469BC"/>
    <w:rsid w:val="00446D27"/>
    <w:rsid w:val="00447160"/>
    <w:rsid w:val="00447359"/>
    <w:rsid w:val="004505EE"/>
    <w:rsid w:val="00451DB9"/>
    <w:rsid w:val="00452D70"/>
    <w:rsid w:val="004538A7"/>
    <w:rsid w:val="00453E42"/>
    <w:rsid w:val="00455E85"/>
    <w:rsid w:val="00457A61"/>
    <w:rsid w:val="0046184E"/>
    <w:rsid w:val="00463844"/>
    <w:rsid w:val="00465095"/>
    <w:rsid w:val="004658E6"/>
    <w:rsid w:val="0046678E"/>
    <w:rsid w:val="00466880"/>
    <w:rsid w:val="00466FCB"/>
    <w:rsid w:val="00466FD5"/>
    <w:rsid w:val="0046703E"/>
    <w:rsid w:val="0046781D"/>
    <w:rsid w:val="00467C3E"/>
    <w:rsid w:val="004703E6"/>
    <w:rsid w:val="00471022"/>
    <w:rsid w:val="00471831"/>
    <w:rsid w:val="00471FCA"/>
    <w:rsid w:val="0047225E"/>
    <w:rsid w:val="0047355C"/>
    <w:rsid w:val="00473787"/>
    <w:rsid w:val="004738A9"/>
    <w:rsid w:val="00474B4D"/>
    <w:rsid w:val="00474EDD"/>
    <w:rsid w:val="0047505E"/>
    <w:rsid w:val="00475158"/>
    <w:rsid w:val="0047569F"/>
    <w:rsid w:val="00476F67"/>
    <w:rsid w:val="0047703D"/>
    <w:rsid w:val="00477B43"/>
    <w:rsid w:val="00480313"/>
    <w:rsid w:val="004805CD"/>
    <w:rsid w:val="00480D92"/>
    <w:rsid w:val="00481081"/>
    <w:rsid w:val="0048302B"/>
    <w:rsid w:val="0048303F"/>
    <w:rsid w:val="004841BC"/>
    <w:rsid w:val="0048448E"/>
    <w:rsid w:val="0048651E"/>
    <w:rsid w:val="00486525"/>
    <w:rsid w:val="00486673"/>
    <w:rsid w:val="004866DB"/>
    <w:rsid w:val="004866FB"/>
    <w:rsid w:val="00486861"/>
    <w:rsid w:val="00486AF2"/>
    <w:rsid w:val="00486D26"/>
    <w:rsid w:val="00487889"/>
    <w:rsid w:val="004907DA"/>
    <w:rsid w:val="00491B80"/>
    <w:rsid w:val="00493457"/>
    <w:rsid w:val="0049396C"/>
    <w:rsid w:val="0049438E"/>
    <w:rsid w:val="004947E3"/>
    <w:rsid w:val="00495C41"/>
    <w:rsid w:val="00496EE0"/>
    <w:rsid w:val="0049701B"/>
    <w:rsid w:val="0049759D"/>
    <w:rsid w:val="004A0070"/>
    <w:rsid w:val="004A11EC"/>
    <w:rsid w:val="004A14C4"/>
    <w:rsid w:val="004A4435"/>
    <w:rsid w:val="004A4CFC"/>
    <w:rsid w:val="004A4DC8"/>
    <w:rsid w:val="004A4DE6"/>
    <w:rsid w:val="004A53DE"/>
    <w:rsid w:val="004A588B"/>
    <w:rsid w:val="004A70B5"/>
    <w:rsid w:val="004A7AC1"/>
    <w:rsid w:val="004B09D4"/>
    <w:rsid w:val="004B14BE"/>
    <w:rsid w:val="004B1EFA"/>
    <w:rsid w:val="004B2C45"/>
    <w:rsid w:val="004B2CE4"/>
    <w:rsid w:val="004B324B"/>
    <w:rsid w:val="004B3C12"/>
    <w:rsid w:val="004B5152"/>
    <w:rsid w:val="004B5602"/>
    <w:rsid w:val="004B5F7A"/>
    <w:rsid w:val="004B617C"/>
    <w:rsid w:val="004C0137"/>
    <w:rsid w:val="004C0233"/>
    <w:rsid w:val="004C0284"/>
    <w:rsid w:val="004C0AEE"/>
    <w:rsid w:val="004C1E8C"/>
    <w:rsid w:val="004C2108"/>
    <w:rsid w:val="004C256B"/>
    <w:rsid w:val="004C2CE4"/>
    <w:rsid w:val="004C30D8"/>
    <w:rsid w:val="004C3726"/>
    <w:rsid w:val="004C3B9F"/>
    <w:rsid w:val="004C3BC9"/>
    <w:rsid w:val="004C4298"/>
    <w:rsid w:val="004C446D"/>
    <w:rsid w:val="004C4EFB"/>
    <w:rsid w:val="004C6588"/>
    <w:rsid w:val="004C668E"/>
    <w:rsid w:val="004C7B67"/>
    <w:rsid w:val="004D1833"/>
    <w:rsid w:val="004D1F4C"/>
    <w:rsid w:val="004D212A"/>
    <w:rsid w:val="004D219B"/>
    <w:rsid w:val="004D21F8"/>
    <w:rsid w:val="004D2D32"/>
    <w:rsid w:val="004D3778"/>
    <w:rsid w:val="004D4576"/>
    <w:rsid w:val="004D4B28"/>
    <w:rsid w:val="004D5BE3"/>
    <w:rsid w:val="004D5D2F"/>
    <w:rsid w:val="004D619D"/>
    <w:rsid w:val="004D657F"/>
    <w:rsid w:val="004D72BF"/>
    <w:rsid w:val="004E056C"/>
    <w:rsid w:val="004E13DD"/>
    <w:rsid w:val="004E30AD"/>
    <w:rsid w:val="004E3539"/>
    <w:rsid w:val="004E36D6"/>
    <w:rsid w:val="004E3FB5"/>
    <w:rsid w:val="004E40F1"/>
    <w:rsid w:val="004E5D17"/>
    <w:rsid w:val="004E5DED"/>
    <w:rsid w:val="004E5E57"/>
    <w:rsid w:val="004E5EF2"/>
    <w:rsid w:val="004E5F80"/>
    <w:rsid w:val="004E696D"/>
    <w:rsid w:val="004E716B"/>
    <w:rsid w:val="004E72AA"/>
    <w:rsid w:val="004F0E37"/>
    <w:rsid w:val="004F3272"/>
    <w:rsid w:val="004F3F83"/>
    <w:rsid w:val="004F467D"/>
    <w:rsid w:val="004F4845"/>
    <w:rsid w:val="004F5027"/>
    <w:rsid w:val="004F52A7"/>
    <w:rsid w:val="004F541C"/>
    <w:rsid w:val="004F7304"/>
    <w:rsid w:val="005009CE"/>
    <w:rsid w:val="00503132"/>
    <w:rsid w:val="005038D2"/>
    <w:rsid w:val="00504936"/>
    <w:rsid w:val="00504957"/>
    <w:rsid w:val="0050543E"/>
    <w:rsid w:val="005056B9"/>
    <w:rsid w:val="0050575D"/>
    <w:rsid w:val="005063F0"/>
    <w:rsid w:val="005064CE"/>
    <w:rsid w:val="00506BA3"/>
    <w:rsid w:val="005121BA"/>
    <w:rsid w:val="0051283A"/>
    <w:rsid w:val="005129B9"/>
    <w:rsid w:val="00513DB0"/>
    <w:rsid w:val="00514CF6"/>
    <w:rsid w:val="00514FDB"/>
    <w:rsid w:val="00515ED5"/>
    <w:rsid w:val="005179D0"/>
    <w:rsid w:val="00517AB8"/>
    <w:rsid w:val="00517FDB"/>
    <w:rsid w:val="005200F0"/>
    <w:rsid w:val="0052060D"/>
    <w:rsid w:val="0052139D"/>
    <w:rsid w:val="00521FB5"/>
    <w:rsid w:val="00522695"/>
    <w:rsid w:val="0052289C"/>
    <w:rsid w:val="00522945"/>
    <w:rsid w:val="00522D67"/>
    <w:rsid w:val="00523BF8"/>
    <w:rsid w:val="00525235"/>
    <w:rsid w:val="00530999"/>
    <w:rsid w:val="0053295D"/>
    <w:rsid w:val="00532D99"/>
    <w:rsid w:val="00532F69"/>
    <w:rsid w:val="005336DC"/>
    <w:rsid w:val="00533EA6"/>
    <w:rsid w:val="00533F2A"/>
    <w:rsid w:val="005340C9"/>
    <w:rsid w:val="00534FE7"/>
    <w:rsid w:val="0053638E"/>
    <w:rsid w:val="00536F71"/>
    <w:rsid w:val="00537E94"/>
    <w:rsid w:val="00537F27"/>
    <w:rsid w:val="00537FF3"/>
    <w:rsid w:val="00542481"/>
    <w:rsid w:val="005438BA"/>
    <w:rsid w:val="00545409"/>
    <w:rsid w:val="00545C30"/>
    <w:rsid w:val="00546D94"/>
    <w:rsid w:val="0054702B"/>
    <w:rsid w:val="005470D3"/>
    <w:rsid w:val="00547761"/>
    <w:rsid w:val="00550063"/>
    <w:rsid w:val="00551169"/>
    <w:rsid w:val="0055209C"/>
    <w:rsid w:val="0055259A"/>
    <w:rsid w:val="00553722"/>
    <w:rsid w:val="0055453E"/>
    <w:rsid w:val="00554663"/>
    <w:rsid w:val="00554DD6"/>
    <w:rsid w:val="005555B8"/>
    <w:rsid w:val="00556E36"/>
    <w:rsid w:val="005571E6"/>
    <w:rsid w:val="00557B62"/>
    <w:rsid w:val="00557D50"/>
    <w:rsid w:val="0056024B"/>
    <w:rsid w:val="00560536"/>
    <w:rsid w:val="0056063C"/>
    <w:rsid w:val="0056119E"/>
    <w:rsid w:val="005614AF"/>
    <w:rsid w:val="00562E86"/>
    <w:rsid w:val="00562EF5"/>
    <w:rsid w:val="00563BDA"/>
    <w:rsid w:val="00563DA6"/>
    <w:rsid w:val="005648A6"/>
    <w:rsid w:val="00564A4A"/>
    <w:rsid w:val="00565ECA"/>
    <w:rsid w:val="0056690F"/>
    <w:rsid w:val="0057020D"/>
    <w:rsid w:val="005715B2"/>
    <w:rsid w:val="005727BC"/>
    <w:rsid w:val="00572D4B"/>
    <w:rsid w:val="00573B76"/>
    <w:rsid w:val="005752F1"/>
    <w:rsid w:val="00575D36"/>
    <w:rsid w:val="005762C2"/>
    <w:rsid w:val="00576E4C"/>
    <w:rsid w:val="00577657"/>
    <w:rsid w:val="00580391"/>
    <w:rsid w:val="00582158"/>
    <w:rsid w:val="00583C07"/>
    <w:rsid w:val="00584308"/>
    <w:rsid w:val="005848C6"/>
    <w:rsid w:val="0058546D"/>
    <w:rsid w:val="00585868"/>
    <w:rsid w:val="005865EB"/>
    <w:rsid w:val="0058666F"/>
    <w:rsid w:val="00586734"/>
    <w:rsid w:val="00587703"/>
    <w:rsid w:val="0058783B"/>
    <w:rsid w:val="005902B2"/>
    <w:rsid w:val="005915F4"/>
    <w:rsid w:val="0059167A"/>
    <w:rsid w:val="00591A9E"/>
    <w:rsid w:val="00591D8F"/>
    <w:rsid w:val="00592009"/>
    <w:rsid w:val="00592039"/>
    <w:rsid w:val="00592D1D"/>
    <w:rsid w:val="0059355C"/>
    <w:rsid w:val="00594627"/>
    <w:rsid w:val="00594924"/>
    <w:rsid w:val="00595009"/>
    <w:rsid w:val="0059560D"/>
    <w:rsid w:val="0059665D"/>
    <w:rsid w:val="00596F44"/>
    <w:rsid w:val="00596FE1"/>
    <w:rsid w:val="005A0E9E"/>
    <w:rsid w:val="005A1631"/>
    <w:rsid w:val="005A178F"/>
    <w:rsid w:val="005A1B36"/>
    <w:rsid w:val="005A1EF6"/>
    <w:rsid w:val="005A2D02"/>
    <w:rsid w:val="005A33E7"/>
    <w:rsid w:val="005A3CB0"/>
    <w:rsid w:val="005A40D0"/>
    <w:rsid w:val="005A48CE"/>
    <w:rsid w:val="005A5737"/>
    <w:rsid w:val="005A643F"/>
    <w:rsid w:val="005A6F74"/>
    <w:rsid w:val="005A7E58"/>
    <w:rsid w:val="005B1861"/>
    <w:rsid w:val="005B2AC9"/>
    <w:rsid w:val="005B2B0D"/>
    <w:rsid w:val="005B3979"/>
    <w:rsid w:val="005B4130"/>
    <w:rsid w:val="005B4818"/>
    <w:rsid w:val="005B4AED"/>
    <w:rsid w:val="005B4D72"/>
    <w:rsid w:val="005C1D32"/>
    <w:rsid w:val="005C1FA3"/>
    <w:rsid w:val="005C3931"/>
    <w:rsid w:val="005C40C0"/>
    <w:rsid w:val="005C4DA5"/>
    <w:rsid w:val="005C7BEF"/>
    <w:rsid w:val="005D1D53"/>
    <w:rsid w:val="005D22D4"/>
    <w:rsid w:val="005D2563"/>
    <w:rsid w:val="005D2935"/>
    <w:rsid w:val="005D36DB"/>
    <w:rsid w:val="005D46EF"/>
    <w:rsid w:val="005D4F35"/>
    <w:rsid w:val="005D576B"/>
    <w:rsid w:val="005D5972"/>
    <w:rsid w:val="005D5AF3"/>
    <w:rsid w:val="005D5E77"/>
    <w:rsid w:val="005D7079"/>
    <w:rsid w:val="005D74D3"/>
    <w:rsid w:val="005D7D84"/>
    <w:rsid w:val="005E17CB"/>
    <w:rsid w:val="005E201F"/>
    <w:rsid w:val="005E2E89"/>
    <w:rsid w:val="005E34FC"/>
    <w:rsid w:val="005E3DE2"/>
    <w:rsid w:val="005E3DF4"/>
    <w:rsid w:val="005E614B"/>
    <w:rsid w:val="005E622A"/>
    <w:rsid w:val="005E6C4F"/>
    <w:rsid w:val="005E7CD8"/>
    <w:rsid w:val="005F104A"/>
    <w:rsid w:val="005F151A"/>
    <w:rsid w:val="005F229B"/>
    <w:rsid w:val="005F2E50"/>
    <w:rsid w:val="005F4CA7"/>
    <w:rsid w:val="005F56AD"/>
    <w:rsid w:val="005F6137"/>
    <w:rsid w:val="005F70C0"/>
    <w:rsid w:val="005F7BAD"/>
    <w:rsid w:val="0060010E"/>
    <w:rsid w:val="0060068F"/>
    <w:rsid w:val="00600B4D"/>
    <w:rsid w:val="00601B23"/>
    <w:rsid w:val="00602027"/>
    <w:rsid w:val="00602512"/>
    <w:rsid w:val="0060264D"/>
    <w:rsid w:val="00602C35"/>
    <w:rsid w:val="00602D3A"/>
    <w:rsid w:val="00603CB9"/>
    <w:rsid w:val="00603F96"/>
    <w:rsid w:val="00605462"/>
    <w:rsid w:val="00605AE0"/>
    <w:rsid w:val="00605F2A"/>
    <w:rsid w:val="0060653A"/>
    <w:rsid w:val="00606711"/>
    <w:rsid w:val="0060674F"/>
    <w:rsid w:val="006071C0"/>
    <w:rsid w:val="00607BA6"/>
    <w:rsid w:val="0061023D"/>
    <w:rsid w:val="00610382"/>
    <w:rsid w:val="00610617"/>
    <w:rsid w:val="006118D4"/>
    <w:rsid w:val="0061203F"/>
    <w:rsid w:val="0061262C"/>
    <w:rsid w:val="006138AA"/>
    <w:rsid w:val="00613F5D"/>
    <w:rsid w:val="00615109"/>
    <w:rsid w:val="00615680"/>
    <w:rsid w:val="00617114"/>
    <w:rsid w:val="00620D43"/>
    <w:rsid w:val="00620D49"/>
    <w:rsid w:val="00620DF6"/>
    <w:rsid w:val="006213F5"/>
    <w:rsid w:val="00621505"/>
    <w:rsid w:val="00623826"/>
    <w:rsid w:val="00623D98"/>
    <w:rsid w:val="00624762"/>
    <w:rsid w:val="00624E83"/>
    <w:rsid w:val="00624F74"/>
    <w:rsid w:val="00625FE9"/>
    <w:rsid w:val="006269AC"/>
    <w:rsid w:val="006306AC"/>
    <w:rsid w:val="00631C84"/>
    <w:rsid w:val="00632323"/>
    <w:rsid w:val="00632524"/>
    <w:rsid w:val="00633B4B"/>
    <w:rsid w:val="006348A0"/>
    <w:rsid w:val="006355BB"/>
    <w:rsid w:val="00635B0A"/>
    <w:rsid w:val="006368A7"/>
    <w:rsid w:val="00636C61"/>
    <w:rsid w:val="006374D7"/>
    <w:rsid w:val="00637C0C"/>
    <w:rsid w:val="006419D8"/>
    <w:rsid w:val="00641E24"/>
    <w:rsid w:val="00642048"/>
    <w:rsid w:val="0064207A"/>
    <w:rsid w:val="00642396"/>
    <w:rsid w:val="006423E1"/>
    <w:rsid w:val="00643345"/>
    <w:rsid w:val="006439DC"/>
    <w:rsid w:val="00643EE0"/>
    <w:rsid w:val="00645FC8"/>
    <w:rsid w:val="00646496"/>
    <w:rsid w:val="00647187"/>
    <w:rsid w:val="00647AD6"/>
    <w:rsid w:val="00647DD1"/>
    <w:rsid w:val="00650294"/>
    <w:rsid w:val="006511C6"/>
    <w:rsid w:val="006523DC"/>
    <w:rsid w:val="00653F49"/>
    <w:rsid w:val="006543BA"/>
    <w:rsid w:val="00656E8B"/>
    <w:rsid w:val="0065782C"/>
    <w:rsid w:val="00661243"/>
    <w:rsid w:val="00661D3B"/>
    <w:rsid w:val="0066251C"/>
    <w:rsid w:val="00662B18"/>
    <w:rsid w:val="00663206"/>
    <w:rsid w:val="006632A0"/>
    <w:rsid w:val="00663643"/>
    <w:rsid w:val="006641C0"/>
    <w:rsid w:val="00665281"/>
    <w:rsid w:val="00665BD8"/>
    <w:rsid w:val="00666CF7"/>
    <w:rsid w:val="00667883"/>
    <w:rsid w:val="00667973"/>
    <w:rsid w:val="00667C20"/>
    <w:rsid w:val="006708E7"/>
    <w:rsid w:val="00670ED3"/>
    <w:rsid w:val="006714E2"/>
    <w:rsid w:val="0067182A"/>
    <w:rsid w:val="00671E30"/>
    <w:rsid w:val="0067310E"/>
    <w:rsid w:val="0067322A"/>
    <w:rsid w:val="00675ABA"/>
    <w:rsid w:val="00675D90"/>
    <w:rsid w:val="00676E2E"/>
    <w:rsid w:val="006770D5"/>
    <w:rsid w:val="0067743D"/>
    <w:rsid w:val="006779B1"/>
    <w:rsid w:val="0068049D"/>
    <w:rsid w:val="00680719"/>
    <w:rsid w:val="00680DB9"/>
    <w:rsid w:val="00684953"/>
    <w:rsid w:val="0068543E"/>
    <w:rsid w:val="00687395"/>
    <w:rsid w:val="0069082C"/>
    <w:rsid w:val="006908F7"/>
    <w:rsid w:val="00692B58"/>
    <w:rsid w:val="00693A2A"/>
    <w:rsid w:val="00693CB2"/>
    <w:rsid w:val="00693E1C"/>
    <w:rsid w:val="006952CC"/>
    <w:rsid w:val="00696EE1"/>
    <w:rsid w:val="0069747E"/>
    <w:rsid w:val="00697EF1"/>
    <w:rsid w:val="006A0327"/>
    <w:rsid w:val="006A075D"/>
    <w:rsid w:val="006A0A39"/>
    <w:rsid w:val="006A12B1"/>
    <w:rsid w:val="006A3D7C"/>
    <w:rsid w:val="006A5C73"/>
    <w:rsid w:val="006A6213"/>
    <w:rsid w:val="006A6309"/>
    <w:rsid w:val="006A68F2"/>
    <w:rsid w:val="006A72B5"/>
    <w:rsid w:val="006B1288"/>
    <w:rsid w:val="006B1823"/>
    <w:rsid w:val="006B1896"/>
    <w:rsid w:val="006B18DA"/>
    <w:rsid w:val="006B3049"/>
    <w:rsid w:val="006B37B5"/>
    <w:rsid w:val="006B5304"/>
    <w:rsid w:val="006B5D0E"/>
    <w:rsid w:val="006B7060"/>
    <w:rsid w:val="006C001D"/>
    <w:rsid w:val="006C0D9C"/>
    <w:rsid w:val="006C12A7"/>
    <w:rsid w:val="006C16DA"/>
    <w:rsid w:val="006C1772"/>
    <w:rsid w:val="006C2DB0"/>
    <w:rsid w:val="006C2DFC"/>
    <w:rsid w:val="006C2F0E"/>
    <w:rsid w:val="006C322F"/>
    <w:rsid w:val="006C5D16"/>
    <w:rsid w:val="006C5FED"/>
    <w:rsid w:val="006C6265"/>
    <w:rsid w:val="006C6C82"/>
    <w:rsid w:val="006C74F7"/>
    <w:rsid w:val="006C7D60"/>
    <w:rsid w:val="006C7F4D"/>
    <w:rsid w:val="006D176A"/>
    <w:rsid w:val="006D1E80"/>
    <w:rsid w:val="006D2A7B"/>
    <w:rsid w:val="006D2DA0"/>
    <w:rsid w:val="006D3284"/>
    <w:rsid w:val="006D3E38"/>
    <w:rsid w:val="006D42B5"/>
    <w:rsid w:val="006D4697"/>
    <w:rsid w:val="006D4D6C"/>
    <w:rsid w:val="006D5AE5"/>
    <w:rsid w:val="006D6F1F"/>
    <w:rsid w:val="006D6F69"/>
    <w:rsid w:val="006D7CA9"/>
    <w:rsid w:val="006E2281"/>
    <w:rsid w:val="006E53F8"/>
    <w:rsid w:val="006E549A"/>
    <w:rsid w:val="006E5E85"/>
    <w:rsid w:val="006E683C"/>
    <w:rsid w:val="006E7F57"/>
    <w:rsid w:val="006F10A1"/>
    <w:rsid w:val="006F3181"/>
    <w:rsid w:val="006F3D26"/>
    <w:rsid w:val="006F459A"/>
    <w:rsid w:val="006F54A1"/>
    <w:rsid w:val="006F59F4"/>
    <w:rsid w:val="006F5DE3"/>
    <w:rsid w:val="006F687D"/>
    <w:rsid w:val="006F709E"/>
    <w:rsid w:val="006F72A4"/>
    <w:rsid w:val="00701F4D"/>
    <w:rsid w:val="0070235D"/>
    <w:rsid w:val="00702406"/>
    <w:rsid w:val="0070398E"/>
    <w:rsid w:val="0070501F"/>
    <w:rsid w:val="00706F0B"/>
    <w:rsid w:val="0070764F"/>
    <w:rsid w:val="00707CFB"/>
    <w:rsid w:val="0071035E"/>
    <w:rsid w:val="00710911"/>
    <w:rsid w:val="00712C0C"/>
    <w:rsid w:val="00714574"/>
    <w:rsid w:val="00714F8F"/>
    <w:rsid w:val="00715035"/>
    <w:rsid w:val="007153D0"/>
    <w:rsid w:val="007155B8"/>
    <w:rsid w:val="00715C57"/>
    <w:rsid w:val="007162D8"/>
    <w:rsid w:val="00716629"/>
    <w:rsid w:val="007178E5"/>
    <w:rsid w:val="007209BB"/>
    <w:rsid w:val="00721164"/>
    <w:rsid w:val="00721497"/>
    <w:rsid w:val="00721C02"/>
    <w:rsid w:val="00723124"/>
    <w:rsid w:val="00723A2F"/>
    <w:rsid w:val="00724ABE"/>
    <w:rsid w:val="00724B39"/>
    <w:rsid w:val="007253D8"/>
    <w:rsid w:val="0072560C"/>
    <w:rsid w:val="00727D6B"/>
    <w:rsid w:val="00732B94"/>
    <w:rsid w:val="007330D2"/>
    <w:rsid w:val="00733573"/>
    <w:rsid w:val="007351F3"/>
    <w:rsid w:val="00736381"/>
    <w:rsid w:val="00736595"/>
    <w:rsid w:val="00736EC3"/>
    <w:rsid w:val="00737D02"/>
    <w:rsid w:val="007401F6"/>
    <w:rsid w:val="00740463"/>
    <w:rsid w:val="00740B12"/>
    <w:rsid w:val="007427D8"/>
    <w:rsid w:val="0074285F"/>
    <w:rsid w:val="00744903"/>
    <w:rsid w:val="00745BFF"/>
    <w:rsid w:val="00746ABB"/>
    <w:rsid w:val="00746D31"/>
    <w:rsid w:val="00747A6F"/>
    <w:rsid w:val="00751297"/>
    <w:rsid w:val="00751731"/>
    <w:rsid w:val="00753303"/>
    <w:rsid w:val="007534D9"/>
    <w:rsid w:val="00753D3E"/>
    <w:rsid w:val="007540AA"/>
    <w:rsid w:val="00754192"/>
    <w:rsid w:val="007551B1"/>
    <w:rsid w:val="007554A4"/>
    <w:rsid w:val="00755957"/>
    <w:rsid w:val="007564A9"/>
    <w:rsid w:val="0075788D"/>
    <w:rsid w:val="0075798A"/>
    <w:rsid w:val="007605D7"/>
    <w:rsid w:val="007614E8"/>
    <w:rsid w:val="007617A8"/>
    <w:rsid w:val="00762D0D"/>
    <w:rsid w:val="00762FA3"/>
    <w:rsid w:val="00762FF9"/>
    <w:rsid w:val="00763D2D"/>
    <w:rsid w:val="00765923"/>
    <w:rsid w:val="00765AF6"/>
    <w:rsid w:val="00765D77"/>
    <w:rsid w:val="0076637F"/>
    <w:rsid w:val="00766EAC"/>
    <w:rsid w:val="00767012"/>
    <w:rsid w:val="00767192"/>
    <w:rsid w:val="0076731C"/>
    <w:rsid w:val="00767B33"/>
    <w:rsid w:val="00767DA0"/>
    <w:rsid w:val="00770A74"/>
    <w:rsid w:val="00770C33"/>
    <w:rsid w:val="00770F30"/>
    <w:rsid w:val="007716A7"/>
    <w:rsid w:val="00771FB9"/>
    <w:rsid w:val="00771FD8"/>
    <w:rsid w:val="007724B3"/>
    <w:rsid w:val="007724E0"/>
    <w:rsid w:val="007727E7"/>
    <w:rsid w:val="00773A9F"/>
    <w:rsid w:val="00774E07"/>
    <w:rsid w:val="0077632F"/>
    <w:rsid w:val="007769E7"/>
    <w:rsid w:val="00780095"/>
    <w:rsid w:val="00780CC8"/>
    <w:rsid w:val="00781225"/>
    <w:rsid w:val="00781FA2"/>
    <w:rsid w:val="0078228A"/>
    <w:rsid w:val="00782D58"/>
    <w:rsid w:val="0078327D"/>
    <w:rsid w:val="007837A7"/>
    <w:rsid w:val="007845B3"/>
    <w:rsid w:val="007849EB"/>
    <w:rsid w:val="00784A2B"/>
    <w:rsid w:val="00785129"/>
    <w:rsid w:val="00785B5F"/>
    <w:rsid w:val="00786AA9"/>
    <w:rsid w:val="00786AC9"/>
    <w:rsid w:val="00786CC3"/>
    <w:rsid w:val="00787649"/>
    <w:rsid w:val="007906A7"/>
    <w:rsid w:val="00790793"/>
    <w:rsid w:val="007916C2"/>
    <w:rsid w:val="00791CD4"/>
    <w:rsid w:val="007949C4"/>
    <w:rsid w:val="00795A02"/>
    <w:rsid w:val="00795E16"/>
    <w:rsid w:val="00797F24"/>
    <w:rsid w:val="007A0C90"/>
    <w:rsid w:val="007A0E48"/>
    <w:rsid w:val="007A1E33"/>
    <w:rsid w:val="007A27FE"/>
    <w:rsid w:val="007A38F4"/>
    <w:rsid w:val="007A463E"/>
    <w:rsid w:val="007A4DA3"/>
    <w:rsid w:val="007A50FE"/>
    <w:rsid w:val="007A6908"/>
    <w:rsid w:val="007A6B04"/>
    <w:rsid w:val="007A73D5"/>
    <w:rsid w:val="007B081B"/>
    <w:rsid w:val="007B28C4"/>
    <w:rsid w:val="007B29CD"/>
    <w:rsid w:val="007B31B9"/>
    <w:rsid w:val="007B33BF"/>
    <w:rsid w:val="007B4C5D"/>
    <w:rsid w:val="007B5996"/>
    <w:rsid w:val="007B5C7D"/>
    <w:rsid w:val="007B6040"/>
    <w:rsid w:val="007B6BF7"/>
    <w:rsid w:val="007B76EA"/>
    <w:rsid w:val="007C07D9"/>
    <w:rsid w:val="007C1191"/>
    <w:rsid w:val="007C2A0E"/>
    <w:rsid w:val="007C2E78"/>
    <w:rsid w:val="007C2F03"/>
    <w:rsid w:val="007C3837"/>
    <w:rsid w:val="007C408D"/>
    <w:rsid w:val="007C5277"/>
    <w:rsid w:val="007C53CD"/>
    <w:rsid w:val="007C5688"/>
    <w:rsid w:val="007C67AF"/>
    <w:rsid w:val="007C69AC"/>
    <w:rsid w:val="007C6C11"/>
    <w:rsid w:val="007D041C"/>
    <w:rsid w:val="007D078F"/>
    <w:rsid w:val="007D1A9D"/>
    <w:rsid w:val="007D2017"/>
    <w:rsid w:val="007D252D"/>
    <w:rsid w:val="007D2893"/>
    <w:rsid w:val="007D33D0"/>
    <w:rsid w:val="007D495F"/>
    <w:rsid w:val="007D4F32"/>
    <w:rsid w:val="007D61E3"/>
    <w:rsid w:val="007D6326"/>
    <w:rsid w:val="007D667C"/>
    <w:rsid w:val="007D6FCB"/>
    <w:rsid w:val="007D7388"/>
    <w:rsid w:val="007D7BD6"/>
    <w:rsid w:val="007E01D0"/>
    <w:rsid w:val="007E0E15"/>
    <w:rsid w:val="007E2089"/>
    <w:rsid w:val="007E23AF"/>
    <w:rsid w:val="007E45BB"/>
    <w:rsid w:val="007E5E1E"/>
    <w:rsid w:val="007E7360"/>
    <w:rsid w:val="007E73B3"/>
    <w:rsid w:val="007E7554"/>
    <w:rsid w:val="007E7B41"/>
    <w:rsid w:val="007F0A63"/>
    <w:rsid w:val="007F24E6"/>
    <w:rsid w:val="007F41FE"/>
    <w:rsid w:val="007F4374"/>
    <w:rsid w:val="007F43D7"/>
    <w:rsid w:val="007F4661"/>
    <w:rsid w:val="007F528C"/>
    <w:rsid w:val="007F534F"/>
    <w:rsid w:val="007F57AD"/>
    <w:rsid w:val="007F5FA7"/>
    <w:rsid w:val="007F6A3A"/>
    <w:rsid w:val="007F6D1D"/>
    <w:rsid w:val="007F748F"/>
    <w:rsid w:val="007F74C3"/>
    <w:rsid w:val="008019F2"/>
    <w:rsid w:val="00801A6A"/>
    <w:rsid w:val="00803202"/>
    <w:rsid w:val="00803225"/>
    <w:rsid w:val="008032C0"/>
    <w:rsid w:val="00804D60"/>
    <w:rsid w:val="00805EA6"/>
    <w:rsid w:val="008065BE"/>
    <w:rsid w:val="0080672A"/>
    <w:rsid w:val="00806929"/>
    <w:rsid w:val="00806EDA"/>
    <w:rsid w:val="00807C4A"/>
    <w:rsid w:val="00807CA5"/>
    <w:rsid w:val="00810262"/>
    <w:rsid w:val="0081064E"/>
    <w:rsid w:val="00811B1F"/>
    <w:rsid w:val="00812042"/>
    <w:rsid w:val="008126EE"/>
    <w:rsid w:val="0081294D"/>
    <w:rsid w:val="008145A5"/>
    <w:rsid w:val="00815474"/>
    <w:rsid w:val="00816F3F"/>
    <w:rsid w:val="00817955"/>
    <w:rsid w:val="008201FF"/>
    <w:rsid w:val="00820681"/>
    <w:rsid w:val="008216ED"/>
    <w:rsid w:val="008251D6"/>
    <w:rsid w:val="00825409"/>
    <w:rsid w:val="00825DA0"/>
    <w:rsid w:val="008269DC"/>
    <w:rsid w:val="00826C67"/>
    <w:rsid w:val="0083136E"/>
    <w:rsid w:val="008322F0"/>
    <w:rsid w:val="0083259F"/>
    <w:rsid w:val="008334F0"/>
    <w:rsid w:val="008334FF"/>
    <w:rsid w:val="008349A1"/>
    <w:rsid w:val="00835B02"/>
    <w:rsid w:val="00836705"/>
    <w:rsid w:val="00837D37"/>
    <w:rsid w:val="00837D51"/>
    <w:rsid w:val="0084026B"/>
    <w:rsid w:val="00840644"/>
    <w:rsid w:val="00840A6C"/>
    <w:rsid w:val="00840D5C"/>
    <w:rsid w:val="00841F98"/>
    <w:rsid w:val="00842336"/>
    <w:rsid w:val="008447F8"/>
    <w:rsid w:val="00845C53"/>
    <w:rsid w:val="00846084"/>
    <w:rsid w:val="00847738"/>
    <w:rsid w:val="00850A4E"/>
    <w:rsid w:val="00850BE6"/>
    <w:rsid w:val="00851B63"/>
    <w:rsid w:val="00851C06"/>
    <w:rsid w:val="00851E48"/>
    <w:rsid w:val="008527F7"/>
    <w:rsid w:val="008547E7"/>
    <w:rsid w:val="008572ED"/>
    <w:rsid w:val="00857E04"/>
    <w:rsid w:val="00860595"/>
    <w:rsid w:val="008609AC"/>
    <w:rsid w:val="008616BE"/>
    <w:rsid w:val="00862498"/>
    <w:rsid w:val="00862FEC"/>
    <w:rsid w:val="00863566"/>
    <w:rsid w:val="0086384E"/>
    <w:rsid w:val="00863921"/>
    <w:rsid w:val="00865262"/>
    <w:rsid w:val="00865805"/>
    <w:rsid w:val="00866670"/>
    <w:rsid w:val="008675F6"/>
    <w:rsid w:val="00870168"/>
    <w:rsid w:val="00870D93"/>
    <w:rsid w:val="00871A32"/>
    <w:rsid w:val="00872608"/>
    <w:rsid w:val="00872BEB"/>
    <w:rsid w:val="00873011"/>
    <w:rsid w:val="0087305C"/>
    <w:rsid w:val="00873810"/>
    <w:rsid w:val="00873991"/>
    <w:rsid w:val="00874750"/>
    <w:rsid w:val="008749BE"/>
    <w:rsid w:val="008752AC"/>
    <w:rsid w:val="0087540E"/>
    <w:rsid w:val="008754A6"/>
    <w:rsid w:val="00875A45"/>
    <w:rsid w:val="008761EA"/>
    <w:rsid w:val="00877479"/>
    <w:rsid w:val="0088038F"/>
    <w:rsid w:val="0088113F"/>
    <w:rsid w:val="008811B2"/>
    <w:rsid w:val="00881805"/>
    <w:rsid w:val="00881C6B"/>
    <w:rsid w:val="00882DB3"/>
    <w:rsid w:val="00882E7D"/>
    <w:rsid w:val="00883167"/>
    <w:rsid w:val="0088341A"/>
    <w:rsid w:val="00884482"/>
    <w:rsid w:val="008845A4"/>
    <w:rsid w:val="008850F3"/>
    <w:rsid w:val="00886DA9"/>
    <w:rsid w:val="008870BB"/>
    <w:rsid w:val="00887950"/>
    <w:rsid w:val="00890D9E"/>
    <w:rsid w:val="008917CC"/>
    <w:rsid w:val="00891898"/>
    <w:rsid w:val="00891CAE"/>
    <w:rsid w:val="0089250C"/>
    <w:rsid w:val="0089309E"/>
    <w:rsid w:val="008931BB"/>
    <w:rsid w:val="0089459A"/>
    <w:rsid w:val="00894CE2"/>
    <w:rsid w:val="0089611B"/>
    <w:rsid w:val="00896303"/>
    <w:rsid w:val="00896A2B"/>
    <w:rsid w:val="008A0966"/>
    <w:rsid w:val="008A119F"/>
    <w:rsid w:val="008A1293"/>
    <w:rsid w:val="008A19CD"/>
    <w:rsid w:val="008A27D4"/>
    <w:rsid w:val="008A2A76"/>
    <w:rsid w:val="008A2CEB"/>
    <w:rsid w:val="008A3C66"/>
    <w:rsid w:val="008A42B5"/>
    <w:rsid w:val="008A4933"/>
    <w:rsid w:val="008A4B21"/>
    <w:rsid w:val="008A5EF0"/>
    <w:rsid w:val="008A7282"/>
    <w:rsid w:val="008A750C"/>
    <w:rsid w:val="008B0594"/>
    <w:rsid w:val="008B2128"/>
    <w:rsid w:val="008B23CC"/>
    <w:rsid w:val="008B27AD"/>
    <w:rsid w:val="008B2C5A"/>
    <w:rsid w:val="008B4036"/>
    <w:rsid w:val="008B4A7A"/>
    <w:rsid w:val="008B4E64"/>
    <w:rsid w:val="008B4F43"/>
    <w:rsid w:val="008B59CF"/>
    <w:rsid w:val="008B5C23"/>
    <w:rsid w:val="008B6041"/>
    <w:rsid w:val="008B6FA1"/>
    <w:rsid w:val="008B7159"/>
    <w:rsid w:val="008B7287"/>
    <w:rsid w:val="008C03FA"/>
    <w:rsid w:val="008C0689"/>
    <w:rsid w:val="008C0EC7"/>
    <w:rsid w:val="008C1BE7"/>
    <w:rsid w:val="008C2B99"/>
    <w:rsid w:val="008C2DB3"/>
    <w:rsid w:val="008C2EC6"/>
    <w:rsid w:val="008C30F8"/>
    <w:rsid w:val="008C3E78"/>
    <w:rsid w:val="008C4052"/>
    <w:rsid w:val="008C424B"/>
    <w:rsid w:val="008C4D2A"/>
    <w:rsid w:val="008C5281"/>
    <w:rsid w:val="008C5CD3"/>
    <w:rsid w:val="008C6AB3"/>
    <w:rsid w:val="008C6D9E"/>
    <w:rsid w:val="008C790E"/>
    <w:rsid w:val="008D052F"/>
    <w:rsid w:val="008D1857"/>
    <w:rsid w:val="008D1985"/>
    <w:rsid w:val="008D1FB1"/>
    <w:rsid w:val="008D2CC3"/>
    <w:rsid w:val="008D4886"/>
    <w:rsid w:val="008D5EFB"/>
    <w:rsid w:val="008D65DC"/>
    <w:rsid w:val="008D6873"/>
    <w:rsid w:val="008D68A0"/>
    <w:rsid w:val="008D7272"/>
    <w:rsid w:val="008D77A7"/>
    <w:rsid w:val="008E04D9"/>
    <w:rsid w:val="008E212D"/>
    <w:rsid w:val="008E2931"/>
    <w:rsid w:val="008E4A81"/>
    <w:rsid w:val="008E5D13"/>
    <w:rsid w:val="008E77A4"/>
    <w:rsid w:val="008F01B5"/>
    <w:rsid w:val="008F0587"/>
    <w:rsid w:val="008F20F7"/>
    <w:rsid w:val="008F2B75"/>
    <w:rsid w:val="008F2D53"/>
    <w:rsid w:val="008F2E51"/>
    <w:rsid w:val="008F3B0B"/>
    <w:rsid w:val="008F3CAC"/>
    <w:rsid w:val="008F4C70"/>
    <w:rsid w:val="008F5289"/>
    <w:rsid w:val="008F74F5"/>
    <w:rsid w:val="00900737"/>
    <w:rsid w:val="0090162E"/>
    <w:rsid w:val="0090195C"/>
    <w:rsid w:val="00901A8D"/>
    <w:rsid w:val="00901CC9"/>
    <w:rsid w:val="00901FF6"/>
    <w:rsid w:val="00902130"/>
    <w:rsid w:val="00905300"/>
    <w:rsid w:val="00906598"/>
    <w:rsid w:val="00906A9B"/>
    <w:rsid w:val="00907621"/>
    <w:rsid w:val="00907989"/>
    <w:rsid w:val="00907A33"/>
    <w:rsid w:val="00907F9F"/>
    <w:rsid w:val="00910766"/>
    <w:rsid w:val="00911772"/>
    <w:rsid w:val="009126CF"/>
    <w:rsid w:val="0091431B"/>
    <w:rsid w:val="009152D1"/>
    <w:rsid w:val="00915564"/>
    <w:rsid w:val="00915821"/>
    <w:rsid w:val="00915DC4"/>
    <w:rsid w:val="00916310"/>
    <w:rsid w:val="00916B72"/>
    <w:rsid w:val="00917D63"/>
    <w:rsid w:val="00920064"/>
    <w:rsid w:val="00922ABE"/>
    <w:rsid w:val="00923B2D"/>
    <w:rsid w:val="00923DC5"/>
    <w:rsid w:val="00923FAE"/>
    <w:rsid w:val="00924133"/>
    <w:rsid w:val="00924B54"/>
    <w:rsid w:val="00924C14"/>
    <w:rsid w:val="009253A9"/>
    <w:rsid w:val="009253D4"/>
    <w:rsid w:val="00925B7A"/>
    <w:rsid w:val="00926AB1"/>
    <w:rsid w:val="00927D32"/>
    <w:rsid w:val="00927FF0"/>
    <w:rsid w:val="00932AEA"/>
    <w:rsid w:val="0093369A"/>
    <w:rsid w:val="00933AF1"/>
    <w:rsid w:val="009341CD"/>
    <w:rsid w:val="0093479E"/>
    <w:rsid w:val="00935250"/>
    <w:rsid w:val="00937FB6"/>
    <w:rsid w:val="00940445"/>
    <w:rsid w:val="00940BF4"/>
    <w:rsid w:val="00940E3B"/>
    <w:rsid w:val="00941E68"/>
    <w:rsid w:val="0094487C"/>
    <w:rsid w:val="009458EF"/>
    <w:rsid w:val="009459DF"/>
    <w:rsid w:val="00946989"/>
    <w:rsid w:val="00946BE8"/>
    <w:rsid w:val="0094751E"/>
    <w:rsid w:val="00947545"/>
    <w:rsid w:val="00947856"/>
    <w:rsid w:val="009501CD"/>
    <w:rsid w:val="00950FCC"/>
    <w:rsid w:val="00951E1B"/>
    <w:rsid w:val="00953537"/>
    <w:rsid w:val="00954B09"/>
    <w:rsid w:val="009553D9"/>
    <w:rsid w:val="00956383"/>
    <w:rsid w:val="00956FAD"/>
    <w:rsid w:val="009576F0"/>
    <w:rsid w:val="009577BE"/>
    <w:rsid w:val="009612DE"/>
    <w:rsid w:val="00961BF9"/>
    <w:rsid w:val="00961C81"/>
    <w:rsid w:val="00961F93"/>
    <w:rsid w:val="0096202F"/>
    <w:rsid w:val="009621CC"/>
    <w:rsid w:val="009629A5"/>
    <w:rsid w:val="00963A50"/>
    <w:rsid w:val="00964DBA"/>
    <w:rsid w:val="0096572C"/>
    <w:rsid w:val="009662A1"/>
    <w:rsid w:val="00967536"/>
    <w:rsid w:val="00967F1E"/>
    <w:rsid w:val="00967F53"/>
    <w:rsid w:val="00967F94"/>
    <w:rsid w:val="00967F9D"/>
    <w:rsid w:val="0097007A"/>
    <w:rsid w:val="009710F3"/>
    <w:rsid w:val="0097339F"/>
    <w:rsid w:val="00973C19"/>
    <w:rsid w:val="00973D26"/>
    <w:rsid w:val="00973DA9"/>
    <w:rsid w:val="0097462E"/>
    <w:rsid w:val="0097568D"/>
    <w:rsid w:val="00977082"/>
    <w:rsid w:val="0097787D"/>
    <w:rsid w:val="00980D53"/>
    <w:rsid w:val="00981E6A"/>
    <w:rsid w:val="009820B6"/>
    <w:rsid w:val="0098334A"/>
    <w:rsid w:val="009833E9"/>
    <w:rsid w:val="00984769"/>
    <w:rsid w:val="009849BD"/>
    <w:rsid w:val="0098505D"/>
    <w:rsid w:val="00986DC0"/>
    <w:rsid w:val="00986F13"/>
    <w:rsid w:val="00987648"/>
    <w:rsid w:val="009879F2"/>
    <w:rsid w:val="00987C71"/>
    <w:rsid w:val="00987CE2"/>
    <w:rsid w:val="00990461"/>
    <w:rsid w:val="00990909"/>
    <w:rsid w:val="00990AB5"/>
    <w:rsid w:val="00990F64"/>
    <w:rsid w:val="00991B8E"/>
    <w:rsid w:val="00991E36"/>
    <w:rsid w:val="00994205"/>
    <w:rsid w:val="00995DE5"/>
    <w:rsid w:val="00995FDF"/>
    <w:rsid w:val="0099649E"/>
    <w:rsid w:val="009970C3"/>
    <w:rsid w:val="009977F8"/>
    <w:rsid w:val="00997E18"/>
    <w:rsid w:val="00997E6F"/>
    <w:rsid w:val="009A02E4"/>
    <w:rsid w:val="009A17E0"/>
    <w:rsid w:val="009A1D58"/>
    <w:rsid w:val="009A1D5A"/>
    <w:rsid w:val="009A1E95"/>
    <w:rsid w:val="009A1EDE"/>
    <w:rsid w:val="009A2C13"/>
    <w:rsid w:val="009A2FA8"/>
    <w:rsid w:val="009A476D"/>
    <w:rsid w:val="009A4F5A"/>
    <w:rsid w:val="009A5321"/>
    <w:rsid w:val="009A66D8"/>
    <w:rsid w:val="009A6A3D"/>
    <w:rsid w:val="009A71E4"/>
    <w:rsid w:val="009A7A1C"/>
    <w:rsid w:val="009A7F74"/>
    <w:rsid w:val="009B3368"/>
    <w:rsid w:val="009B3DF9"/>
    <w:rsid w:val="009B49E1"/>
    <w:rsid w:val="009B50E0"/>
    <w:rsid w:val="009B621F"/>
    <w:rsid w:val="009C040D"/>
    <w:rsid w:val="009C0BF7"/>
    <w:rsid w:val="009C0C75"/>
    <w:rsid w:val="009C139C"/>
    <w:rsid w:val="009C2FC7"/>
    <w:rsid w:val="009C4C5E"/>
    <w:rsid w:val="009C5DD3"/>
    <w:rsid w:val="009C5FE8"/>
    <w:rsid w:val="009C6ABB"/>
    <w:rsid w:val="009C7329"/>
    <w:rsid w:val="009C7443"/>
    <w:rsid w:val="009C7A31"/>
    <w:rsid w:val="009D032E"/>
    <w:rsid w:val="009D2867"/>
    <w:rsid w:val="009D2C81"/>
    <w:rsid w:val="009D31A7"/>
    <w:rsid w:val="009D4E44"/>
    <w:rsid w:val="009D51F0"/>
    <w:rsid w:val="009D5547"/>
    <w:rsid w:val="009D77EA"/>
    <w:rsid w:val="009D79F1"/>
    <w:rsid w:val="009D7EF3"/>
    <w:rsid w:val="009E06A0"/>
    <w:rsid w:val="009E0A09"/>
    <w:rsid w:val="009E0B1E"/>
    <w:rsid w:val="009E1145"/>
    <w:rsid w:val="009E2E38"/>
    <w:rsid w:val="009E378F"/>
    <w:rsid w:val="009E569A"/>
    <w:rsid w:val="009E5DE9"/>
    <w:rsid w:val="009E69A9"/>
    <w:rsid w:val="009E6DFB"/>
    <w:rsid w:val="009F0941"/>
    <w:rsid w:val="009F0FB2"/>
    <w:rsid w:val="009F127C"/>
    <w:rsid w:val="009F2743"/>
    <w:rsid w:val="009F3930"/>
    <w:rsid w:val="009F39F8"/>
    <w:rsid w:val="009F4360"/>
    <w:rsid w:val="009F4B22"/>
    <w:rsid w:val="009F56EB"/>
    <w:rsid w:val="009F595F"/>
    <w:rsid w:val="009F726E"/>
    <w:rsid w:val="00A00F14"/>
    <w:rsid w:val="00A018D8"/>
    <w:rsid w:val="00A01CA0"/>
    <w:rsid w:val="00A037A9"/>
    <w:rsid w:val="00A03E5C"/>
    <w:rsid w:val="00A040F9"/>
    <w:rsid w:val="00A047E5"/>
    <w:rsid w:val="00A04C9C"/>
    <w:rsid w:val="00A057C2"/>
    <w:rsid w:val="00A05B76"/>
    <w:rsid w:val="00A0733B"/>
    <w:rsid w:val="00A07573"/>
    <w:rsid w:val="00A1009B"/>
    <w:rsid w:val="00A10CE0"/>
    <w:rsid w:val="00A11151"/>
    <w:rsid w:val="00A1192B"/>
    <w:rsid w:val="00A1247E"/>
    <w:rsid w:val="00A12EE1"/>
    <w:rsid w:val="00A134EC"/>
    <w:rsid w:val="00A13B72"/>
    <w:rsid w:val="00A13D8C"/>
    <w:rsid w:val="00A1421C"/>
    <w:rsid w:val="00A1620B"/>
    <w:rsid w:val="00A162FF"/>
    <w:rsid w:val="00A16BF6"/>
    <w:rsid w:val="00A16F44"/>
    <w:rsid w:val="00A17EC5"/>
    <w:rsid w:val="00A22EA9"/>
    <w:rsid w:val="00A233CA"/>
    <w:rsid w:val="00A23C9A"/>
    <w:rsid w:val="00A23DEF"/>
    <w:rsid w:val="00A243C8"/>
    <w:rsid w:val="00A25153"/>
    <w:rsid w:val="00A25299"/>
    <w:rsid w:val="00A2552C"/>
    <w:rsid w:val="00A26DFC"/>
    <w:rsid w:val="00A27D77"/>
    <w:rsid w:val="00A304D8"/>
    <w:rsid w:val="00A3123A"/>
    <w:rsid w:val="00A32AE7"/>
    <w:rsid w:val="00A33D1B"/>
    <w:rsid w:val="00A34700"/>
    <w:rsid w:val="00A36145"/>
    <w:rsid w:val="00A367DF"/>
    <w:rsid w:val="00A40311"/>
    <w:rsid w:val="00A406E6"/>
    <w:rsid w:val="00A41DB7"/>
    <w:rsid w:val="00A42126"/>
    <w:rsid w:val="00A42566"/>
    <w:rsid w:val="00A42AC2"/>
    <w:rsid w:val="00A43069"/>
    <w:rsid w:val="00A43809"/>
    <w:rsid w:val="00A43CCC"/>
    <w:rsid w:val="00A43D0C"/>
    <w:rsid w:val="00A43E1B"/>
    <w:rsid w:val="00A4443D"/>
    <w:rsid w:val="00A4527B"/>
    <w:rsid w:val="00A45414"/>
    <w:rsid w:val="00A45656"/>
    <w:rsid w:val="00A456C8"/>
    <w:rsid w:val="00A458F1"/>
    <w:rsid w:val="00A4609E"/>
    <w:rsid w:val="00A505C0"/>
    <w:rsid w:val="00A50C97"/>
    <w:rsid w:val="00A5139D"/>
    <w:rsid w:val="00A51785"/>
    <w:rsid w:val="00A51ABC"/>
    <w:rsid w:val="00A51ADF"/>
    <w:rsid w:val="00A51B1D"/>
    <w:rsid w:val="00A5206C"/>
    <w:rsid w:val="00A526EC"/>
    <w:rsid w:val="00A53304"/>
    <w:rsid w:val="00A537DB"/>
    <w:rsid w:val="00A54F36"/>
    <w:rsid w:val="00A555FC"/>
    <w:rsid w:val="00A55F58"/>
    <w:rsid w:val="00A55FE7"/>
    <w:rsid w:val="00A5643C"/>
    <w:rsid w:val="00A56F71"/>
    <w:rsid w:val="00A6006C"/>
    <w:rsid w:val="00A6100A"/>
    <w:rsid w:val="00A6212C"/>
    <w:rsid w:val="00A63BEF"/>
    <w:rsid w:val="00A63F8E"/>
    <w:rsid w:val="00A64BA2"/>
    <w:rsid w:val="00A659A6"/>
    <w:rsid w:val="00A659F1"/>
    <w:rsid w:val="00A66450"/>
    <w:rsid w:val="00A66F81"/>
    <w:rsid w:val="00A67868"/>
    <w:rsid w:val="00A67D1E"/>
    <w:rsid w:val="00A70D88"/>
    <w:rsid w:val="00A70FDD"/>
    <w:rsid w:val="00A71ACE"/>
    <w:rsid w:val="00A71B15"/>
    <w:rsid w:val="00A71E9A"/>
    <w:rsid w:val="00A72063"/>
    <w:rsid w:val="00A7253D"/>
    <w:rsid w:val="00A73DAE"/>
    <w:rsid w:val="00A7443C"/>
    <w:rsid w:val="00A74460"/>
    <w:rsid w:val="00A74840"/>
    <w:rsid w:val="00A7522C"/>
    <w:rsid w:val="00A75527"/>
    <w:rsid w:val="00A763B9"/>
    <w:rsid w:val="00A809D3"/>
    <w:rsid w:val="00A80E58"/>
    <w:rsid w:val="00A82594"/>
    <w:rsid w:val="00A8289F"/>
    <w:rsid w:val="00A82D9B"/>
    <w:rsid w:val="00A8470C"/>
    <w:rsid w:val="00A84E17"/>
    <w:rsid w:val="00A85383"/>
    <w:rsid w:val="00A85511"/>
    <w:rsid w:val="00A8570B"/>
    <w:rsid w:val="00A86D28"/>
    <w:rsid w:val="00A86F32"/>
    <w:rsid w:val="00A87724"/>
    <w:rsid w:val="00A90EBB"/>
    <w:rsid w:val="00A90F0F"/>
    <w:rsid w:val="00A91A5C"/>
    <w:rsid w:val="00A91DC7"/>
    <w:rsid w:val="00A9326C"/>
    <w:rsid w:val="00A945FA"/>
    <w:rsid w:val="00A950CA"/>
    <w:rsid w:val="00A96034"/>
    <w:rsid w:val="00A97001"/>
    <w:rsid w:val="00A97089"/>
    <w:rsid w:val="00A97494"/>
    <w:rsid w:val="00A97970"/>
    <w:rsid w:val="00A97BAE"/>
    <w:rsid w:val="00AA0326"/>
    <w:rsid w:val="00AA0D71"/>
    <w:rsid w:val="00AA30B0"/>
    <w:rsid w:val="00AA38D1"/>
    <w:rsid w:val="00AA3DA2"/>
    <w:rsid w:val="00AA4B0B"/>
    <w:rsid w:val="00AA4E5F"/>
    <w:rsid w:val="00AA6555"/>
    <w:rsid w:val="00AA655C"/>
    <w:rsid w:val="00AA6FC6"/>
    <w:rsid w:val="00AA6FCD"/>
    <w:rsid w:val="00AA76E7"/>
    <w:rsid w:val="00AA7C28"/>
    <w:rsid w:val="00AB0087"/>
    <w:rsid w:val="00AB064E"/>
    <w:rsid w:val="00AB2169"/>
    <w:rsid w:val="00AB29A8"/>
    <w:rsid w:val="00AB3D49"/>
    <w:rsid w:val="00AB5E43"/>
    <w:rsid w:val="00AB5EA8"/>
    <w:rsid w:val="00AB5FAC"/>
    <w:rsid w:val="00AB7AF2"/>
    <w:rsid w:val="00AC0124"/>
    <w:rsid w:val="00AC0339"/>
    <w:rsid w:val="00AC0CA8"/>
    <w:rsid w:val="00AC0D4D"/>
    <w:rsid w:val="00AC1495"/>
    <w:rsid w:val="00AC19E3"/>
    <w:rsid w:val="00AC22FE"/>
    <w:rsid w:val="00AC2CB3"/>
    <w:rsid w:val="00AC4767"/>
    <w:rsid w:val="00AC5015"/>
    <w:rsid w:val="00AC69F9"/>
    <w:rsid w:val="00AC6C68"/>
    <w:rsid w:val="00AC764C"/>
    <w:rsid w:val="00AD0251"/>
    <w:rsid w:val="00AD07B9"/>
    <w:rsid w:val="00AD0E4E"/>
    <w:rsid w:val="00AD29B1"/>
    <w:rsid w:val="00AD31DF"/>
    <w:rsid w:val="00AD363F"/>
    <w:rsid w:val="00AD3A60"/>
    <w:rsid w:val="00AD3CEA"/>
    <w:rsid w:val="00AD3E0E"/>
    <w:rsid w:val="00AD3E11"/>
    <w:rsid w:val="00AD4405"/>
    <w:rsid w:val="00AD5053"/>
    <w:rsid w:val="00AD5B48"/>
    <w:rsid w:val="00AD64DF"/>
    <w:rsid w:val="00AD66CD"/>
    <w:rsid w:val="00AE1954"/>
    <w:rsid w:val="00AE3C0E"/>
    <w:rsid w:val="00AE4A12"/>
    <w:rsid w:val="00AE5735"/>
    <w:rsid w:val="00AE6CE3"/>
    <w:rsid w:val="00AF054E"/>
    <w:rsid w:val="00AF120F"/>
    <w:rsid w:val="00AF19AD"/>
    <w:rsid w:val="00AF1FE9"/>
    <w:rsid w:val="00AF2B45"/>
    <w:rsid w:val="00AF2C78"/>
    <w:rsid w:val="00AF4E2D"/>
    <w:rsid w:val="00AF5A29"/>
    <w:rsid w:val="00AF5EF8"/>
    <w:rsid w:val="00AF63F8"/>
    <w:rsid w:val="00AF76E7"/>
    <w:rsid w:val="00AF7CD3"/>
    <w:rsid w:val="00B0175A"/>
    <w:rsid w:val="00B01DC4"/>
    <w:rsid w:val="00B02D92"/>
    <w:rsid w:val="00B0383F"/>
    <w:rsid w:val="00B03C23"/>
    <w:rsid w:val="00B0421C"/>
    <w:rsid w:val="00B100C4"/>
    <w:rsid w:val="00B12775"/>
    <w:rsid w:val="00B130BA"/>
    <w:rsid w:val="00B150FF"/>
    <w:rsid w:val="00B15FA4"/>
    <w:rsid w:val="00B161D0"/>
    <w:rsid w:val="00B164FD"/>
    <w:rsid w:val="00B16A75"/>
    <w:rsid w:val="00B2050B"/>
    <w:rsid w:val="00B21616"/>
    <w:rsid w:val="00B2290A"/>
    <w:rsid w:val="00B22C0C"/>
    <w:rsid w:val="00B22D6E"/>
    <w:rsid w:val="00B22DE1"/>
    <w:rsid w:val="00B23EA6"/>
    <w:rsid w:val="00B25DF1"/>
    <w:rsid w:val="00B260BE"/>
    <w:rsid w:val="00B263AC"/>
    <w:rsid w:val="00B26A86"/>
    <w:rsid w:val="00B270D8"/>
    <w:rsid w:val="00B271D3"/>
    <w:rsid w:val="00B2720A"/>
    <w:rsid w:val="00B273DC"/>
    <w:rsid w:val="00B300BD"/>
    <w:rsid w:val="00B31310"/>
    <w:rsid w:val="00B31378"/>
    <w:rsid w:val="00B31EE7"/>
    <w:rsid w:val="00B32E51"/>
    <w:rsid w:val="00B336A8"/>
    <w:rsid w:val="00B339B6"/>
    <w:rsid w:val="00B33CE1"/>
    <w:rsid w:val="00B353CE"/>
    <w:rsid w:val="00B357F0"/>
    <w:rsid w:val="00B35DAA"/>
    <w:rsid w:val="00B35EB0"/>
    <w:rsid w:val="00B370B3"/>
    <w:rsid w:val="00B370E2"/>
    <w:rsid w:val="00B37B4E"/>
    <w:rsid w:val="00B37D06"/>
    <w:rsid w:val="00B37D94"/>
    <w:rsid w:val="00B4128F"/>
    <w:rsid w:val="00B417F1"/>
    <w:rsid w:val="00B4186F"/>
    <w:rsid w:val="00B42434"/>
    <w:rsid w:val="00B4314C"/>
    <w:rsid w:val="00B431FB"/>
    <w:rsid w:val="00B43436"/>
    <w:rsid w:val="00B43C90"/>
    <w:rsid w:val="00B43D4D"/>
    <w:rsid w:val="00B4472A"/>
    <w:rsid w:val="00B45228"/>
    <w:rsid w:val="00B453F9"/>
    <w:rsid w:val="00B45C00"/>
    <w:rsid w:val="00B45E72"/>
    <w:rsid w:val="00B46D56"/>
    <w:rsid w:val="00B46F91"/>
    <w:rsid w:val="00B476D8"/>
    <w:rsid w:val="00B512BC"/>
    <w:rsid w:val="00B52538"/>
    <w:rsid w:val="00B52AA9"/>
    <w:rsid w:val="00B53946"/>
    <w:rsid w:val="00B53B27"/>
    <w:rsid w:val="00B54147"/>
    <w:rsid w:val="00B54491"/>
    <w:rsid w:val="00B54A15"/>
    <w:rsid w:val="00B56195"/>
    <w:rsid w:val="00B56B26"/>
    <w:rsid w:val="00B56D03"/>
    <w:rsid w:val="00B56E94"/>
    <w:rsid w:val="00B57A4D"/>
    <w:rsid w:val="00B601D7"/>
    <w:rsid w:val="00B60A12"/>
    <w:rsid w:val="00B60D90"/>
    <w:rsid w:val="00B61A0B"/>
    <w:rsid w:val="00B61E54"/>
    <w:rsid w:val="00B62149"/>
    <w:rsid w:val="00B62CC0"/>
    <w:rsid w:val="00B641AC"/>
    <w:rsid w:val="00B675FB"/>
    <w:rsid w:val="00B70966"/>
    <w:rsid w:val="00B71EB5"/>
    <w:rsid w:val="00B726C1"/>
    <w:rsid w:val="00B73765"/>
    <w:rsid w:val="00B73DE4"/>
    <w:rsid w:val="00B74183"/>
    <w:rsid w:val="00B742EB"/>
    <w:rsid w:val="00B745C4"/>
    <w:rsid w:val="00B7501B"/>
    <w:rsid w:val="00B756FB"/>
    <w:rsid w:val="00B75ACC"/>
    <w:rsid w:val="00B75B48"/>
    <w:rsid w:val="00B762D6"/>
    <w:rsid w:val="00B7657E"/>
    <w:rsid w:val="00B7697F"/>
    <w:rsid w:val="00B823FA"/>
    <w:rsid w:val="00B825B5"/>
    <w:rsid w:val="00B82BEE"/>
    <w:rsid w:val="00B84B5D"/>
    <w:rsid w:val="00B84CCD"/>
    <w:rsid w:val="00B84D0E"/>
    <w:rsid w:val="00B86DC6"/>
    <w:rsid w:val="00B86E29"/>
    <w:rsid w:val="00B907A6"/>
    <w:rsid w:val="00B909A5"/>
    <w:rsid w:val="00B9209D"/>
    <w:rsid w:val="00B9380E"/>
    <w:rsid w:val="00B94D17"/>
    <w:rsid w:val="00B94E0B"/>
    <w:rsid w:val="00B959D6"/>
    <w:rsid w:val="00B95CA3"/>
    <w:rsid w:val="00B96031"/>
    <w:rsid w:val="00BA0A7A"/>
    <w:rsid w:val="00BA0E87"/>
    <w:rsid w:val="00BA16D0"/>
    <w:rsid w:val="00BA285A"/>
    <w:rsid w:val="00BA2D91"/>
    <w:rsid w:val="00BA2DEC"/>
    <w:rsid w:val="00BA388A"/>
    <w:rsid w:val="00BA39FD"/>
    <w:rsid w:val="00BA5016"/>
    <w:rsid w:val="00BA5508"/>
    <w:rsid w:val="00BA567F"/>
    <w:rsid w:val="00BA6261"/>
    <w:rsid w:val="00BA681C"/>
    <w:rsid w:val="00BA7BB2"/>
    <w:rsid w:val="00BA7F40"/>
    <w:rsid w:val="00BB08B9"/>
    <w:rsid w:val="00BB0FA8"/>
    <w:rsid w:val="00BB1374"/>
    <w:rsid w:val="00BB187C"/>
    <w:rsid w:val="00BB19D4"/>
    <w:rsid w:val="00BB3697"/>
    <w:rsid w:val="00BB4400"/>
    <w:rsid w:val="00BB5227"/>
    <w:rsid w:val="00BB52BD"/>
    <w:rsid w:val="00BB5E11"/>
    <w:rsid w:val="00BB6D7F"/>
    <w:rsid w:val="00BC055F"/>
    <w:rsid w:val="00BC0FE4"/>
    <w:rsid w:val="00BC1425"/>
    <w:rsid w:val="00BC2799"/>
    <w:rsid w:val="00BC2965"/>
    <w:rsid w:val="00BC2CD7"/>
    <w:rsid w:val="00BC585A"/>
    <w:rsid w:val="00BC5C6E"/>
    <w:rsid w:val="00BC639F"/>
    <w:rsid w:val="00BC6583"/>
    <w:rsid w:val="00BC6B3B"/>
    <w:rsid w:val="00BC6DB6"/>
    <w:rsid w:val="00BD0DF6"/>
    <w:rsid w:val="00BD1001"/>
    <w:rsid w:val="00BD20CD"/>
    <w:rsid w:val="00BD20DB"/>
    <w:rsid w:val="00BD20E6"/>
    <w:rsid w:val="00BD21BA"/>
    <w:rsid w:val="00BD27A6"/>
    <w:rsid w:val="00BD286F"/>
    <w:rsid w:val="00BD2A79"/>
    <w:rsid w:val="00BD347E"/>
    <w:rsid w:val="00BD435E"/>
    <w:rsid w:val="00BD4376"/>
    <w:rsid w:val="00BD445D"/>
    <w:rsid w:val="00BD490A"/>
    <w:rsid w:val="00BD4A90"/>
    <w:rsid w:val="00BD5FC1"/>
    <w:rsid w:val="00BD6325"/>
    <w:rsid w:val="00BD6B31"/>
    <w:rsid w:val="00BD71A4"/>
    <w:rsid w:val="00BD765E"/>
    <w:rsid w:val="00BE108E"/>
    <w:rsid w:val="00BE2371"/>
    <w:rsid w:val="00BE3E20"/>
    <w:rsid w:val="00BE502D"/>
    <w:rsid w:val="00BE56EC"/>
    <w:rsid w:val="00BF059F"/>
    <w:rsid w:val="00BF16BF"/>
    <w:rsid w:val="00BF1D7F"/>
    <w:rsid w:val="00BF298F"/>
    <w:rsid w:val="00BF2AA0"/>
    <w:rsid w:val="00BF3834"/>
    <w:rsid w:val="00BF3DA9"/>
    <w:rsid w:val="00BF4146"/>
    <w:rsid w:val="00BF43CF"/>
    <w:rsid w:val="00BF5A2B"/>
    <w:rsid w:val="00BF5E15"/>
    <w:rsid w:val="00BF63AB"/>
    <w:rsid w:val="00BF755E"/>
    <w:rsid w:val="00BF78C9"/>
    <w:rsid w:val="00BF7F75"/>
    <w:rsid w:val="00C00603"/>
    <w:rsid w:val="00C00C31"/>
    <w:rsid w:val="00C033EE"/>
    <w:rsid w:val="00C03A86"/>
    <w:rsid w:val="00C03F7B"/>
    <w:rsid w:val="00C04A20"/>
    <w:rsid w:val="00C04D46"/>
    <w:rsid w:val="00C05204"/>
    <w:rsid w:val="00C0684C"/>
    <w:rsid w:val="00C06D02"/>
    <w:rsid w:val="00C074FE"/>
    <w:rsid w:val="00C07A52"/>
    <w:rsid w:val="00C10BB2"/>
    <w:rsid w:val="00C10BE7"/>
    <w:rsid w:val="00C129E0"/>
    <w:rsid w:val="00C12BBF"/>
    <w:rsid w:val="00C12E27"/>
    <w:rsid w:val="00C12FE2"/>
    <w:rsid w:val="00C15E26"/>
    <w:rsid w:val="00C16061"/>
    <w:rsid w:val="00C16487"/>
    <w:rsid w:val="00C179D0"/>
    <w:rsid w:val="00C2086B"/>
    <w:rsid w:val="00C22773"/>
    <w:rsid w:val="00C232F9"/>
    <w:rsid w:val="00C245F4"/>
    <w:rsid w:val="00C247D9"/>
    <w:rsid w:val="00C248D9"/>
    <w:rsid w:val="00C25E4F"/>
    <w:rsid w:val="00C26624"/>
    <w:rsid w:val="00C2694E"/>
    <w:rsid w:val="00C2734D"/>
    <w:rsid w:val="00C2774E"/>
    <w:rsid w:val="00C278D2"/>
    <w:rsid w:val="00C27B36"/>
    <w:rsid w:val="00C3008A"/>
    <w:rsid w:val="00C30E2E"/>
    <w:rsid w:val="00C32B13"/>
    <w:rsid w:val="00C32EC7"/>
    <w:rsid w:val="00C33271"/>
    <w:rsid w:val="00C35415"/>
    <w:rsid w:val="00C36F85"/>
    <w:rsid w:val="00C36FB5"/>
    <w:rsid w:val="00C41765"/>
    <w:rsid w:val="00C4244B"/>
    <w:rsid w:val="00C42813"/>
    <w:rsid w:val="00C44200"/>
    <w:rsid w:val="00C44303"/>
    <w:rsid w:val="00C44E4B"/>
    <w:rsid w:val="00C44FA2"/>
    <w:rsid w:val="00C46259"/>
    <w:rsid w:val="00C47AEB"/>
    <w:rsid w:val="00C47BD5"/>
    <w:rsid w:val="00C47EDE"/>
    <w:rsid w:val="00C51539"/>
    <w:rsid w:val="00C516F6"/>
    <w:rsid w:val="00C51DDD"/>
    <w:rsid w:val="00C5242E"/>
    <w:rsid w:val="00C527CC"/>
    <w:rsid w:val="00C52F75"/>
    <w:rsid w:val="00C5321B"/>
    <w:rsid w:val="00C53A40"/>
    <w:rsid w:val="00C53C65"/>
    <w:rsid w:val="00C5519A"/>
    <w:rsid w:val="00C55319"/>
    <w:rsid w:val="00C55A52"/>
    <w:rsid w:val="00C57392"/>
    <w:rsid w:val="00C577C7"/>
    <w:rsid w:val="00C60C0F"/>
    <w:rsid w:val="00C6135A"/>
    <w:rsid w:val="00C61B5C"/>
    <w:rsid w:val="00C61F12"/>
    <w:rsid w:val="00C633DB"/>
    <w:rsid w:val="00C63CC5"/>
    <w:rsid w:val="00C64148"/>
    <w:rsid w:val="00C64EB7"/>
    <w:rsid w:val="00C659E5"/>
    <w:rsid w:val="00C66190"/>
    <w:rsid w:val="00C662B6"/>
    <w:rsid w:val="00C66363"/>
    <w:rsid w:val="00C66ADB"/>
    <w:rsid w:val="00C674F6"/>
    <w:rsid w:val="00C67F4C"/>
    <w:rsid w:val="00C7078C"/>
    <w:rsid w:val="00C70F9E"/>
    <w:rsid w:val="00C728E2"/>
    <w:rsid w:val="00C72912"/>
    <w:rsid w:val="00C73361"/>
    <w:rsid w:val="00C73512"/>
    <w:rsid w:val="00C7403A"/>
    <w:rsid w:val="00C754B8"/>
    <w:rsid w:val="00C75868"/>
    <w:rsid w:val="00C760A2"/>
    <w:rsid w:val="00C77DBA"/>
    <w:rsid w:val="00C80573"/>
    <w:rsid w:val="00C81178"/>
    <w:rsid w:val="00C82685"/>
    <w:rsid w:val="00C84957"/>
    <w:rsid w:val="00C84E2D"/>
    <w:rsid w:val="00C84FAE"/>
    <w:rsid w:val="00C85616"/>
    <w:rsid w:val="00C85B9A"/>
    <w:rsid w:val="00C862E9"/>
    <w:rsid w:val="00C8658D"/>
    <w:rsid w:val="00C86953"/>
    <w:rsid w:val="00C903C4"/>
    <w:rsid w:val="00C927C4"/>
    <w:rsid w:val="00C92C10"/>
    <w:rsid w:val="00C9324F"/>
    <w:rsid w:val="00C93455"/>
    <w:rsid w:val="00C93990"/>
    <w:rsid w:val="00C94AEE"/>
    <w:rsid w:val="00C95EA2"/>
    <w:rsid w:val="00C95FEE"/>
    <w:rsid w:val="00C978E7"/>
    <w:rsid w:val="00C97A42"/>
    <w:rsid w:val="00C97BE5"/>
    <w:rsid w:val="00CA2E1B"/>
    <w:rsid w:val="00CA36B2"/>
    <w:rsid w:val="00CA3C68"/>
    <w:rsid w:val="00CA43CD"/>
    <w:rsid w:val="00CA47EA"/>
    <w:rsid w:val="00CA485A"/>
    <w:rsid w:val="00CA54D1"/>
    <w:rsid w:val="00CA5FB3"/>
    <w:rsid w:val="00CA64AF"/>
    <w:rsid w:val="00CA723F"/>
    <w:rsid w:val="00CA7637"/>
    <w:rsid w:val="00CA7FE0"/>
    <w:rsid w:val="00CB0A09"/>
    <w:rsid w:val="00CB0F2D"/>
    <w:rsid w:val="00CB1A10"/>
    <w:rsid w:val="00CB1C64"/>
    <w:rsid w:val="00CB37B2"/>
    <w:rsid w:val="00CB39C8"/>
    <w:rsid w:val="00CB4AF3"/>
    <w:rsid w:val="00CB721F"/>
    <w:rsid w:val="00CB7DE9"/>
    <w:rsid w:val="00CC0F1E"/>
    <w:rsid w:val="00CC0F96"/>
    <w:rsid w:val="00CC1B19"/>
    <w:rsid w:val="00CC2796"/>
    <w:rsid w:val="00CC2887"/>
    <w:rsid w:val="00CC3003"/>
    <w:rsid w:val="00CC3EA5"/>
    <w:rsid w:val="00CC42B6"/>
    <w:rsid w:val="00CC577C"/>
    <w:rsid w:val="00CC6FE5"/>
    <w:rsid w:val="00CC73AA"/>
    <w:rsid w:val="00CD1695"/>
    <w:rsid w:val="00CD20B7"/>
    <w:rsid w:val="00CD29E3"/>
    <w:rsid w:val="00CD316C"/>
    <w:rsid w:val="00CD3CA5"/>
    <w:rsid w:val="00CD4897"/>
    <w:rsid w:val="00CD4A83"/>
    <w:rsid w:val="00CD56D6"/>
    <w:rsid w:val="00CD5FF6"/>
    <w:rsid w:val="00CD642A"/>
    <w:rsid w:val="00CD737F"/>
    <w:rsid w:val="00CD79DF"/>
    <w:rsid w:val="00CE0B78"/>
    <w:rsid w:val="00CE0D67"/>
    <w:rsid w:val="00CE2AC6"/>
    <w:rsid w:val="00CE33CE"/>
    <w:rsid w:val="00CE344D"/>
    <w:rsid w:val="00CE38A9"/>
    <w:rsid w:val="00CE41C5"/>
    <w:rsid w:val="00CE441B"/>
    <w:rsid w:val="00CE5169"/>
    <w:rsid w:val="00CE5EE9"/>
    <w:rsid w:val="00CE6129"/>
    <w:rsid w:val="00CE6675"/>
    <w:rsid w:val="00CE6843"/>
    <w:rsid w:val="00CE6B18"/>
    <w:rsid w:val="00CE72F3"/>
    <w:rsid w:val="00CE7332"/>
    <w:rsid w:val="00CE7C69"/>
    <w:rsid w:val="00CF00BA"/>
    <w:rsid w:val="00CF106C"/>
    <w:rsid w:val="00CF1E08"/>
    <w:rsid w:val="00CF2D57"/>
    <w:rsid w:val="00CF2DD6"/>
    <w:rsid w:val="00CF2FA2"/>
    <w:rsid w:val="00CF364E"/>
    <w:rsid w:val="00CF3A48"/>
    <w:rsid w:val="00CF482C"/>
    <w:rsid w:val="00CF4F8F"/>
    <w:rsid w:val="00CF5A18"/>
    <w:rsid w:val="00CF60B7"/>
    <w:rsid w:val="00CF706E"/>
    <w:rsid w:val="00CF7A11"/>
    <w:rsid w:val="00D00217"/>
    <w:rsid w:val="00D0026F"/>
    <w:rsid w:val="00D0140A"/>
    <w:rsid w:val="00D0140B"/>
    <w:rsid w:val="00D01990"/>
    <w:rsid w:val="00D0238B"/>
    <w:rsid w:val="00D02890"/>
    <w:rsid w:val="00D058A4"/>
    <w:rsid w:val="00D05980"/>
    <w:rsid w:val="00D05D29"/>
    <w:rsid w:val="00D065E0"/>
    <w:rsid w:val="00D06E41"/>
    <w:rsid w:val="00D070A9"/>
    <w:rsid w:val="00D07AF2"/>
    <w:rsid w:val="00D12A66"/>
    <w:rsid w:val="00D12DAC"/>
    <w:rsid w:val="00D13A2E"/>
    <w:rsid w:val="00D14165"/>
    <w:rsid w:val="00D149A5"/>
    <w:rsid w:val="00D14C08"/>
    <w:rsid w:val="00D150B8"/>
    <w:rsid w:val="00D16AE9"/>
    <w:rsid w:val="00D16B86"/>
    <w:rsid w:val="00D16C61"/>
    <w:rsid w:val="00D176FE"/>
    <w:rsid w:val="00D17BDB"/>
    <w:rsid w:val="00D20F90"/>
    <w:rsid w:val="00D2161D"/>
    <w:rsid w:val="00D21876"/>
    <w:rsid w:val="00D218E7"/>
    <w:rsid w:val="00D21A1D"/>
    <w:rsid w:val="00D21C65"/>
    <w:rsid w:val="00D21CFE"/>
    <w:rsid w:val="00D21DC4"/>
    <w:rsid w:val="00D22B6D"/>
    <w:rsid w:val="00D22C08"/>
    <w:rsid w:val="00D2366B"/>
    <w:rsid w:val="00D240FD"/>
    <w:rsid w:val="00D2465A"/>
    <w:rsid w:val="00D26192"/>
    <w:rsid w:val="00D26CF9"/>
    <w:rsid w:val="00D30B9E"/>
    <w:rsid w:val="00D324CC"/>
    <w:rsid w:val="00D32946"/>
    <w:rsid w:val="00D33E21"/>
    <w:rsid w:val="00D34F08"/>
    <w:rsid w:val="00D36428"/>
    <w:rsid w:val="00D37320"/>
    <w:rsid w:val="00D37536"/>
    <w:rsid w:val="00D376A3"/>
    <w:rsid w:val="00D37983"/>
    <w:rsid w:val="00D37AD6"/>
    <w:rsid w:val="00D413F4"/>
    <w:rsid w:val="00D41E39"/>
    <w:rsid w:val="00D42435"/>
    <w:rsid w:val="00D42861"/>
    <w:rsid w:val="00D436A0"/>
    <w:rsid w:val="00D4379D"/>
    <w:rsid w:val="00D444B8"/>
    <w:rsid w:val="00D455DB"/>
    <w:rsid w:val="00D45DEA"/>
    <w:rsid w:val="00D45E42"/>
    <w:rsid w:val="00D461D7"/>
    <w:rsid w:val="00D46591"/>
    <w:rsid w:val="00D46902"/>
    <w:rsid w:val="00D46B29"/>
    <w:rsid w:val="00D475AD"/>
    <w:rsid w:val="00D50067"/>
    <w:rsid w:val="00D505DC"/>
    <w:rsid w:val="00D50A02"/>
    <w:rsid w:val="00D51DF9"/>
    <w:rsid w:val="00D56043"/>
    <w:rsid w:val="00D5611C"/>
    <w:rsid w:val="00D5761A"/>
    <w:rsid w:val="00D60510"/>
    <w:rsid w:val="00D6125E"/>
    <w:rsid w:val="00D61379"/>
    <w:rsid w:val="00D62A46"/>
    <w:rsid w:val="00D6334E"/>
    <w:rsid w:val="00D63543"/>
    <w:rsid w:val="00D6359F"/>
    <w:rsid w:val="00D6387F"/>
    <w:rsid w:val="00D63E78"/>
    <w:rsid w:val="00D6434E"/>
    <w:rsid w:val="00D64697"/>
    <w:rsid w:val="00D65717"/>
    <w:rsid w:val="00D665D8"/>
    <w:rsid w:val="00D66C0E"/>
    <w:rsid w:val="00D702F0"/>
    <w:rsid w:val="00D70703"/>
    <w:rsid w:val="00D71FEE"/>
    <w:rsid w:val="00D72155"/>
    <w:rsid w:val="00D726E8"/>
    <w:rsid w:val="00D73BCD"/>
    <w:rsid w:val="00D73D6D"/>
    <w:rsid w:val="00D76E44"/>
    <w:rsid w:val="00D7753C"/>
    <w:rsid w:val="00D77793"/>
    <w:rsid w:val="00D77872"/>
    <w:rsid w:val="00D77F1E"/>
    <w:rsid w:val="00D80FF9"/>
    <w:rsid w:val="00D8181F"/>
    <w:rsid w:val="00D81872"/>
    <w:rsid w:val="00D8258B"/>
    <w:rsid w:val="00D82604"/>
    <w:rsid w:val="00D84464"/>
    <w:rsid w:val="00D849C5"/>
    <w:rsid w:val="00D84B60"/>
    <w:rsid w:val="00D85499"/>
    <w:rsid w:val="00D85675"/>
    <w:rsid w:val="00D85A9E"/>
    <w:rsid w:val="00D8650F"/>
    <w:rsid w:val="00D866AD"/>
    <w:rsid w:val="00D874A2"/>
    <w:rsid w:val="00D875F3"/>
    <w:rsid w:val="00D876CE"/>
    <w:rsid w:val="00D87CE0"/>
    <w:rsid w:val="00D911D5"/>
    <w:rsid w:val="00D922FE"/>
    <w:rsid w:val="00D93417"/>
    <w:rsid w:val="00D93DB2"/>
    <w:rsid w:val="00D970D4"/>
    <w:rsid w:val="00DA0443"/>
    <w:rsid w:val="00DA091D"/>
    <w:rsid w:val="00DA1082"/>
    <w:rsid w:val="00DA1268"/>
    <w:rsid w:val="00DA1474"/>
    <w:rsid w:val="00DA1934"/>
    <w:rsid w:val="00DA2A3F"/>
    <w:rsid w:val="00DA2AC6"/>
    <w:rsid w:val="00DA384F"/>
    <w:rsid w:val="00DA49E1"/>
    <w:rsid w:val="00DA4DEA"/>
    <w:rsid w:val="00DA5FEA"/>
    <w:rsid w:val="00DA67CB"/>
    <w:rsid w:val="00DA765D"/>
    <w:rsid w:val="00DA7BA6"/>
    <w:rsid w:val="00DB04DB"/>
    <w:rsid w:val="00DB1230"/>
    <w:rsid w:val="00DB212F"/>
    <w:rsid w:val="00DB27AD"/>
    <w:rsid w:val="00DB2D48"/>
    <w:rsid w:val="00DB35D4"/>
    <w:rsid w:val="00DB3B73"/>
    <w:rsid w:val="00DB435A"/>
    <w:rsid w:val="00DB47E1"/>
    <w:rsid w:val="00DB49DE"/>
    <w:rsid w:val="00DB5165"/>
    <w:rsid w:val="00DB615F"/>
    <w:rsid w:val="00DB6470"/>
    <w:rsid w:val="00DB668A"/>
    <w:rsid w:val="00DB6A43"/>
    <w:rsid w:val="00DC14BA"/>
    <w:rsid w:val="00DC3A7F"/>
    <w:rsid w:val="00DC3FDF"/>
    <w:rsid w:val="00DC4E14"/>
    <w:rsid w:val="00DC5592"/>
    <w:rsid w:val="00DC5794"/>
    <w:rsid w:val="00DC6794"/>
    <w:rsid w:val="00DD0C34"/>
    <w:rsid w:val="00DD2347"/>
    <w:rsid w:val="00DD2965"/>
    <w:rsid w:val="00DD3102"/>
    <w:rsid w:val="00DD32FB"/>
    <w:rsid w:val="00DD349B"/>
    <w:rsid w:val="00DD473C"/>
    <w:rsid w:val="00DD5206"/>
    <w:rsid w:val="00DD6EE3"/>
    <w:rsid w:val="00DE15AE"/>
    <w:rsid w:val="00DE27A6"/>
    <w:rsid w:val="00DE4909"/>
    <w:rsid w:val="00DE4B69"/>
    <w:rsid w:val="00DE51E0"/>
    <w:rsid w:val="00DE73CA"/>
    <w:rsid w:val="00DE7412"/>
    <w:rsid w:val="00DF0CA0"/>
    <w:rsid w:val="00DF1FB0"/>
    <w:rsid w:val="00DF2789"/>
    <w:rsid w:val="00DF3437"/>
    <w:rsid w:val="00DF44E9"/>
    <w:rsid w:val="00DF49CF"/>
    <w:rsid w:val="00DF5FB6"/>
    <w:rsid w:val="00DF61B2"/>
    <w:rsid w:val="00DF62A5"/>
    <w:rsid w:val="00DF63C3"/>
    <w:rsid w:val="00E0211E"/>
    <w:rsid w:val="00E02220"/>
    <w:rsid w:val="00E02A4C"/>
    <w:rsid w:val="00E033F9"/>
    <w:rsid w:val="00E0340C"/>
    <w:rsid w:val="00E03543"/>
    <w:rsid w:val="00E03821"/>
    <w:rsid w:val="00E0391D"/>
    <w:rsid w:val="00E04C94"/>
    <w:rsid w:val="00E0525F"/>
    <w:rsid w:val="00E058CA"/>
    <w:rsid w:val="00E05A00"/>
    <w:rsid w:val="00E05A85"/>
    <w:rsid w:val="00E05CBE"/>
    <w:rsid w:val="00E065D3"/>
    <w:rsid w:val="00E06EF0"/>
    <w:rsid w:val="00E075BC"/>
    <w:rsid w:val="00E10A11"/>
    <w:rsid w:val="00E10C39"/>
    <w:rsid w:val="00E111A1"/>
    <w:rsid w:val="00E11B1B"/>
    <w:rsid w:val="00E11F3D"/>
    <w:rsid w:val="00E1227A"/>
    <w:rsid w:val="00E12855"/>
    <w:rsid w:val="00E12C74"/>
    <w:rsid w:val="00E12D77"/>
    <w:rsid w:val="00E1308D"/>
    <w:rsid w:val="00E1483C"/>
    <w:rsid w:val="00E1574A"/>
    <w:rsid w:val="00E15D0D"/>
    <w:rsid w:val="00E1609E"/>
    <w:rsid w:val="00E16451"/>
    <w:rsid w:val="00E16984"/>
    <w:rsid w:val="00E16B06"/>
    <w:rsid w:val="00E16BCF"/>
    <w:rsid w:val="00E1744A"/>
    <w:rsid w:val="00E2164C"/>
    <w:rsid w:val="00E234AA"/>
    <w:rsid w:val="00E23C18"/>
    <w:rsid w:val="00E25866"/>
    <w:rsid w:val="00E2586D"/>
    <w:rsid w:val="00E25EBA"/>
    <w:rsid w:val="00E2640A"/>
    <w:rsid w:val="00E26FB1"/>
    <w:rsid w:val="00E30E3B"/>
    <w:rsid w:val="00E30F75"/>
    <w:rsid w:val="00E313AF"/>
    <w:rsid w:val="00E31E93"/>
    <w:rsid w:val="00E323DB"/>
    <w:rsid w:val="00E32769"/>
    <w:rsid w:val="00E32ABF"/>
    <w:rsid w:val="00E32C6D"/>
    <w:rsid w:val="00E32F5F"/>
    <w:rsid w:val="00E333FF"/>
    <w:rsid w:val="00E35C58"/>
    <w:rsid w:val="00E366C0"/>
    <w:rsid w:val="00E41E29"/>
    <w:rsid w:val="00E42F9B"/>
    <w:rsid w:val="00E447DA"/>
    <w:rsid w:val="00E449E9"/>
    <w:rsid w:val="00E45428"/>
    <w:rsid w:val="00E46AC3"/>
    <w:rsid w:val="00E46EAF"/>
    <w:rsid w:val="00E500CC"/>
    <w:rsid w:val="00E5067C"/>
    <w:rsid w:val="00E50B70"/>
    <w:rsid w:val="00E53E28"/>
    <w:rsid w:val="00E54310"/>
    <w:rsid w:val="00E544DF"/>
    <w:rsid w:val="00E5486D"/>
    <w:rsid w:val="00E565E5"/>
    <w:rsid w:val="00E56C9A"/>
    <w:rsid w:val="00E56E73"/>
    <w:rsid w:val="00E60136"/>
    <w:rsid w:val="00E604E1"/>
    <w:rsid w:val="00E60B25"/>
    <w:rsid w:val="00E61730"/>
    <w:rsid w:val="00E6202B"/>
    <w:rsid w:val="00E62146"/>
    <w:rsid w:val="00E62763"/>
    <w:rsid w:val="00E62B29"/>
    <w:rsid w:val="00E62D91"/>
    <w:rsid w:val="00E64CE8"/>
    <w:rsid w:val="00E66839"/>
    <w:rsid w:val="00E6721D"/>
    <w:rsid w:val="00E67ACA"/>
    <w:rsid w:val="00E71BA3"/>
    <w:rsid w:val="00E71F3F"/>
    <w:rsid w:val="00E720F1"/>
    <w:rsid w:val="00E72C12"/>
    <w:rsid w:val="00E73362"/>
    <w:rsid w:val="00E740D6"/>
    <w:rsid w:val="00E748A1"/>
    <w:rsid w:val="00E74D94"/>
    <w:rsid w:val="00E74FDF"/>
    <w:rsid w:val="00E75099"/>
    <w:rsid w:val="00E75CF1"/>
    <w:rsid w:val="00E7648B"/>
    <w:rsid w:val="00E7662C"/>
    <w:rsid w:val="00E76708"/>
    <w:rsid w:val="00E8093B"/>
    <w:rsid w:val="00E80A41"/>
    <w:rsid w:val="00E8208A"/>
    <w:rsid w:val="00E820F0"/>
    <w:rsid w:val="00E82B08"/>
    <w:rsid w:val="00E83022"/>
    <w:rsid w:val="00E84A7C"/>
    <w:rsid w:val="00E850F2"/>
    <w:rsid w:val="00E859F9"/>
    <w:rsid w:val="00E86943"/>
    <w:rsid w:val="00E87C60"/>
    <w:rsid w:val="00E903EC"/>
    <w:rsid w:val="00E9055A"/>
    <w:rsid w:val="00E9076E"/>
    <w:rsid w:val="00E90A30"/>
    <w:rsid w:val="00E90A33"/>
    <w:rsid w:val="00E9123A"/>
    <w:rsid w:val="00E91DC8"/>
    <w:rsid w:val="00E92D0B"/>
    <w:rsid w:val="00E93DEE"/>
    <w:rsid w:val="00E96003"/>
    <w:rsid w:val="00E974A0"/>
    <w:rsid w:val="00E9758E"/>
    <w:rsid w:val="00E977EB"/>
    <w:rsid w:val="00E97846"/>
    <w:rsid w:val="00EA0059"/>
    <w:rsid w:val="00EA0C6A"/>
    <w:rsid w:val="00EA0D30"/>
    <w:rsid w:val="00EA1A16"/>
    <w:rsid w:val="00EA1B72"/>
    <w:rsid w:val="00EA2214"/>
    <w:rsid w:val="00EA228A"/>
    <w:rsid w:val="00EA3453"/>
    <w:rsid w:val="00EA3A59"/>
    <w:rsid w:val="00EA403C"/>
    <w:rsid w:val="00EA40A0"/>
    <w:rsid w:val="00EA4A6E"/>
    <w:rsid w:val="00EA66E4"/>
    <w:rsid w:val="00EA70FD"/>
    <w:rsid w:val="00EA7540"/>
    <w:rsid w:val="00EA7ABB"/>
    <w:rsid w:val="00EA7AC5"/>
    <w:rsid w:val="00EB0654"/>
    <w:rsid w:val="00EB37DA"/>
    <w:rsid w:val="00EB422E"/>
    <w:rsid w:val="00EB59A7"/>
    <w:rsid w:val="00EB5F46"/>
    <w:rsid w:val="00EB6D09"/>
    <w:rsid w:val="00EB6D44"/>
    <w:rsid w:val="00EB7160"/>
    <w:rsid w:val="00EB7A4E"/>
    <w:rsid w:val="00EB7A56"/>
    <w:rsid w:val="00EB7E5E"/>
    <w:rsid w:val="00EB7F75"/>
    <w:rsid w:val="00EC0249"/>
    <w:rsid w:val="00EC1099"/>
    <w:rsid w:val="00EC20AB"/>
    <w:rsid w:val="00EC28C6"/>
    <w:rsid w:val="00EC38BA"/>
    <w:rsid w:val="00EC5040"/>
    <w:rsid w:val="00EC551E"/>
    <w:rsid w:val="00EC563B"/>
    <w:rsid w:val="00EC6BB1"/>
    <w:rsid w:val="00EC7058"/>
    <w:rsid w:val="00EC71BB"/>
    <w:rsid w:val="00EC7F83"/>
    <w:rsid w:val="00ED0BDB"/>
    <w:rsid w:val="00ED1C51"/>
    <w:rsid w:val="00ED2848"/>
    <w:rsid w:val="00ED3902"/>
    <w:rsid w:val="00ED3FB2"/>
    <w:rsid w:val="00ED4076"/>
    <w:rsid w:val="00ED4C00"/>
    <w:rsid w:val="00ED4E8A"/>
    <w:rsid w:val="00ED5687"/>
    <w:rsid w:val="00ED5E38"/>
    <w:rsid w:val="00ED5F94"/>
    <w:rsid w:val="00ED6B00"/>
    <w:rsid w:val="00ED6B9D"/>
    <w:rsid w:val="00ED7131"/>
    <w:rsid w:val="00EE0E70"/>
    <w:rsid w:val="00EE12C6"/>
    <w:rsid w:val="00EE1A37"/>
    <w:rsid w:val="00EE1E01"/>
    <w:rsid w:val="00EE1F5F"/>
    <w:rsid w:val="00EE364F"/>
    <w:rsid w:val="00EE37CE"/>
    <w:rsid w:val="00EE460F"/>
    <w:rsid w:val="00EE46B2"/>
    <w:rsid w:val="00EE5B4E"/>
    <w:rsid w:val="00EE5DD0"/>
    <w:rsid w:val="00EE6413"/>
    <w:rsid w:val="00EE6CF5"/>
    <w:rsid w:val="00EE7290"/>
    <w:rsid w:val="00EE7B9E"/>
    <w:rsid w:val="00EF0BA6"/>
    <w:rsid w:val="00EF183F"/>
    <w:rsid w:val="00EF3092"/>
    <w:rsid w:val="00EF31B1"/>
    <w:rsid w:val="00EF3307"/>
    <w:rsid w:val="00EF3B0E"/>
    <w:rsid w:val="00EF42AF"/>
    <w:rsid w:val="00EF4F05"/>
    <w:rsid w:val="00EF53E8"/>
    <w:rsid w:val="00EF54A7"/>
    <w:rsid w:val="00EF7D9F"/>
    <w:rsid w:val="00F00792"/>
    <w:rsid w:val="00F01F10"/>
    <w:rsid w:val="00F02248"/>
    <w:rsid w:val="00F03B7E"/>
    <w:rsid w:val="00F03D45"/>
    <w:rsid w:val="00F04F7E"/>
    <w:rsid w:val="00F050AC"/>
    <w:rsid w:val="00F0514B"/>
    <w:rsid w:val="00F053DA"/>
    <w:rsid w:val="00F057E2"/>
    <w:rsid w:val="00F05E69"/>
    <w:rsid w:val="00F0740E"/>
    <w:rsid w:val="00F074A4"/>
    <w:rsid w:val="00F107CF"/>
    <w:rsid w:val="00F10E32"/>
    <w:rsid w:val="00F10E4E"/>
    <w:rsid w:val="00F12223"/>
    <w:rsid w:val="00F13A16"/>
    <w:rsid w:val="00F141C3"/>
    <w:rsid w:val="00F14313"/>
    <w:rsid w:val="00F14BDD"/>
    <w:rsid w:val="00F15001"/>
    <w:rsid w:val="00F1517D"/>
    <w:rsid w:val="00F158FD"/>
    <w:rsid w:val="00F176A1"/>
    <w:rsid w:val="00F20434"/>
    <w:rsid w:val="00F209F8"/>
    <w:rsid w:val="00F20DF9"/>
    <w:rsid w:val="00F20FFF"/>
    <w:rsid w:val="00F2136F"/>
    <w:rsid w:val="00F21661"/>
    <w:rsid w:val="00F22B10"/>
    <w:rsid w:val="00F23978"/>
    <w:rsid w:val="00F2399A"/>
    <w:rsid w:val="00F24794"/>
    <w:rsid w:val="00F26931"/>
    <w:rsid w:val="00F30282"/>
    <w:rsid w:val="00F303A8"/>
    <w:rsid w:val="00F30E16"/>
    <w:rsid w:val="00F3103C"/>
    <w:rsid w:val="00F32A3B"/>
    <w:rsid w:val="00F33363"/>
    <w:rsid w:val="00F34B95"/>
    <w:rsid w:val="00F35C94"/>
    <w:rsid w:val="00F361BB"/>
    <w:rsid w:val="00F3663B"/>
    <w:rsid w:val="00F367F2"/>
    <w:rsid w:val="00F369F9"/>
    <w:rsid w:val="00F37391"/>
    <w:rsid w:val="00F41129"/>
    <w:rsid w:val="00F4328F"/>
    <w:rsid w:val="00F4411C"/>
    <w:rsid w:val="00F4585C"/>
    <w:rsid w:val="00F460B7"/>
    <w:rsid w:val="00F46444"/>
    <w:rsid w:val="00F472A2"/>
    <w:rsid w:val="00F47B82"/>
    <w:rsid w:val="00F503E6"/>
    <w:rsid w:val="00F50787"/>
    <w:rsid w:val="00F5078F"/>
    <w:rsid w:val="00F50E7D"/>
    <w:rsid w:val="00F51C7C"/>
    <w:rsid w:val="00F51CC6"/>
    <w:rsid w:val="00F5266E"/>
    <w:rsid w:val="00F52E70"/>
    <w:rsid w:val="00F54504"/>
    <w:rsid w:val="00F54548"/>
    <w:rsid w:val="00F5488C"/>
    <w:rsid w:val="00F54ED9"/>
    <w:rsid w:val="00F5567F"/>
    <w:rsid w:val="00F5653A"/>
    <w:rsid w:val="00F566FF"/>
    <w:rsid w:val="00F56864"/>
    <w:rsid w:val="00F574B3"/>
    <w:rsid w:val="00F5758A"/>
    <w:rsid w:val="00F579F8"/>
    <w:rsid w:val="00F57A50"/>
    <w:rsid w:val="00F57AD6"/>
    <w:rsid w:val="00F60506"/>
    <w:rsid w:val="00F60570"/>
    <w:rsid w:val="00F611FC"/>
    <w:rsid w:val="00F61C57"/>
    <w:rsid w:val="00F64242"/>
    <w:rsid w:val="00F64749"/>
    <w:rsid w:val="00F65509"/>
    <w:rsid w:val="00F657BE"/>
    <w:rsid w:val="00F657E0"/>
    <w:rsid w:val="00F65EC0"/>
    <w:rsid w:val="00F66183"/>
    <w:rsid w:val="00F709BA"/>
    <w:rsid w:val="00F713DA"/>
    <w:rsid w:val="00F71D22"/>
    <w:rsid w:val="00F720A7"/>
    <w:rsid w:val="00F7251E"/>
    <w:rsid w:val="00F74C36"/>
    <w:rsid w:val="00F75617"/>
    <w:rsid w:val="00F76733"/>
    <w:rsid w:val="00F7674B"/>
    <w:rsid w:val="00F76896"/>
    <w:rsid w:val="00F8033E"/>
    <w:rsid w:val="00F80556"/>
    <w:rsid w:val="00F80F87"/>
    <w:rsid w:val="00F81140"/>
    <w:rsid w:val="00F813A4"/>
    <w:rsid w:val="00F8327F"/>
    <w:rsid w:val="00F84331"/>
    <w:rsid w:val="00F84A0C"/>
    <w:rsid w:val="00F8594D"/>
    <w:rsid w:val="00F85A0F"/>
    <w:rsid w:val="00F901C3"/>
    <w:rsid w:val="00F90B58"/>
    <w:rsid w:val="00F93185"/>
    <w:rsid w:val="00F93D24"/>
    <w:rsid w:val="00F95631"/>
    <w:rsid w:val="00F95C21"/>
    <w:rsid w:val="00FA00CA"/>
    <w:rsid w:val="00FA0277"/>
    <w:rsid w:val="00FA0CA0"/>
    <w:rsid w:val="00FA12B7"/>
    <w:rsid w:val="00FA1B04"/>
    <w:rsid w:val="00FA2F7F"/>
    <w:rsid w:val="00FA3493"/>
    <w:rsid w:val="00FA572C"/>
    <w:rsid w:val="00FA58E5"/>
    <w:rsid w:val="00FA5DDB"/>
    <w:rsid w:val="00FA6188"/>
    <w:rsid w:val="00FA6ADE"/>
    <w:rsid w:val="00FA6D41"/>
    <w:rsid w:val="00FA7782"/>
    <w:rsid w:val="00FA79A4"/>
    <w:rsid w:val="00FB0153"/>
    <w:rsid w:val="00FB0E4E"/>
    <w:rsid w:val="00FB1487"/>
    <w:rsid w:val="00FB18E8"/>
    <w:rsid w:val="00FB2484"/>
    <w:rsid w:val="00FB2BD4"/>
    <w:rsid w:val="00FB3BB6"/>
    <w:rsid w:val="00FB4905"/>
    <w:rsid w:val="00FB50D3"/>
    <w:rsid w:val="00FB540E"/>
    <w:rsid w:val="00FB5746"/>
    <w:rsid w:val="00FB5EF9"/>
    <w:rsid w:val="00FB67B9"/>
    <w:rsid w:val="00FB689D"/>
    <w:rsid w:val="00FB68D2"/>
    <w:rsid w:val="00FB6EE2"/>
    <w:rsid w:val="00FB7094"/>
    <w:rsid w:val="00FB73C3"/>
    <w:rsid w:val="00FB773C"/>
    <w:rsid w:val="00FC0F15"/>
    <w:rsid w:val="00FC2062"/>
    <w:rsid w:val="00FC24AA"/>
    <w:rsid w:val="00FC2E8D"/>
    <w:rsid w:val="00FC31C4"/>
    <w:rsid w:val="00FC3B48"/>
    <w:rsid w:val="00FC3D5D"/>
    <w:rsid w:val="00FC4882"/>
    <w:rsid w:val="00FC6352"/>
    <w:rsid w:val="00FC67D2"/>
    <w:rsid w:val="00FD0415"/>
    <w:rsid w:val="00FD09B1"/>
    <w:rsid w:val="00FD11EB"/>
    <w:rsid w:val="00FD3AE6"/>
    <w:rsid w:val="00FD3D1E"/>
    <w:rsid w:val="00FD6316"/>
    <w:rsid w:val="00FD6624"/>
    <w:rsid w:val="00FD674B"/>
    <w:rsid w:val="00FD6DC9"/>
    <w:rsid w:val="00FD7B82"/>
    <w:rsid w:val="00FE127E"/>
    <w:rsid w:val="00FE1675"/>
    <w:rsid w:val="00FE236F"/>
    <w:rsid w:val="00FE41AE"/>
    <w:rsid w:val="00FE4547"/>
    <w:rsid w:val="00FE4755"/>
    <w:rsid w:val="00FE48A0"/>
    <w:rsid w:val="00FE498F"/>
    <w:rsid w:val="00FE5795"/>
    <w:rsid w:val="00FE658F"/>
    <w:rsid w:val="00FE6C20"/>
    <w:rsid w:val="00FE7532"/>
    <w:rsid w:val="00FE7D2F"/>
    <w:rsid w:val="00FF00F8"/>
    <w:rsid w:val="00FF0325"/>
    <w:rsid w:val="00FF3617"/>
    <w:rsid w:val="00FF37BF"/>
    <w:rsid w:val="00FF3DFB"/>
    <w:rsid w:val="00FF4781"/>
    <w:rsid w:val="00FF5727"/>
    <w:rsid w:val="00FF583D"/>
    <w:rsid w:val="00FF5D14"/>
    <w:rsid w:val="00FF7294"/>
    <w:rsid w:val="00FF7F25"/>
    <w:rsid w:val="04F748AD"/>
    <w:rsid w:val="17105A3A"/>
    <w:rsid w:val="184C42CD"/>
    <w:rsid w:val="2BCD0794"/>
    <w:rsid w:val="33DE0FDB"/>
    <w:rsid w:val="3A31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nhideWhenUsed="0" w:uiPriority="1" w:semiHidden="0" w:name="heading 2"/>
    <w:lsdException w:qFormat="1" w:uiPriority="9" w:semiHidden="0" w:name="heading 3"/>
    <w:lsdException w:qFormat="1" w:uiPriority="1"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qFormat="1" w:unhideWhenUsed="0" w:uiPriority="99" w:semiHidden="0"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heme="minorBidi"/>
      <w:kern w:val="2"/>
      <w:sz w:val="28"/>
      <w:szCs w:val="22"/>
      <w:lang w:val="en-US" w:eastAsia="zh-CN" w:bidi="ar-SA"/>
    </w:rPr>
  </w:style>
  <w:style w:type="paragraph" w:styleId="2">
    <w:name w:val="heading 1"/>
    <w:next w:val="1"/>
    <w:link w:val="49"/>
    <w:unhideWhenUsed/>
    <w:qFormat/>
    <w:uiPriority w:val="1"/>
    <w:pPr>
      <w:keepNext/>
      <w:keepLines/>
      <w:spacing w:before="120" w:after="120" w:line="264" w:lineRule="auto"/>
      <w:jc w:val="center"/>
      <w:outlineLvl w:val="0"/>
    </w:pPr>
    <w:rPr>
      <w:rFonts w:ascii="宋体" w:hAnsi="宋体" w:eastAsia="黑体" w:cs="宋体"/>
      <w:color w:val="000000"/>
      <w:kern w:val="2"/>
      <w:sz w:val="36"/>
      <w:szCs w:val="22"/>
      <w:lang w:val="en-US" w:eastAsia="zh-CN" w:bidi="ar-SA"/>
    </w:rPr>
  </w:style>
  <w:style w:type="paragraph" w:styleId="3">
    <w:name w:val="heading 2"/>
    <w:basedOn w:val="1"/>
    <w:next w:val="1"/>
    <w:link w:val="50"/>
    <w:qFormat/>
    <w:uiPriority w:val="1"/>
    <w:pPr>
      <w:keepNext/>
      <w:keepLines/>
      <w:spacing w:before="260" w:after="260" w:line="415" w:lineRule="auto"/>
      <w:ind w:firstLine="0" w:firstLineChars="0"/>
      <w:outlineLvl w:val="1"/>
    </w:pPr>
    <w:rPr>
      <w:rFonts w:eastAsia="黑体" w:cs="Times New Roman"/>
      <w:bCs/>
      <w:sz w:val="32"/>
      <w:szCs w:val="32"/>
    </w:rPr>
  </w:style>
  <w:style w:type="paragraph" w:styleId="4">
    <w:name w:val="heading 3"/>
    <w:basedOn w:val="1"/>
    <w:next w:val="1"/>
    <w:link w:val="51"/>
    <w:unhideWhenUsed/>
    <w:qFormat/>
    <w:uiPriority w:val="9"/>
    <w:pPr>
      <w:keepNext/>
      <w:keepLines/>
      <w:spacing w:before="260" w:after="260" w:line="415" w:lineRule="auto"/>
      <w:ind w:firstLine="0" w:firstLineChars="0"/>
      <w:outlineLvl w:val="2"/>
    </w:pPr>
    <w:rPr>
      <w:rFonts w:eastAsia="黑体"/>
      <w:bCs/>
      <w:szCs w:val="32"/>
    </w:rPr>
  </w:style>
  <w:style w:type="paragraph" w:styleId="5">
    <w:name w:val="heading 4"/>
    <w:basedOn w:val="1"/>
    <w:next w:val="1"/>
    <w:link w:val="52"/>
    <w:unhideWhenUsed/>
    <w:qFormat/>
    <w:uiPriority w:val="1"/>
    <w:pPr>
      <w:keepNext/>
      <w:keepLines/>
      <w:spacing w:before="280" w:after="290" w:line="376" w:lineRule="auto"/>
      <w:outlineLvl w:val="3"/>
    </w:pPr>
    <w:rPr>
      <w:rFonts w:cstheme="majorBidi"/>
      <w:bCs/>
      <w:szCs w:val="28"/>
    </w:rPr>
  </w:style>
  <w:style w:type="paragraph" w:styleId="6">
    <w:name w:val="heading 5"/>
    <w:basedOn w:val="1"/>
    <w:next w:val="1"/>
    <w:link w:val="58"/>
    <w:qFormat/>
    <w:uiPriority w:val="9"/>
    <w:pPr>
      <w:keepNext/>
      <w:keepLines/>
      <w:spacing w:before="100" w:after="160" w:line="377" w:lineRule="auto"/>
      <w:outlineLvl w:val="4"/>
    </w:pPr>
    <w:rPr>
      <w:rFonts w:eastAsia="黑体" w:cs="Times New Roman"/>
      <w:bCs/>
      <w:szCs w:val="28"/>
    </w:rPr>
  </w:style>
  <w:style w:type="paragraph" w:styleId="7">
    <w:name w:val="heading 6"/>
    <w:basedOn w:val="1"/>
    <w:next w:val="1"/>
    <w:link w:val="59"/>
    <w:qFormat/>
    <w:uiPriority w:val="0"/>
    <w:pPr>
      <w:keepNext/>
      <w:keepLines/>
      <w:spacing w:before="240" w:after="64" w:line="320" w:lineRule="auto"/>
      <w:ind w:firstLine="0" w:firstLineChars="0"/>
      <w:outlineLvl w:val="5"/>
    </w:pPr>
    <w:rPr>
      <w:rFonts w:ascii="Arial" w:hAnsi="Arial" w:eastAsia="黑体" w:cs="Times New Roman"/>
      <w:b/>
      <w:bCs/>
      <w:sz w:val="24"/>
      <w:szCs w:val="24"/>
    </w:rPr>
  </w:style>
  <w:style w:type="paragraph" w:styleId="8">
    <w:name w:val="heading 8"/>
    <w:basedOn w:val="1"/>
    <w:next w:val="1"/>
    <w:link w:val="225"/>
    <w:semiHidden/>
    <w:unhideWhenUsed/>
    <w:qFormat/>
    <w:uiPriority w:val="0"/>
    <w:pPr>
      <w:keepNext/>
      <w:keepLines/>
      <w:spacing w:before="240" w:after="64" w:line="320" w:lineRule="auto"/>
      <w:outlineLvl w:val="7"/>
    </w:pPr>
    <w:rPr>
      <w:rFonts w:ascii="Cambria" w:hAnsi="Cambria" w:cs="Times New Roman"/>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2520" w:leftChars="1200" w:firstLine="0" w:firstLineChars="0"/>
    </w:pPr>
    <w:rPr>
      <w:rFonts w:cs="Times New Roman"/>
      <w:sz w:val="21"/>
      <w:szCs w:val="24"/>
    </w:rPr>
  </w:style>
  <w:style w:type="paragraph" w:styleId="10">
    <w:name w:val="Normal Indent"/>
    <w:basedOn w:val="1"/>
    <w:qFormat/>
    <w:uiPriority w:val="0"/>
    <w:pPr>
      <w:ind w:firstLine="420" w:firstLineChars="0"/>
    </w:pPr>
    <w:rPr>
      <w:rFonts w:cs="Times New Roman"/>
      <w:sz w:val="21"/>
      <w:szCs w:val="20"/>
    </w:rPr>
  </w:style>
  <w:style w:type="paragraph" w:styleId="11">
    <w:name w:val="caption"/>
    <w:basedOn w:val="7"/>
    <w:next w:val="1"/>
    <w:qFormat/>
    <w:uiPriority w:val="0"/>
    <w:pPr>
      <w:spacing w:before="120" w:line="319" w:lineRule="auto"/>
      <w:ind w:firstLine="150" w:firstLineChars="150"/>
    </w:pPr>
    <w:rPr>
      <w:rFonts w:cs="Arial"/>
      <w:b w:val="0"/>
      <w:sz w:val="28"/>
      <w:szCs w:val="20"/>
    </w:rPr>
  </w:style>
  <w:style w:type="paragraph" w:styleId="12">
    <w:name w:val="Document Map"/>
    <w:basedOn w:val="1"/>
    <w:link w:val="61"/>
    <w:semiHidden/>
    <w:qFormat/>
    <w:uiPriority w:val="99"/>
    <w:pPr>
      <w:shd w:val="clear" w:color="auto" w:fill="000080"/>
      <w:ind w:firstLine="0" w:firstLineChars="0"/>
    </w:pPr>
    <w:rPr>
      <w:rFonts w:cs="Times New Roman"/>
      <w:sz w:val="21"/>
      <w:szCs w:val="24"/>
    </w:rPr>
  </w:style>
  <w:style w:type="paragraph" w:styleId="13">
    <w:name w:val="annotation text"/>
    <w:basedOn w:val="1"/>
    <w:link w:val="217"/>
    <w:unhideWhenUsed/>
    <w:qFormat/>
    <w:uiPriority w:val="99"/>
    <w:pPr>
      <w:ind w:firstLine="0" w:firstLineChars="0"/>
      <w:jc w:val="left"/>
    </w:pPr>
    <w:rPr>
      <w:rFonts w:cs="Times New Roman"/>
      <w:sz w:val="21"/>
      <w:szCs w:val="24"/>
    </w:rPr>
  </w:style>
  <w:style w:type="paragraph" w:styleId="14">
    <w:name w:val="Body Text"/>
    <w:basedOn w:val="1"/>
    <w:link w:val="66"/>
    <w:qFormat/>
    <w:uiPriority w:val="1"/>
    <w:pPr>
      <w:spacing w:after="120"/>
      <w:ind w:firstLine="0" w:firstLineChars="0"/>
    </w:pPr>
    <w:rPr>
      <w:rFonts w:cs="Times New Roman"/>
      <w:sz w:val="21"/>
      <w:szCs w:val="24"/>
    </w:rPr>
  </w:style>
  <w:style w:type="paragraph" w:styleId="15">
    <w:name w:val="Body Text Indent"/>
    <w:basedOn w:val="1"/>
    <w:link w:val="62"/>
    <w:qFormat/>
    <w:uiPriority w:val="0"/>
    <w:pPr>
      <w:spacing w:before="100" w:after="240"/>
      <w:ind w:firstLine="442" w:firstLineChars="0"/>
    </w:pPr>
    <w:rPr>
      <w:rFonts w:cs="Times New Roman"/>
      <w:sz w:val="24"/>
      <w:szCs w:val="20"/>
    </w:rPr>
  </w:style>
  <w:style w:type="paragraph" w:styleId="16">
    <w:name w:val="toc 5"/>
    <w:basedOn w:val="1"/>
    <w:next w:val="1"/>
    <w:qFormat/>
    <w:uiPriority w:val="39"/>
    <w:pPr>
      <w:ind w:left="1680" w:leftChars="800" w:firstLine="0" w:firstLineChars="0"/>
    </w:pPr>
    <w:rPr>
      <w:rFonts w:cs="Times New Roman"/>
      <w:sz w:val="21"/>
      <w:szCs w:val="24"/>
    </w:rPr>
  </w:style>
  <w:style w:type="paragraph" w:styleId="17">
    <w:name w:val="toc 3"/>
    <w:basedOn w:val="1"/>
    <w:next w:val="1"/>
    <w:qFormat/>
    <w:uiPriority w:val="39"/>
    <w:pPr>
      <w:ind w:left="840" w:leftChars="400" w:firstLine="0" w:firstLineChars="0"/>
    </w:pPr>
    <w:rPr>
      <w:rFonts w:cs="Times New Roman"/>
      <w:sz w:val="21"/>
      <w:szCs w:val="24"/>
    </w:rPr>
  </w:style>
  <w:style w:type="paragraph" w:styleId="18">
    <w:name w:val="Plain Text"/>
    <w:basedOn w:val="1"/>
    <w:link w:val="73"/>
    <w:qFormat/>
    <w:uiPriority w:val="0"/>
    <w:pPr>
      <w:ind w:firstLine="0" w:firstLineChars="0"/>
    </w:pPr>
    <w:rPr>
      <w:rFonts w:ascii="宋体" w:hAnsi="Courier New" w:cs="Times New Roman" w:eastAsiaTheme="minorEastAsia"/>
      <w:sz w:val="21"/>
    </w:rPr>
  </w:style>
  <w:style w:type="paragraph" w:styleId="19">
    <w:name w:val="toc 8"/>
    <w:basedOn w:val="1"/>
    <w:next w:val="1"/>
    <w:qFormat/>
    <w:uiPriority w:val="39"/>
    <w:pPr>
      <w:ind w:left="2940" w:leftChars="1400" w:firstLine="0" w:firstLineChars="0"/>
    </w:pPr>
    <w:rPr>
      <w:rFonts w:cs="Times New Roman"/>
      <w:sz w:val="21"/>
      <w:szCs w:val="24"/>
    </w:rPr>
  </w:style>
  <w:style w:type="paragraph" w:styleId="20">
    <w:name w:val="Date"/>
    <w:basedOn w:val="1"/>
    <w:next w:val="1"/>
    <w:link w:val="257"/>
    <w:semiHidden/>
    <w:unhideWhenUsed/>
    <w:qFormat/>
    <w:uiPriority w:val="99"/>
    <w:pPr>
      <w:ind w:left="100" w:leftChars="2500" w:firstLine="0" w:firstLineChars="0"/>
    </w:pPr>
    <w:rPr>
      <w:rFonts w:asciiTheme="minorHAnsi" w:hAnsiTheme="minorHAnsi" w:eastAsiaTheme="minorEastAsia"/>
      <w:sz w:val="21"/>
    </w:rPr>
  </w:style>
  <w:style w:type="paragraph" w:styleId="21">
    <w:name w:val="Body Text Indent 2"/>
    <w:basedOn w:val="1"/>
    <w:link w:val="222"/>
    <w:qFormat/>
    <w:uiPriority w:val="0"/>
    <w:pPr>
      <w:spacing w:after="120" w:line="480" w:lineRule="auto"/>
      <w:ind w:left="420" w:leftChars="200" w:firstLine="0" w:firstLineChars="0"/>
    </w:pPr>
    <w:rPr>
      <w:rFonts w:cs="Times New Roman"/>
      <w:sz w:val="21"/>
      <w:szCs w:val="24"/>
    </w:rPr>
  </w:style>
  <w:style w:type="paragraph" w:styleId="22">
    <w:name w:val="endnote text"/>
    <w:basedOn w:val="1"/>
    <w:link w:val="227"/>
    <w:semiHidden/>
    <w:unhideWhenUsed/>
    <w:qFormat/>
    <w:uiPriority w:val="0"/>
    <w:pPr>
      <w:snapToGrid w:val="0"/>
      <w:ind w:firstLine="0" w:firstLineChars="0"/>
      <w:jc w:val="left"/>
    </w:pPr>
    <w:rPr>
      <w:rFonts w:cs="Times New Roman"/>
      <w:sz w:val="21"/>
      <w:szCs w:val="24"/>
    </w:rPr>
  </w:style>
  <w:style w:type="paragraph" w:styleId="23">
    <w:name w:val="Balloon Text"/>
    <w:basedOn w:val="1"/>
    <w:link w:val="76"/>
    <w:qFormat/>
    <w:uiPriority w:val="99"/>
    <w:pPr>
      <w:ind w:firstLine="0" w:firstLineChars="0"/>
    </w:pPr>
    <w:rPr>
      <w:rFonts w:cs="Times New Roman"/>
      <w:sz w:val="18"/>
      <w:szCs w:val="18"/>
    </w:rPr>
  </w:style>
  <w:style w:type="paragraph" w:styleId="24">
    <w:name w:val="footer"/>
    <w:basedOn w:val="1"/>
    <w:link w:val="55"/>
    <w:unhideWhenUsed/>
    <w:qFormat/>
    <w:uiPriority w:val="99"/>
    <w:pPr>
      <w:tabs>
        <w:tab w:val="center" w:pos="4153"/>
        <w:tab w:val="right" w:pos="8306"/>
      </w:tabs>
      <w:snapToGrid w:val="0"/>
      <w:jc w:val="left"/>
    </w:pPr>
    <w:rPr>
      <w:sz w:val="18"/>
      <w:szCs w:val="18"/>
    </w:rPr>
  </w:style>
  <w:style w:type="paragraph" w:styleId="25">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355"/>
      </w:tabs>
      <w:spacing w:line="560" w:lineRule="exact"/>
      <w:ind w:firstLine="0" w:firstLineChars="0"/>
    </w:pPr>
    <w:rPr>
      <w:rFonts w:eastAsia="黑体" w:cs="Times New Roman"/>
      <w:szCs w:val="24"/>
    </w:rPr>
  </w:style>
  <w:style w:type="paragraph" w:styleId="27">
    <w:name w:val="toc 4"/>
    <w:basedOn w:val="1"/>
    <w:next w:val="1"/>
    <w:qFormat/>
    <w:uiPriority w:val="39"/>
    <w:pPr>
      <w:ind w:left="1260" w:leftChars="600" w:firstLine="0" w:firstLineChars="0"/>
    </w:pPr>
    <w:rPr>
      <w:rFonts w:cs="Times New Roman"/>
      <w:sz w:val="21"/>
      <w:szCs w:val="24"/>
    </w:rPr>
  </w:style>
  <w:style w:type="paragraph" w:styleId="28">
    <w:name w:val="footnote text"/>
    <w:basedOn w:val="1"/>
    <w:link w:val="94"/>
    <w:unhideWhenUsed/>
    <w:qFormat/>
    <w:uiPriority w:val="0"/>
    <w:pPr>
      <w:snapToGrid w:val="0"/>
      <w:ind w:firstLine="0" w:firstLineChars="0"/>
      <w:jc w:val="left"/>
    </w:pPr>
    <w:rPr>
      <w:rFonts w:ascii="Franklin Gothic Book" w:hAnsi="Franklin Gothic Book" w:eastAsia="黑体"/>
      <w:sz w:val="18"/>
      <w:szCs w:val="18"/>
    </w:rPr>
  </w:style>
  <w:style w:type="paragraph" w:styleId="29">
    <w:name w:val="toc 6"/>
    <w:basedOn w:val="1"/>
    <w:next w:val="1"/>
    <w:qFormat/>
    <w:uiPriority w:val="39"/>
    <w:pPr>
      <w:ind w:left="2100" w:leftChars="1000" w:firstLine="0" w:firstLineChars="0"/>
    </w:pPr>
    <w:rPr>
      <w:rFonts w:cs="Times New Roman"/>
      <w:sz w:val="21"/>
      <w:szCs w:val="24"/>
    </w:rPr>
  </w:style>
  <w:style w:type="paragraph" w:styleId="30">
    <w:name w:val="Body Text Indent 3"/>
    <w:basedOn w:val="1"/>
    <w:link w:val="90"/>
    <w:qFormat/>
    <w:uiPriority w:val="0"/>
    <w:pPr>
      <w:spacing w:after="120"/>
      <w:ind w:left="420" w:leftChars="200" w:firstLine="0" w:firstLineChars="0"/>
    </w:pPr>
    <w:rPr>
      <w:rFonts w:asciiTheme="minorHAnsi" w:hAnsiTheme="minorHAnsi" w:eastAsiaTheme="minorEastAsia"/>
      <w:sz w:val="16"/>
      <w:szCs w:val="16"/>
    </w:rPr>
  </w:style>
  <w:style w:type="paragraph" w:styleId="31">
    <w:name w:val="toc 2"/>
    <w:basedOn w:val="1"/>
    <w:next w:val="1"/>
    <w:qFormat/>
    <w:uiPriority w:val="39"/>
    <w:pPr>
      <w:spacing w:line="560" w:lineRule="exact"/>
      <w:ind w:left="200" w:leftChars="200" w:firstLine="0" w:firstLineChars="0"/>
    </w:pPr>
    <w:rPr>
      <w:rFonts w:cs="Times New Roman"/>
      <w:szCs w:val="24"/>
    </w:rPr>
  </w:style>
  <w:style w:type="paragraph" w:styleId="32">
    <w:name w:val="toc 9"/>
    <w:basedOn w:val="1"/>
    <w:next w:val="1"/>
    <w:qFormat/>
    <w:uiPriority w:val="39"/>
    <w:pPr>
      <w:ind w:left="3360" w:leftChars="1600" w:firstLine="0" w:firstLineChars="0"/>
    </w:pPr>
    <w:rPr>
      <w:rFonts w:cs="Times New Roman"/>
      <w:sz w:val="21"/>
      <w:szCs w:val="24"/>
    </w:rPr>
  </w:style>
  <w:style w:type="paragraph" w:styleId="33">
    <w:name w:val="Normal (Web)"/>
    <w:basedOn w:val="1"/>
    <w:qFormat/>
    <w:uiPriority w:val="99"/>
    <w:pPr>
      <w:widowControl/>
      <w:spacing w:before="100" w:beforeAutospacing="1" w:after="100" w:afterAutospacing="1"/>
      <w:ind w:firstLine="0" w:firstLineChars="0"/>
      <w:jc w:val="left"/>
    </w:pPr>
    <w:rPr>
      <w:rFonts w:ascii="宋体" w:hAnsi="宋体" w:cs="宋体"/>
      <w:kern w:val="0"/>
      <w:sz w:val="24"/>
      <w:szCs w:val="24"/>
    </w:rPr>
  </w:style>
  <w:style w:type="paragraph" w:styleId="34">
    <w:name w:val="Title"/>
    <w:basedOn w:val="1"/>
    <w:next w:val="1"/>
    <w:link w:val="258"/>
    <w:qFormat/>
    <w:uiPriority w:val="10"/>
    <w:pPr>
      <w:spacing w:before="240" w:after="60" w:line="360" w:lineRule="auto"/>
      <w:ind w:firstLine="0" w:firstLineChars="0"/>
      <w:jc w:val="left"/>
      <w:outlineLvl w:val="2"/>
    </w:pPr>
    <w:rPr>
      <w:rFonts w:eastAsia="仿宋_GB2312" w:cstheme="majorBidi"/>
      <w:b/>
      <w:bCs/>
      <w:sz w:val="21"/>
      <w:szCs w:val="32"/>
    </w:rPr>
  </w:style>
  <w:style w:type="paragraph" w:styleId="35">
    <w:name w:val="annotation subject"/>
    <w:basedOn w:val="13"/>
    <w:next w:val="13"/>
    <w:link w:val="218"/>
    <w:unhideWhenUsed/>
    <w:qFormat/>
    <w:uiPriority w:val="99"/>
    <w:rPr>
      <w:b/>
      <w:bCs/>
    </w:rPr>
  </w:style>
  <w:style w:type="paragraph" w:styleId="36">
    <w:name w:val="Body Text First Indent"/>
    <w:basedOn w:val="14"/>
    <w:link w:val="250"/>
    <w:qFormat/>
    <w:uiPriority w:val="0"/>
    <w:pPr>
      <w:ind w:firstLine="420" w:firstLineChars="100"/>
    </w:pPr>
  </w:style>
  <w:style w:type="paragraph" w:styleId="37">
    <w:name w:val="Body Text First Indent 2"/>
    <w:basedOn w:val="15"/>
    <w:link w:val="300"/>
    <w:unhideWhenUsed/>
    <w:qFormat/>
    <w:uiPriority w:val="0"/>
    <w:pPr>
      <w:spacing w:before="0" w:after="120"/>
      <w:ind w:left="420" w:leftChars="200" w:firstLine="420" w:firstLineChars="200"/>
    </w:pPr>
    <w:rPr>
      <w:sz w:val="21"/>
      <w:szCs w:val="24"/>
    </w:rPr>
  </w:style>
  <w:style w:type="table" w:styleId="39">
    <w:name w:val="Table Grid"/>
    <w:basedOn w:val="38"/>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22"/>
    <w:rPr>
      <w:b/>
      <w:bCs/>
    </w:rPr>
  </w:style>
  <w:style w:type="character" w:styleId="42">
    <w:name w:val="endnote reference"/>
    <w:basedOn w:val="40"/>
    <w:semiHidden/>
    <w:unhideWhenUsed/>
    <w:qFormat/>
    <w:uiPriority w:val="0"/>
    <w:rPr>
      <w:vertAlign w:val="superscript"/>
    </w:rPr>
  </w:style>
  <w:style w:type="character" w:styleId="43">
    <w:name w:val="page number"/>
    <w:basedOn w:val="40"/>
    <w:qFormat/>
    <w:uiPriority w:val="99"/>
  </w:style>
  <w:style w:type="character" w:styleId="44">
    <w:name w:val="FollowedHyperlink"/>
    <w:unhideWhenUsed/>
    <w:qFormat/>
    <w:uiPriority w:val="99"/>
    <w:rPr>
      <w:color w:val="800080"/>
      <w:u w:val="single"/>
    </w:rPr>
  </w:style>
  <w:style w:type="character" w:styleId="45">
    <w:name w:val="Emphasis"/>
    <w:basedOn w:val="40"/>
    <w:qFormat/>
    <w:uiPriority w:val="20"/>
    <w:rPr>
      <w:i/>
      <w:iCs/>
    </w:rPr>
  </w:style>
  <w:style w:type="character" w:styleId="46">
    <w:name w:val="Hyperlink"/>
    <w:basedOn w:val="40"/>
    <w:qFormat/>
    <w:uiPriority w:val="99"/>
    <w:rPr>
      <w:color w:val="0000FF"/>
      <w:u w:val="single"/>
    </w:rPr>
  </w:style>
  <w:style w:type="character" w:styleId="47">
    <w:name w:val="annotation reference"/>
    <w:basedOn w:val="40"/>
    <w:unhideWhenUsed/>
    <w:qFormat/>
    <w:uiPriority w:val="99"/>
    <w:rPr>
      <w:sz w:val="21"/>
      <w:szCs w:val="21"/>
    </w:rPr>
  </w:style>
  <w:style w:type="character" w:styleId="48">
    <w:name w:val="footnote reference"/>
    <w:basedOn w:val="40"/>
    <w:semiHidden/>
    <w:unhideWhenUsed/>
    <w:qFormat/>
    <w:uiPriority w:val="0"/>
    <w:rPr>
      <w:vertAlign w:val="superscript"/>
    </w:rPr>
  </w:style>
  <w:style w:type="character" w:customStyle="1" w:styleId="49">
    <w:name w:val="标题 1 字符"/>
    <w:basedOn w:val="40"/>
    <w:link w:val="2"/>
    <w:qFormat/>
    <w:uiPriority w:val="1"/>
    <w:rPr>
      <w:rFonts w:ascii="宋体" w:hAnsi="宋体" w:eastAsia="黑体" w:cs="宋体"/>
      <w:color w:val="000000"/>
      <w:sz w:val="36"/>
    </w:rPr>
  </w:style>
  <w:style w:type="character" w:customStyle="1" w:styleId="50">
    <w:name w:val="标题 2 字符"/>
    <w:basedOn w:val="40"/>
    <w:link w:val="3"/>
    <w:qFormat/>
    <w:uiPriority w:val="1"/>
    <w:rPr>
      <w:rFonts w:ascii="Times New Roman" w:hAnsi="Times New Roman" w:eastAsia="黑体" w:cs="Times New Roman"/>
      <w:bCs/>
      <w:sz w:val="32"/>
      <w:szCs w:val="32"/>
    </w:rPr>
  </w:style>
  <w:style w:type="character" w:customStyle="1" w:styleId="51">
    <w:name w:val="标题 3 字符"/>
    <w:basedOn w:val="40"/>
    <w:link w:val="4"/>
    <w:qFormat/>
    <w:uiPriority w:val="9"/>
    <w:rPr>
      <w:rFonts w:ascii="Times New Roman" w:hAnsi="Times New Roman" w:eastAsia="黑体"/>
      <w:bCs/>
      <w:sz w:val="28"/>
      <w:szCs w:val="32"/>
    </w:rPr>
  </w:style>
  <w:style w:type="character" w:customStyle="1" w:styleId="52">
    <w:name w:val="标题 4 字符"/>
    <w:basedOn w:val="40"/>
    <w:link w:val="5"/>
    <w:qFormat/>
    <w:uiPriority w:val="1"/>
    <w:rPr>
      <w:rFonts w:ascii="Times New Roman" w:hAnsi="Times New Roman" w:eastAsia="宋体" w:cstheme="majorBidi"/>
      <w:bCs/>
      <w:kern w:val="2"/>
      <w:sz w:val="28"/>
      <w:szCs w:val="28"/>
    </w:rPr>
  </w:style>
  <w:style w:type="paragraph" w:customStyle="1" w:styleId="53">
    <w:name w:val="表格"/>
    <w:basedOn w:val="1"/>
    <w:link w:val="106"/>
    <w:qFormat/>
    <w:uiPriority w:val="0"/>
    <w:pPr>
      <w:widowControl/>
      <w:spacing w:line="360" w:lineRule="exact"/>
      <w:ind w:firstLine="0" w:firstLineChars="0"/>
      <w:jc w:val="center"/>
    </w:pPr>
    <w:rPr>
      <w:rFonts w:ascii="宋体" w:hAnsi="宋体" w:cs="宋体"/>
      <w:kern w:val="0"/>
      <w:sz w:val="22"/>
    </w:rPr>
  </w:style>
  <w:style w:type="character" w:customStyle="1" w:styleId="54">
    <w:name w:val="页眉 字符"/>
    <w:basedOn w:val="40"/>
    <w:link w:val="25"/>
    <w:qFormat/>
    <w:uiPriority w:val="99"/>
    <w:rPr>
      <w:rFonts w:ascii="Times New Roman" w:hAnsi="Times New Roman" w:eastAsia="宋体"/>
      <w:sz w:val="18"/>
      <w:szCs w:val="18"/>
    </w:rPr>
  </w:style>
  <w:style w:type="character" w:customStyle="1" w:styleId="55">
    <w:name w:val="页脚 字符"/>
    <w:basedOn w:val="40"/>
    <w:link w:val="24"/>
    <w:qFormat/>
    <w:uiPriority w:val="99"/>
    <w:rPr>
      <w:rFonts w:ascii="Times New Roman" w:hAnsi="Times New Roman" w:eastAsia="宋体"/>
      <w:sz w:val="18"/>
      <w:szCs w:val="18"/>
    </w:rPr>
  </w:style>
  <w:style w:type="character" w:customStyle="1" w:styleId="56">
    <w:name w:val="0表正文 Char"/>
    <w:link w:val="57"/>
    <w:qFormat/>
    <w:uiPriority w:val="0"/>
    <w:rPr>
      <w:rFonts w:cs="宋体"/>
      <w:sz w:val="18"/>
      <w:szCs w:val="18"/>
    </w:rPr>
  </w:style>
  <w:style w:type="paragraph" w:customStyle="1" w:styleId="57">
    <w:name w:val="0表正文"/>
    <w:basedOn w:val="1"/>
    <w:link w:val="56"/>
    <w:qFormat/>
    <w:uiPriority w:val="0"/>
    <w:pPr>
      <w:spacing w:line="300" w:lineRule="exact"/>
      <w:ind w:firstLine="0" w:firstLineChars="0"/>
      <w:jc w:val="left"/>
    </w:pPr>
    <w:rPr>
      <w:rFonts w:cs="宋体" w:asciiTheme="minorHAnsi" w:hAnsiTheme="minorHAnsi" w:eastAsiaTheme="minorEastAsia"/>
      <w:sz w:val="18"/>
      <w:szCs w:val="18"/>
    </w:rPr>
  </w:style>
  <w:style w:type="character" w:customStyle="1" w:styleId="58">
    <w:name w:val="标题 5 字符"/>
    <w:basedOn w:val="40"/>
    <w:link w:val="6"/>
    <w:qFormat/>
    <w:uiPriority w:val="9"/>
    <w:rPr>
      <w:rFonts w:ascii="Times New Roman" w:hAnsi="Times New Roman" w:eastAsia="黑体" w:cs="Times New Roman"/>
      <w:bCs/>
      <w:kern w:val="2"/>
      <w:sz w:val="28"/>
      <w:szCs w:val="28"/>
    </w:rPr>
  </w:style>
  <w:style w:type="character" w:customStyle="1" w:styleId="59">
    <w:name w:val="标题 6 字符"/>
    <w:basedOn w:val="40"/>
    <w:link w:val="7"/>
    <w:qFormat/>
    <w:uiPriority w:val="0"/>
    <w:rPr>
      <w:rFonts w:ascii="Arial" w:hAnsi="Arial" w:eastAsia="黑体" w:cs="Times New Roman"/>
      <w:b/>
      <w:bCs/>
      <w:sz w:val="24"/>
      <w:szCs w:val="24"/>
    </w:rPr>
  </w:style>
  <w:style w:type="paragraph" w:customStyle="1" w:styleId="60">
    <w:name w:val="标题 81"/>
    <w:basedOn w:val="1"/>
    <w:next w:val="1"/>
    <w:semiHidden/>
    <w:unhideWhenUsed/>
    <w:qFormat/>
    <w:locked/>
    <w:uiPriority w:val="0"/>
    <w:pPr>
      <w:keepNext/>
      <w:keepLines/>
      <w:spacing w:before="240" w:after="64" w:line="320" w:lineRule="auto"/>
      <w:ind w:firstLine="0" w:firstLineChars="0"/>
      <w:outlineLvl w:val="7"/>
    </w:pPr>
    <w:rPr>
      <w:rFonts w:ascii="Cambria" w:hAnsi="Cambria" w:cs="Times New Roman"/>
      <w:sz w:val="24"/>
      <w:szCs w:val="24"/>
    </w:rPr>
  </w:style>
  <w:style w:type="character" w:customStyle="1" w:styleId="61">
    <w:name w:val="文档结构图 字符"/>
    <w:basedOn w:val="40"/>
    <w:link w:val="12"/>
    <w:semiHidden/>
    <w:qFormat/>
    <w:uiPriority w:val="99"/>
    <w:rPr>
      <w:rFonts w:ascii="Times New Roman" w:hAnsi="Times New Roman" w:eastAsia="宋体" w:cs="Times New Roman"/>
      <w:szCs w:val="24"/>
      <w:shd w:val="clear" w:color="auto" w:fill="000080"/>
    </w:rPr>
  </w:style>
  <w:style w:type="character" w:customStyle="1" w:styleId="62">
    <w:name w:val="正文文本缩进 字符"/>
    <w:basedOn w:val="40"/>
    <w:link w:val="15"/>
    <w:qFormat/>
    <w:uiPriority w:val="0"/>
    <w:rPr>
      <w:rFonts w:ascii="Times New Roman" w:hAnsi="Times New Roman" w:eastAsia="宋体" w:cs="Times New Roman"/>
      <w:sz w:val="24"/>
      <w:szCs w:val="20"/>
    </w:rPr>
  </w:style>
  <w:style w:type="paragraph" w:customStyle="1" w:styleId="63">
    <w:name w:val="表格内正文"/>
    <w:basedOn w:val="1"/>
    <w:link w:val="64"/>
    <w:qFormat/>
    <w:uiPriority w:val="0"/>
    <w:pPr>
      <w:ind w:firstLine="0" w:firstLineChars="0"/>
      <w:jc w:val="center"/>
    </w:pPr>
    <w:rPr>
      <w:rFonts w:cs="Times New Roman"/>
      <w:sz w:val="18"/>
      <w:szCs w:val="20"/>
    </w:rPr>
  </w:style>
  <w:style w:type="character" w:customStyle="1" w:styleId="64">
    <w:name w:val="表格内正文 Char"/>
    <w:link w:val="63"/>
    <w:qFormat/>
    <w:locked/>
    <w:uiPriority w:val="0"/>
    <w:rPr>
      <w:rFonts w:ascii="Times New Roman" w:hAnsi="Times New Roman" w:eastAsia="宋体" w:cs="Times New Roman"/>
      <w:sz w:val="18"/>
      <w:szCs w:val="20"/>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正文文本 字符"/>
    <w:basedOn w:val="40"/>
    <w:link w:val="14"/>
    <w:qFormat/>
    <w:uiPriority w:val="1"/>
    <w:rPr>
      <w:rFonts w:ascii="Times New Roman" w:hAnsi="Times New Roman" w:eastAsia="宋体" w:cs="Times New Roman"/>
      <w:szCs w:val="24"/>
    </w:rPr>
  </w:style>
  <w:style w:type="paragraph" w:customStyle="1" w:styleId="67">
    <w:name w:val="1 Char"/>
    <w:basedOn w:val="1"/>
    <w:semiHidden/>
    <w:qFormat/>
    <w:uiPriority w:val="0"/>
    <w:pPr>
      <w:ind w:firstLine="0" w:firstLineChars="0"/>
    </w:pPr>
    <w:rPr>
      <w:rFonts w:ascii="Tahoma" w:hAnsi="Tahoma" w:cs="Times New Roman"/>
      <w:sz w:val="24"/>
      <w:szCs w:val="20"/>
    </w:rPr>
  </w:style>
  <w:style w:type="paragraph" w:customStyle="1" w:styleId="68">
    <w:name w:val="正文首行缩进2 Char Char Char Char2"/>
    <w:basedOn w:val="1"/>
    <w:qFormat/>
    <w:uiPriority w:val="0"/>
    <w:pPr>
      <w:spacing w:after="60" w:line="300" w:lineRule="auto"/>
      <w:ind w:firstLine="480"/>
    </w:pPr>
    <w:rPr>
      <w:rFonts w:cs="宋体"/>
      <w:sz w:val="24"/>
      <w:szCs w:val="20"/>
    </w:rPr>
  </w:style>
  <w:style w:type="paragraph" w:customStyle="1" w:styleId="69">
    <w:name w:val="正文体"/>
    <w:basedOn w:val="1"/>
    <w:link w:val="70"/>
    <w:qFormat/>
    <w:uiPriority w:val="0"/>
    <w:pPr>
      <w:spacing w:line="360" w:lineRule="auto"/>
      <w:ind w:firstLine="480"/>
    </w:pPr>
    <w:rPr>
      <w:rFonts w:cs="Times New Roman"/>
      <w:sz w:val="24"/>
      <w:szCs w:val="20"/>
    </w:rPr>
  </w:style>
  <w:style w:type="character" w:customStyle="1" w:styleId="70">
    <w:name w:val="正文体 Char"/>
    <w:link w:val="69"/>
    <w:qFormat/>
    <w:locked/>
    <w:uiPriority w:val="0"/>
    <w:rPr>
      <w:rFonts w:ascii="Times New Roman" w:hAnsi="Times New Roman" w:eastAsia="宋体" w:cs="Times New Roman"/>
      <w:sz w:val="24"/>
      <w:szCs w:val="20"/>
    </w:rPr>
  </w:style>
  <w:style w:type="paragraph" w:customStyle="1" w:styleId="71">
    <w:name w:val="Char1"/>
    <w:basedOn w:val="1"/>
    <w:qFormat/>
    <w:uiPriority w:val="0"/>
    <w:rPr>
      <w:rFonts w:cs="Times New Roman"/>
      <w:sz w:val="21"/>
      <w:szCs w:val="24"/>
    </w:rPr>
  </w:style>
  <w:style w:type="paragraph" w:customStyle="1" w:styleId="72">
    <w:name w:val="000正文"/>
    <w:basedOn w:val="1"/>
    <w:qFormat/>
    <w:uiPriority w:val="0"/>
    <w:pPr>
      <w:spacing w:line="360" w:lineRule="auto"/>
      <w:ind w:firstLine="480"/>
    </w:pPr>
    <w:rPr>
      <w:rFonts w:cs="宋体"/>
      <w:sz w:val="24"/>
      <w:szCs w:val="20"/>
    </w:rPr>
  </w:style>
  <w:style w:type="character" w:customStyle="1" w:styleId="73">
    <w:name w:val="纯文本 字符"/>
    <w:basedOn w:val="40"/>
    <w:link w:val="18"/>
    <w:qFormat/>
    <w:locked/>
    <w:uiPriority w:val="0"/>
    <w:rPr>
      <w:rFonts w:ascii="宋体" w:hAnsi="Courier New" w:cs="Times New Roman"/>
    </w:rPr>
  </w:style>
  <w:style w:type="character" w:customStyle="1" w:styleId="74">
    <w:name w:val="纯文本 字符1"/>
    <w:basedOn w:val="40"/>
    <w:semiHidden/>
    <w:qFormat/>
    <w:uiPriority w:val="99"/>
    <w:rPr>
      <w:rFonts w:hAnsi="Courier New" w:cs="Courier New" w:asciiTheme="minorEastAsia"/>
      <w:sz w:val="28"/>
    </w:rPr>
  </w:style>
  <w:style w:type="character" w:customStyle="1" w:styleId="75">
    <w:name w:val="纯文本 Char"/>
    <w:basedOn w:val="40"/>
    <w:qFormat/>
    <w:uiPriority w:val="0"/>
    <w:rPr>
      <w:rFonts w:ascii="宋体" w:hAnsi="Courier New" w:cs="Courier New"/>
      <w:kern w:val="2"/>
      <w:sz w:val="21"/>
      <w:szCs w:val="21"/>
    </w:rPr>
  </w:style>
  <w:style w:type="character" w:customStyle="1" w:styleId="76">
    <w:name w:val="批注框文本 字符"/>
    <w:basedOn w:val="40"/>
    <w:link w:val="23"/>
    <w:qFormat/>
    <w:uiPriority w:val="99"/>
    <w:rPr>
      <w:rFonts w:ascii="Times New Roman" w:hAnsi="Times New Roman" w:eastAsia="宋体" w:cs="Times New Roman"/>
      <w:sz w:val="18"/>
      <w:szCs w:val="18"/>
    </w:rPr>
  </w:style>
  <w:style w:type="paragraph" w:customStyle="1" w:styleId="77">
    <w:name w:val="列出段落1"/>
    <w:basedOn w:val="1"/>
    <w:qFormat/>
    <w:uiPriority w:val="0"/>
    <w:pPr>
      <w:ind w:firstLine="420"/>
    </w:pPr>
    <w:rPr>
      <w:rFonts w:cs="Times New Roman"/>
      <w:sz w:val="21"/>
      <w:szCs w:val="24"/>
    </w:rPr>
  </w:style>
  <w:style w:type="paragraph" w:customStyle="1" w:styleId="78">
    <w:name w:val="Char Char"/>
    <w:basedOn w:val="1"/>
    <w:qFormat/>
    <w:uiPriority w:val="0"/>
    <w:pPr>
      <w:ind w:firstLine="0" w:firstLineChars="0"/>
    </w:pPr>
    <w:rPr>
      <w:rFonts w:cs="Times New Roman"/>
      <w:sz w:val="21"/>
      <w:szCs w:val="24"/>
    </w:rPr>
  </w:style>
  <w:style w:type="character" w:customStyle="1" w:styleId="79">
    <w:name w:val="标题 3 Char1"/>
    <w:basedOn w:val="40"/>
    <w:qFormat/>
    <w:uiPriority w:val="0"/>
    <w:rPr>
      <w:rFonts w:eastAsia="宋体" w:cs="Times New Roman"/>
      <w:b/>
      <w:bCs/>
      <w:kern w:val="2"/>
      <w:sz w:val="32"/>
      <w:szCs w:val="32"/>
      <w:lang w:val="en-US" w:eastAsia="zh-CN" w:bidi="ar-SA"/>
    </w:rPr>
  </w:style>
  <w:style w:type="paragraph" w:customStyle="1" w:styleId="80">
    <w:name w:val="样式 首行缩进:  2 字符"/>
    <w:basedOn w:val="1"/>
    <w:qFormat/>
    <w:uiPriority w:val="0"/>
    <w:pPr>
      <w:adjustRightInd w:val="0"/>
      <w:ind w:firstLine="560"/>
    </w:pPr>
    <w:rPr>
      <w:rFonts w:cs="宋体"/>
      <w:szCs w:val="20"/>
    </w:rPr>
  </w:style>
  <w:style w:type="paragraph" w:customStyle="1" w:styleId="81">
    <w:name w:val="样式 左侧:  0.8 厘米 行距: 固定值 20 磅"/>
    <w:basedOn w:val="1"/>
    <w:qFormat/>
    <w:uiPriority w:val="0"/>
    <w:pPr>
      <w:spacing w:line="400" w:lineRule="exact"/>
    </w:pPr>
    <w:rPr>
      <w:rFonts w:cs="宋体"/>
      <w:sz w:val="21"/>
      <w:szCs w:val="20"/>
    </w:rPr>
  </w:style>
  <w:style w:type="paragraph" w:customStyle="1" w:styleId="82">
    <w:name w:val="cucd-0"/>
    <w:qFormat/>
    <w:uiPriority w:val="0"/>
    <w:pPr>
      <w:spacing w:line="360" w:lineRule="auto"/>
      <w:ind w:firstLine="480" w:firstLineChars="200"/>
    </w:pPr>
    <w:rPr>
      <w:rFonts w:ascii="Arial" w:hAnsi="Arial" w:eastAsia="宋体" w:cs="Times New Roman"/>
      <w:kern w:val="2"/>
      <w:sz w:val="24"/>
      <w:szCs w:val="24"/>
      <w:lang w:val="en-US" w:eastAsia="zh-CN" w:bidi="ar-SA"/>
    </w:rPr>
  </w:style>
  <w:style w:type="paragraph" w:customStyle="1" w:styleId="83">
    <w:name w:val="Char"/>
    <w:basedOn w:val="1"/>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paragraph" w:customStyle="1" w:styleId="84">
    <w:name w:val="表格文字"/>
    <w:basedOn w:val="1"/>
    <w:next w:val="1"/>
    <w:link w:val="85"/>
    <w:qFormat/>
    <w:uiPriority w:val="0"/>
    <w:pPr>
      <w:spacing w:line="360" w:lineRule="exact"/>
      <w:ind w:firstLine="0" w:firstLineChars="0"/>
      <w:jc w:val="center"/>
      <w:textAlignment w:val="center"/>
    </w:pPr>
    <w:rPr>
      <w:rFonts w:ascii="Calibri" w:hAnsi="Calibri" w:cs="Times New Roman"/>
      <w:sz w:val="21"/>
      <w:szCs w:val="21"/>
    </w:rPr>
  </w:style>
  <w:style w:type="character" w:customStyle="1" w:styleId="85">
    <w:name w:val="表格文字 Char Char"/>
    <w:link w:val="84"/>
    <w:qFormat/>
    <w:uiPriority w:val="0"/>
    <w:rPr>
      <w:rFonts w:ascii="Calibri" w:hAnsi="Calibri" w:eastAsia="宋体" w:cs="Times New Roman"/>
      <w:szCs w:val="21"/>
    </w:rPr>
  </w:style>
  <w:style w:type="character" w:customStyle="1" w:styleId="86">
    <w:name w:val="正文  1 Char"/>
    <w:link w:val="87"/>
    <w:qFormat/>
    <w:uiPriority w:val="0"/>
    <w:rPr>
      <w:sz w:val="28"/>
      <w:szCs w:val="28"/>
    </w:rPr>
  </w:style>
  <w:style w:type="paragraph" w:customStyle="1" w:styleId="87">
    <w:name w:val="正文  1"/>
    <w:basedOn w:val="1"/>
    <w:link w:val="86"/>
    <w:qFormat/>
    <w:uiPriority w:val="0"/>
    <w:pPr>
      <w:spacing w:line="540" w:lineRule="atLeast"/>
      <w:ind w:firstLine="552"/>
    </w:pPr>
    <w:rPr>
      <w:rFonts w:asciiTheme="minorHAnsi" w:hAnsiTheme="minorHAnsi" w:eastAsiaTheme="minorEastAsia"/>
      <w:szCs w:val="28"/>
    </w:rPr>
  </w:style>
  <w:style w:type="paragraph" w:customStyle="1" w:styleId="88">
    <w:name w:val="正文缩进1"/>
    <w:basedOn w:val="10"/>
    <w:link w:val="89"/>
    <w:qFormat/>
    <w:uiPriority w:val="0"/>
    <w:pPr>
      <w:spacing w:beforeLines="50" w:line="288" w:lineRule="auto"/>
      <w:ind w:firstLine="200" w:firstLineChars="200"/>
    </w:pPr>
    <w:rPr>
      <w:szCs w:val="21"/>
    </w:rPr>
  </w:style>
  <w:style w:type="character" w:customStyle="1" w:styleId="89">
    <w:name w:val="正文缩进1 Char1"/>
    <w:link w:val="88"/>
    <w:qFormat/>
    <w:locked/>
    <w:uiPriority w:val="0"/>
    <w:rPr>
      <w:rFonts w:ascii="Times New Roman" w:hAnsi="Times New Roman" w:eastAsia="宋体" w:cs="Times New Roman"/>
      <w:szCs w:val="21"/>
    </w:rPr>
  </w:style>
  <w:style w:type="character" w:customStyle="1" w:styleId="90">
    <w:name w:val="正文文本缩进 3 字符"/>
    <w:basedOn w:val="40"/>
    <w:link w:val="30"/>
    <w:qFormat/>
    <w:uiPriority w:val="0"/>
    <w:rPr>
      <w:sz w:val="16"/>
      <w:szCs w:val="16"/>
    </w:rPr>
  </w:style>
  <w:style w:type="character" w:customStyle="1" w:styleId="91">
    <w:name w:val="正文文本缩进 3 字符1"/>
    <w:basedOn w:val="40"/>
    <w:semiHidden/>
    <w:qFormat/>
    <w:uiPriority w:val="99"/>
    <w:rPr>
      <w:rFonts w:ascii="Times New Roman" w:hAnsi="Times New Roman" w:eastAsia="宋体"/>
      <w:sz w:val="16"/>
      <w:szCs w:val="16"/>
    </w:rPr>
  </w:style>
  <w:style w:type="paragraph" w:customStyle="1" w:styleId="92">
    <w:name w:val="莆田说明书正文"/>
    <w:basedOn w:val="1"/>
    <w:link w:val="93"/>
    <w:qFormat/>
    <w:uiPriority w:val="0"/>
    <w:pPr>
      <w:widowControl/>
      <w:spacing w:before="60" w:after="60"/>
      <w:ind w:firstLine="420" w:firstLineChars="0"/>
    </w:pPr>
    <w:rPr>
      <w:rFonts w:ascii="宋体" w:hAnsi="宋体" w:cs="Times New Roman"/>
      <w:sz w:val="21"/>
      <w:szCs w:val="21"/>
      <w:lang w:val="zh-CN"/>
    </w:rPr>
  </w:style>
  <w:style w:type="character" w:customStyle="1" w:styleId="93">
    <w:name w:val="莆田说明书正文 Char"/>
    <w:link w:val="92"/>
    <w:qFormat/>
    <w:uiPriority w:val="0"/>
    <w:rPr>
      <w:rFonts w:ascii="宋体" w:hAnsi="宋体" w:eastAsia="宋体" w:cs="Times New Roman"/>
      <w:szCs w:val="21"/>
      <w:lang w:val="zh-CN"/>
    </w:rPr>
  </w:style>
  <w:style w:type="character" w:customStyle="1" w:styleId="94">
    <w:name w:val="脚注文本 字符"/>
    <w:basedOn w:val="40"/>
    <w:link w:val="28"/>
    <w:qFormat/>
    <w:uiPriority w:val="0"/>
    <w:rPr>
      <w:rFonts w:ascii="Franklin Gothic Book" w:hAnsi="Franklin Gothic Book" w:eastAsia="黑体"/>
      <w:sz w:val="18"/>
      <w:szCs w:val="18"/>
    </w:rPr>
  </w:style>
  <w:style w:type="character" w:customStyle="1" w:styleId="95">
    <w:name w:val="脚注文本 字符1"/>
    <w:basedOn w:val="40"/>
    <w:semiHidden/>
    <w:qFormat/>
    <w:uiPriority w:val="99"/>
    <w:rPr>
      <w:rFonts w:ascii="Times New Roman" w:hAnsi="Times New Roman" w:eastAsia="宋体"/>
      <w:sz w:val="18"/>
      <w:szCs w:val="18"/>
    </w:rPr>
  </w:style>
  <w:style w:type="character" w:customStyle="1" w:styleId="96">
    <w:name w:val="表格内文 Char"/>
    <w:link w:val="97"/>
    <w:qFormat/>
    <w:uiPriority w:val="0"/>
  </w:style>
  <w:style w:type="paragraph" w:customStyle="1" w:styleId="97">
    <w:name w:val="表格内文"/>
    <w:basedOn w:val="1"/>
    <w:link w:val="96"/>
    <w:qFormat/>
    <w:uiPriority w:val="0"/>
    <w:pPr>
      <w:widowControl/>
      <w:ind w:firstLine="0" w:firstLineChars="0"/>
    </w:pPr>
    <w:rPr>
      <w:rFonts w:asciiTheme="minorHAnsi" w:hAnsiTheme="minorHAnsi" w:eastAsiaTheme="minorEastAsia"/>
      <w:sz w:val="21"/>
    </w:rPr>
  </w:style>
  <w:style w:type="paragraph" w:customStyle="1" w:styleId="98">
    <w:name w:val="资料来源"/>
    <w:basedOn w:val="1"/>
    <w:link w:val="99"/>
    <w:qFormat/>
    <w:uiPriority w:val="0"/>
    <w:pPr>
      <w:ind w:firstLine="0" w:firstLineChars="0"/>
    </w:pPr>
    <w:rPr>
      <w:rFonts w:cs="Times New Roman"/>
      <w:sz w:val="18"/>
      <w:szCs w:val="18"/>
    </w:rPr>
  </w:style>
  <w:style w:type="character" w:customStyle="1" w:styleId="99">
    <w:name w:val="资料来源 Char"/>
    <w:link w:val="98"/>
    <w:qFormat/>
    <w:uiPriority w:val="0"/>
    <w:rPr>
      <w:rFonts w:ascii="Times New Roman" w:hAnsi="Times New Roman" w:eastAsia="宋体" w:cs="Times New Roman"/>
      <w:sz w:val="18"/>
      <w:szCs w:val="18"/>
    </w:rPr>
  </w:style>
  <w:style w:type="paragraph" w:customStyle="1" w:styleId="100">
    <w:name w:val="南京－正文文本"/>
    <w:basedOn w:val="14"/>
    <w:link w:val="101"/>
    <w:qFormat/>
    <w:uiPriority w:val="0"/>
    <w:pPr>
      <w:autoSpaceDE w:val="0"/>
      <w:autoSpaceDN w:val="0"/>
      <w:adjustRightInd w:val="0"/>
      <w:spacing w:after="60" w:line="288" w:lineRule="auto"/>
      <w:ind w:firstLine="200" w:firstLineChars="200"/>
    </w:pPr>
    <w:rPr>
      <w:rFonts w:ascii="宋体" w:hAnsi="宋体"/>
      <w:kern w:val="0"/>
      <w:sz w:val="24"/>
      <w:szCs w:val="21"/>
    </w:rPr>
  </w:style>
  <w:style w:type="character" w:customStyle="1" w:styleId="101">
    <w:name w:val="南京－正文文本 Char"/>
    <w:link w:val="100"/>
    <w:qFormat/>
    <w:uiPriority w:val="0"/>
    <w:rPr>
      <w:rFonts w:ascii="宋体" w:hAnsi="宋体" w:eastAsia="宋体" w:cs="Times New Roman"/>
      <w:kern w:val="0"/>
      <w:sz w:val="24"/>
      <w:szCs w:val="21"/>
    </w:rPr>
  </w:style>
  <w:style w:type="paragraph" w:customStyle="1" w:styleId="102">
    <w:name w:val="A仿宋四号"/>
    <w:basedOn w:val="1"/>
    <w:link w:val="103"/>
    <w:qFormat/>
    <w:uiPriority w:val="0"/>
    <w:pPr>
      <w:spacing w:line="360" w:lineRule="auto"/>
      <w:ind w:firstLine="680"/>
    </w:pPr>
    <w:rPr>
      <w:rFonts w:ascii="仿宋_GB2312" w:hAnsi="Calibri" w:eastAsia="仿宋_GB2312" w:cs="Times New Roman"/>
      <w:spacing w:val="10"/>
      <w:szCs w:val="32"/>
    </w:rPr>
  </w:style>
  <w:style w:type="character" w:customStyle="1" w:styleId="103">
    <w:name w:val="A仿宋四号 Char"/>
    <w:link w:val="102"/>
    <w:qFormat/>
    <w:uiPriority w:val="0"/>
    <w:rPr>
      <w:rFonts w:ascii="仿宋_GB2312" w:hAnsi="Calibri" w:eastAsia="仿宋_GB2312" w:cs="Times New Roman"/>
      <w:spacing w:val="10"/>
      <w:sz w:val="28"/>
      <w:szCs w:val="32"/>
    </w:rPr>
  </w:style>
  <w:style w:type="paragraph" w:styleId="104">
    <w:name w:val="Quote"/>
    <w:basedOn w:val="1"/>
    <w:next w:val="1"/>
    <w:link w:val="105"/>
    <w:qFormat/>
    <w:uiPriority w:val="0"/>
    <w:pPr>
      <w:ind w:firstLine="0" w:firstLineChars="0"/>
    </w:pPr>
    <w:rPr>
      <w:rFonts w:ascii="Franklin Gothic Book" w:hAnsi="Franklin Gothic Book" w:eastAsia="黑体" w:cs="Times New Roman"/>
      <w:i/>
      <w:iCs/>
      <w:color w:val="000000"/>
      <w:sz w:val="21"/>
    </w:rPr>
  </w:style>
  <w:style w:type="character" w:customStyle="1" w:styleId="105">
    <w:name w:val="引用 字符"/>
    <w:basedOn w:val="40"/>
    <w:link w:val="104"/>
    <w:qFormat/>
    <w:uiPriority w:val="0"/>
    <w:rPr>
      <w:rFonts w:ascii="Franklin Gothic Book" w:hAnsi="Franklin Gothic Book" w:eastAsia="黑体" w:cs="Times New Roman"/>
      <w:i/>
      <w:iCs/>
      <w:color w:val="000000"/>
    </w:rPr>
  </w:style>
  <w:style w:type="character" w:customStyle="1" w:styleId="106">
    <w:name w:val="表格 Char"/>
    <w:link w:val="53"/>
    <w:qFormat/>
    <w:uiPriority w:val="0"/>
    <w:rPr>
      <w:rFonts w:ascii="宋体" w:hAnsi="宋体" w:eastAsia="宋体" w:cs="宋体"/>
      <w:kern w:val="0"/>
      <w:sz w:val="22"/>
    </w:rPr>
  </w:style>
  <w:style w:type="paragraph" w:customStyle="1" w:styleId="107">
    <w:name w:val="居中表内文"/>
    <w:basedOn w:val="88"/>
    <w:link w:val="108"/>
    <w:qFormat/>
    <w:uiPriority w:val="0"/>
    <w:pPr>
      <w:spacing w:beforeLines="0" w:line="240" w:lineRule="auto"/>
      <w:ind w:firstLine="0" w:firstLineChars="0"/>
      <w:jc w:val="center"/>
    </w:pPr>
    <w:rPr>
      <w:sz w:val="18"/>
      <w:szCs w:val="20"/>
    </w:rPr>
  </w:style>
  <w:style w:type="character" w:customStyle="1" w:styleId="108">
    <w:name w:val="居中表内文 Char"/>
    <w:link w:val="107"/>
    <w:qFormat/>
    <w:uiPriority w:val="0"/>
    <w:rPr>
      <w:rFonts w:ascii="Times New Roman" w:hAnsi="Times New Roman" w:eastAsia="宋体" w:cs="Times New Roman"/>
      <w:sz w:val="18"/>
      <w:szCs w:val="20"/>
    </w:rPr>
  </w:style>
  <w:style w:type="paragraph" w:customStyle="1" w:styleId="109">
    <w:name w:val="图表标题"/>
    <w:basedOn w:val="88"/>
    <w:next w:val="88"/>
    <w:qFormat/>
    <w:uiPriority w:val="0"/>
    <w:pPr>
      <w:spacing w:beforeLines="0"/>
      <w:ind w:firstLine="0" w:firstLineChars="0"/>
      <w:jc w:val="center"/>
    </w:pPr>
    <w:rPr>
      <w:b/>
      <w:szCs w:val="20"/>
    </w:rPr>
  </w:style>
  <w:style w:type="paragraph" w:customStyle="1" w:styleId="110">
    <w:name w:val="两端对齐表文"/>
    <w:basedOn w:val="1"/>
    <w:link w:val="111"/>
    <w:qFormat/>
    <w:uiPriority w:val="0"/>
    <w:pPr>
      <w:ind w:left="-237" w:leftChars="-113" w:right="260" w:rightChars="124" w:firstLine="0" w:firstLineChars="0"/>
      <w:jc w:val="left"/>
    </w:pPr>
    <w:rPr>
      <w:rFonts w:cs="Times New Roman"/>
      <w:sz w:val="18"/>
      <w:szCs w:val="20"/>
    </w:rPr>
  </w:style>
  <w:style w:type="character" w:customStyle="1" w:styleId="111">
    <w:name w:val="两端对齐表文 Char"/>
    <w:link w:val="110"/>
    <w:qFormat/>
    <w:uiPriority w:val="0"/>
    <w:rPr>
      <w:rFonts w:ascii="Times New Roman" w:hAnsi="Times New Roman" w:eastAsia="宋体" w:cs="Times New Roman"/>
      <w:sz w:val="18"/>
      <w:szCs w:val="20"/>
    </w:rPr>
  </w:style>
  <w:style w:type="paragraph" w:customStyle="1" w:styleId="112">
    <w:name w:val="表格 Char Char1 Char Char Char Char Char Char Char"/>
    <w:qFormat/>
    <w:uiPriority w:val="0"/>
    <w:pPr>
      <w:widowControl w:val="0"/>
      <w:spacing w:line="280" w:lineRule="exact"/>
      <w:ind w:right="-1568"/>
      <w:jc w:val="both"/>
    </w:pPr>
    <w:rPr>
      <w:rFonts w:ascii="Times New Roman" w:hAnsi="Times New Roman" w:eastAsia="宋体" w:cs="Times New Roman"/>
      <w:spacing w:val="-20"/>
      <w:sz w:val="21"/>
      <w:szCs w:val="21"/>
      <w:lang w:val="en-GB" w:eastAsia="zh-CN" w:bidi="ar-SA"/>
    </w:rPr>
  </w:style>
  <w:style w:type="paragraph" w:customStyle="1" w:styleId="113">
    <w:name w:val="Char1 Char Char Char Char Char Char"/>
    <w:basedOn w:val="1"/>
    <w:qFormat/>
    <w:uiPriority w:val="0"/>
    <w:pPr>
      <w:spacing w:line="360" w:lineRule="auto"/>
    </w:pPr>
    <w:rPr>
      <w:rFonts w:ascii="宋体" w:hAnsi="宋体" w:cs="宋体"/>
      <w:sz w:val="24"/>
      <w:szCs w:val="24"/>
    </w:rPr>
  </w:style>
  <w:style w:type="paragraph" w:customStyle="1" w:styleId="114">
    <w:name w:val="Char Char Char Char Char Char"/>
    <w:basedOn w:val="1"/>
    <w:qFormat/>
    <w:uiPriority w:val="0"/>
    <w:pPr>
      <w:ind w:firstLine="0" w:firstLineChars="0"/>
    </w:pPr>
    <w:rPr>
      <w:rFonts w:cs="Times New Roman"/>
      <w:sz w:val="21"/>
      <w:szCs w:val="24"/>
    </w:rPr>
  </w:style>
  <w:style w:type="paragraph" w:customStyle="1" w:styleId="115">
    <w:name w:val="Char1 Char Char Char Char Char Char1"/>
    <w:basedOn w:val="1"/>
    <w:qFormat/>
    <w:uiPriority w:val="0"/>
    <w:pPr>
      <w:ind w:firstLine="0" w:firstLineChars="0"/>
    </w:pPr>
    <w:rPr>
      <w:rFonts w:cs="Times New Roman"/>
      <w:sz w:val="21"/>
      <w:szCs w:val="24"/>
    </w:rPr>
  </w:style>
  <w:style w:type="paragraph" w:customStyle="1" w:styleId="116">
    <w:name w:val="Char11"/>
    <w:basedOn w:val="1"/>
    <w:qFormat/>
    <w:uiPriority w:val="0"/>
    <w:rPr>
      <w:rFonts w:cs="Times New Roman"/>
      <w:sz w:val="21"/>
      <w:szCs w:val="24"/>
    </w:rPr>
  </w:style>
  <w:style w:type="paragraph" w:customStyle="1" w:styleId="117">
    <w:name w:val="正文dr"/>
    <w:basedOn w:val="1"/>
    <w:qFormat/>
    <w:uiPriority w:val="0"/>
    <w:pPr>
      <w:spacing w:beforeLines="50" w:afterLines="50" w:line="288" w:lineRule="auto"/>
      <w:ind w:firstLine="420" w:firstLineChars="0"/>
    </w:pPr>
    <w:rPr>
      <w:rFonts w:cs="Times New Roman"/>
      <w:sz w:val="21"/>
      <w:szCs w:val="24"/>
    </w:rPr>
  </w:style>
  <w:style w:type="paragraph" w:customStyle="1" w:styleId="118">
    <w:name w:val="ry8_表格五号"/>
    <w:qFormat/>
    <w:uiPriority w:val="0"/>
    <w:pPr>
      <w:widowControl w:val="0"/>
      <w:jc w:val="center"/>
    </w:pPr>
    <w:rPr>
      <w:rFonts w:ascii="宋体" w:hAnsi="Times New Roman" w:eastAsia="宋体" w:cs="宋体"/>
      <w:kern w:val="2"/>
      <w:sz w:val="21"/>
      <w:szCs w:val="21"/>
      <w:lang w:val="sq-AL" w:eastAsia="zh-CN" w:bidi="ar-SA"/>
    </w:rPr>
  </w:style>
  <w:style w:type="paragraph" w:customStyle="1" w:styleId="119">
    <w:name w:val="ry91_表头左侧"/>
    <w:qFormat/>
    <w:uiPriority w:val="0"/>
    <w:rPr>
      <w:rFonts w:ascii="宋体" w:hAnsi="Arial" w:eastAsia="宋体" w:cs="Arial"/>
      <w:spacing w:val="-6"/>
      <w:kern w:val="2"/>
      <w:sz w:val="21"/>
      <w:szCs w:val="21"/>
      <w:lang w:val="sq-AL" w:eastAsia="zh-CN" w:bidi="ar-SA"/>
    </w:rPr>
  </w:style>
  <w:style w:type="paragraph" w:customStyle="1" w:styleId="120">
    <w:name w:val="Char1 Char Char Char Char Char Char2"/>
    <w:basedOn w:val="1"/>
    <w:next w:val="1"/>
    <w:qFormat/>
    <w:uiPriority w:val="0"/>
    <w:pPr>
      <w:ind w:firstLine="0" w:firstLineChars="0"/>
    </w:pPr>
    <w:rPr>
      <w:rFonts w:cs="Times New Roman"/>
      <w:sz w:val="21"/>
      <w:szCs w:val="24"/>
    </w:rPr>
  </w:style>
  <w:style w:type="paragraph" w:customStyle="1" w:styleId="121">
    <w:name w:val="表体"/>
    <w:basedOn w:val="1"/>
    <w:qFormat/>
    <w:uiPriority w:val="0"/>
    <w:pPr>
      <w:autoSpaceDE w:val="0"/>
      <w:autoSpaceDN w:val="0"/>
      <w:adjustRightInd w:val="0"/>
      <w:ind w:firstLine="0" w:firstLineChars="0"/>
      <w:jc w:val="center"/>
    </w:pPr>
    <w:rPr>
      <w:rFonts w:cs="Times New Roman"/>
      <w:spacing w:val="-20"/>
      <w:kern w:val="0"/>
      <w:sz w:val="21"/>
      <w:szCs w:val="20"/>
    </w:rPr>
  </w:style>
  <w:style w:type="paragraph" w:customStyle="1" w:styleId="122">
    <w:name w:val="Char1 Char Char Char Char Char Char4"/>
    <w:basedOn w:val="1"/>
    <w:qFormat/>
    <w:uiPriority w:val="0"/>
    <w:pPr>
      <w:spacing w:line="360" w:lineRule="auto"/>
    </w:pPr>
    <w:rPr>
      <w:rFonts w:ascii="宋体" w:hAnsi="宋体" w:cs="宋体"/>
      <w:sz w:val="24"/>
      <w:szCs w:val="24"/>
    </w:rPr>
  </w:style>
  <w:style w:type="paragraph" w:customStyle="1" w:styleId="123">
    <w:name w:val="Char Char Char Char Char Char2"/>
    <w:basedOn w:val="1"/>
    <w:qFormat/>
    <w:uiPriority w:val="0"/>
    <w:pPr>
      <w:ind w:firstLine="0" w:firstLineChars="0"/>
    </w:pPr>
    <w:rPr>
      <w:rFonts w:cs="Times New Roman"/>
      <w:sz w:val="21"/>
      <w:szCs w:val="24"/>
    </w:rPr>
  </w:style>
  <w:style w:type="paragraph" w:customStyle="1" w:styleId="124">
    <w:name w:val="Char1 Char Char Char Char Char Char12"/>
    <w:basedOn w:val="1"/>
    <w:qFormat/>
    <w:uiPriority w:val="0"/>
    <w:pPr>
      <w:ind w:firstLine="0" w:firstLineChars="0"/>
    </w:pPr>
    <w:rPr>
      <w:rFonts w:cs="Times New Roman"/>
      <w:sz w:val="21"/>
      <w:szCs w:val="24"/>
    </w:rPr>
  </w:style>
  <w:style w:type="paragraph" w:customStyle="1" w:styleId="125">
    <w:name w:val="Char13"/>
    <w:basedOn w:val="1"/>
    <w:qFormat/>
    <w:uiPriority w:val="0"/>
    <w:rPr>
      <w:rFonts w:cs="Times New Roman"/>
      <w:sz w:val="21"/>
      <w:szCs w:val="24"/>
    </w:rPr>
  </w:style>
  <w:style w:type="paragraph" w:customStyle="1" w:styleId="126">
    <w:name w:val="默认段落字体 Para Char"/>
    <w:basedOn w:val="1"/>
    <w:qFormat/>
    <w:uiPriority w:val="0"/>
    <w:pPr>
      <w:spacing w:line="360" w:lineRule="auto"/>
    </w:pPr>
    <w:rPr>
      <w:rFonts w:ascii="宋体" w:hAnsi="宋体" w:cs="宋体"/>
      <w:sz w:val="24"/>
      <w:szCs w:val="24"/>
    </w:rPr>
  </w:style>
  <w:style w:type="paragraph" w:customStyle="1" w:styleId="127">
    <w:name w:val="样式 Times New Roman"/>
    <w:basedOn w:val="1"/>
    <w:qFormat/>
    <w:uiPriority w:val="0"/>
    <w:pPr>
      <w:ind w:firstLine="600"/>
    </w:pPr>
    <w:rPr>
      <w:rFonts w:eastAsia="仿宋_GB2312" w:cs="Times New Roman"/>
      <w:szCs w:val="20"/>
    </w:rPr>
  </w:style>
  <w:style w:type="paragraph" w:customStyle="1" w:styleId="128">
    <w:name w:val="Char12"/>
    <w:basedOn w:val="1"/>
    <w:qFormat/>
    <w:uiPriority w:val="0"/>
    <w:rPr>
      <w:rFonts w:cs="Times New Roman"/>
      <w:sz w:val="21"/>
      <w:szCs w:val="24"/>
    </w:rPr>
  </w:style>
  <w:style w:type="character" w:customStyle="1" w:styleId="129">
    <w:name w:val="Char Char1"/>
    <w:qFormat/>
    <w:uiPriority w:val="0"/>
    <w:rPr>
      <w:rFonts w:eastAsia="宋体"/>
      <w:b/>
      <w:bCs/>
      <w:kern w:val="2"/>
      <w:sz w:val="32"/>
      <w:szCs w:val="32"/>
      <w:lang w:val="en-US" w:eastAsia="zh-CN" w:bidi="ar-SA"/>
    </w:rPr>
  </w:style>
  <w:style w:type="character" w:customStyle="1" w:styleId="130">
    <w:name w:val="Char Char6"/>
    <w:qFormat/>
    <w:uiPriority w:val="0"/>
    <w:rPr>
      <w:rFonts w:eastAsia="宋体"/>
      <w:b/>
      <w:bCs/>
      <w:kern w:val="2"/>
      <w:sz w:val="32"/>
      <w:szCs w:val="32"/>
      <w:lang w:val="en-US" w:eastAsia="zh-CN" w:bidi="ar-SA"/>
    </w:rPr>
  </w:style>
  <w:style w:type="paragraph" w:customStyle="1" w:styleId="131">
    <w:name w:val="Char1 Char Char Char Char Char Char3"/>
    <w:basedOn w:val="1"/>
    <w:qFormat/>
    <w:uiPriority w:val="0"/>
    <w:pPr>
      <w:spacing w:line="360" w:lineRule="auto"/>
    </w:pPr>
    <w:rPr>
      <w:rFonts w:ascii="宋体" w:hAnsi="宋体" w:cs="宋体"/>
      <w:sz w:val="24"/>
      <w:szCs w:val="24"/>
    </w:rPr>
  </w:style>
  <w:style w:type="paragraph" w:customStyle="1" w:styleId="132">
    <w:name w:val="Char Char Char Char Char Char1"/>
    <w:basedOn w:val="1"/>
    <w:qFormat/>
    <w:uiPriority w:val="0"/>
    <w:pPr>
      <w:ind w:firstLine="0" w:firstLineChars="0"/>
    </w:pPr>
    <w:rPr>
      <w:rFonts w:cs="Times New Roman"/>
      <w:sz w:val="21"/>
      <w:szCs w:val="24"/>
    </w:rPr>
  </w:style>
  <w:style w:type="paragraph" w:customStyle="1" w:styleId="133">
    <w:name w:val="Char1 Char Char Char Char Char Char11"/>
    <w:basedOn w:val="1"/>
    <w:qFormat/>
    <w:uiPriority w:val="0"/>
    <w:pPr>
      <w:ind w:firstLine="0" w:firstLineChars="0"/>
    </w:pPr>
    <w:rPr>
      <w:rFonts w:cs="Times New Roman"/>
      <w:sz w:val="21"/>
      <w:szCs w:val="24"/>
    </w:rPr>
  </w:style>
  <w:style w:type="paragraph" w:customStyle="1" w:styleId="134">
    <w:name w:val="Char Char Char Char Char Char Char"/>
    <w:basedOn w:val="1"/>
    <w:next w:val="2"/>
    <w:qFormat/>
    <w:uiPriority w:val="0"/>
    <w:pPr>
      <w:ind w:firstLine="0" w:firstLineChars="0"/>
      <w:jc w:val="left"/>
    </w:pPr>
    <w:rPr>
      <w:rFonts w:cs="Times New Roman"/>
      <w:sz w:val="21"/>
      <w:szCs w:val="20"/>
    </w:rPr>
  </w:style>
  <w:style w:type="paragraph" w:customStyle="1" w:styleId="135">
    <w:name w:val="正文 + 四号"/>
    <w:basedOn w:val="1"/>
    <w:qFormat/>
    <w:uiPriority w:val="0"/>
    <w:pPr>
      <w:spacing w:line="540" w:lineRule="atLeast"/>
      <w:ind w:firstLine="560"/>
    </w:pPr>
    <w:rPr>
      <w:rFonts w:cs="Times New Roman"/>
      <w:szCs w:val="28"/>
    </w:rPr>
  </w:style>
  <w:style w:type="paragraph" w:customStyle="1" w:styleId="136">
    <w:name w:val="1"/>
    <w:basedOn w:val="1"/>
    <w:next w:val="15"/>
    <w:qFormat/>
    <w:uiPriority w:val="0"/>
    <w:pPr>
      <w:ind w:firstLine="600"/>
    </w:pPr>
    <w:rPr>
      <w:rFonts w:eastAsia="仿宋_GB2312" w:cs="Times New Roman"/>
      <w:sz w:val="30"/>
      <w:szCs w:val="24"/>
    </w:rPr>
  </w:style>
  <w:style w:type="paragraph" w:customStyle="1" w:styleId="137">
    <w:name w:val="默认段落字体 Para Char Char Char Char Char Char Char"/>
    <w:basedOn w:val="1"/>
    <w:qFormat/>
    <w:uiPriority w:val="0"/>
    <w:pPr>
      <w:adjustRightInd w:val="0"/>
      <w:spacing w:line="360" w:lineRule="auto"/>
      <w:ind w:firstLine="0" w:firstLineChars="0"/>
    </w:pPr>
    <w:rPr>
      <w:rFonts w:cs="Times New Roman"/>
      <w:kern w:val="0"/>
      <w:sz w:val="24"/>
      <w:szCs w:val="20"/>
    </w:rPr>
  </w:style>
  <w:style w:type="paragraph" w:customStyle="1" w:styleId="138">
    <w:name w:val="Char Char Char Char"/>
    <w:basedOn w:val="1"/>
    <w:qFormat/>
    <w:uiPriority w:val="0"/>
    <w:pPr>
      <w:spacing w:line="360" w:lineRule="auto"/>
    </w:pPr>
    <w:rPr>
      <w:rFonts w:ascii="宋体" w:hAnsi="宋体" w:cs="宋体"/>
      <w:sz w:val="24"/>
      <w:szCs w:val="24"/>
    </w:rPr>
  </w:style>
  <w:style w:type="character" w:customStyle="1" w:styleId="139">
    <w:name w:val="正文文本 + Arial Unicode MS7"/>
    <w:qFormat/>
    <w:uiPriority w:val="0"/>
    <w:rPr>
      <w:rFonts w:ascii="Arial Unicode MS" w:eastAsia="Arial Unicode MS" w:cs="Arial Unicode MS"/>
      <w:sz w:val="26"/>
      <w:szCs w:val="26"/>
    </w:rPr>
  </w:style>
  <w:style w:type="paragraph" w:customStyle="1" w:styleId="140">
    <w:name w:val="Char Char Char Char1"/>
    <w:basedOn w:val="1"/>
    <w:qFormat/>
    <w:uiPriority w:val="0"/>
    <w:pPr>
      <w:spacing w:line="360" w:lineRule="auto"/>
    </w:pPr>
    <w:rPr>
      <w:rFonts w:ascii="宋体" w:hAnsi="宋体" w:cs="宋体"/>
      <w:sz w:val="24"/>
      <w:szCs w:val="24"/>
    </w:rPr>
  </w:style>
  <w:style w:type="paragraph" w:customStyle="1" w:styleId="141">
    <w:name w:val="表格标题"/>
    <w:basedOn w:val="1"/>
    <w:next w:val="1"/>
    <w:link w:val="359"/>
    <w:qFormat/>
    <w:uiPriority w:val="0"/>
    <w:pPr>
      <w:keepNext/>
      <w:widowControl/>
      <w:overflowPunct w:val="0"/>
      <w:adjustRightInd w:val="0"/>
      <w:snapToGrid w:val="0"/>
      <w:spacing w:beforeLines="50" w:after="120" w:line="480" w:lineRule="exact"/>
      <w:ind w:firstLine="0" w:firstLineChars="0"/>
      <w:jc w:val="center"/>
      <w:textAlignment w:val="baseline"/>
    </w:pPr>
    <w:rPr>
      <w:rFonts w:ascii="Arial" w:hAnsi="Arial" w:eastAsia="黑体" w:cs="Times New Roman"/>
      <w:kern w:val="0"/>
      <w:sz w:val="24"/>
      <w:szCs w:val="20"/>
    </w:rPr>
  </w:style>
  <w:style w:type="paragraph" w:styleId="142">
    <w:name w:val="List Paragraph"/>
    <w:basedOn w:val="1"/>
    <w:qFormat/>
    <w:uiPriority w:val="1"/>
    <w:pPr>
      <w:ind w:firstLine="420"/>
    </w:pPr>
    <w:rPr>
      <w:rFonts w:cs="Times New Roman"/>
      <w:sz w:val="21"/>
      <w:szCs w:val="24"/>
    </w:rPr>
  </w:style>
  <w:style w:type="paragraph" w:customStyle="1" w:styleId="143">
    <w:name w:val="Char15"/>
    <w:basedOn w:val="1"/>
    <w:qFormat/>
    <w:uiPriority w:val="0"/>
    <w:rPr>
      <w:rFonts w:cs="Times New Roman"/>
      <w:sz w:val="21"/>
      <w:szCs w:val="24"/>
    </w:rPr>
  </w:style>
  <w:style w:type="character" w:customStyle="1" w:styleId="144">
    <w:name w:val="Char Char11"/>
    <w:qFormat/>
    <w:uiPriority w:val="0"/>
    <w:rPr>
      <w:rFonts w:eastAsia="宋体"/>
      <w:b/>
      <w:bCs/>
      <w:kern w:val="2"/>
      <w:sz w:val="32"/>
      <w:szCs w:val="32"/>
      <w:lang w:val="en-US" w:eastAsia="zh-CN" w:bidi="ar-SA"/>
    </w:rPr>
  </w:style>
  <w:style w:type="character" w:customStyle="1" w:styleId="145">
    <w:name w:val="Char Char61"/>
    <w:qFormat/>
    <w:uiPriority w:val="0"/>
    <w:rPr>
      <w:rFonts w:eastAsia="宋体"/>
      <w:b/>
      <w:bCs/>
      <w:kern w:val="2"/>
      <w:sz w:val="32"/>
      <w:szCs w:val="32"/>
      <w:lang w:val="en-US" w:eastAsia="zh-CN" w:bidi="ar-SA"/>
    </w:rPr>
  </w:style>
  <w:style w:type="paragraph" w:customStyle="1" w:styleId="146">
    <w:name w:val="Char1 Char Char Char Char Char Char5"/>
    <w:basedOn w:val="1"/>
    <w:qFormat/>
    <w:uiPriority w:val="0"/>
    <w:pPr>
      <w:spacing w:line="360" w:lineRule="auto"/>
    </w:pPr>
    <w:rPr>
      <w:rFonts w:ascii="宋体" w:hAnsi="宋体" w:cs="宋体"/>
      <w:sz w:val="24"/>
      <w:szCs w:val="24"/>
    </w:rPr>
  </w:style>
  <w:style w:type="paragraph" w:customStyle="1" w:styleId="147">
    <w:name w:val="Char Char Char Char Char Char3"/>
    <w:basedOn w:val="1"/>
    <w:qFormat/>
    <w:uiPriority w:val="0"/>
    <w:pPr>
      <w:ind w:firstLine="0" w:firstLineChars="0"/>
    </w:pPr>
    <w:rPr>
      <w:rFonts w:cs="Times New Roman"/>
      <w:sz w:val="21"/>
      <w:szCs w:val="24"/>
    </w:rPr>
  </w:style>
  <w:style w:type="paragraph" w:customStyle="1" w:styleId="148">
    <w:name w:val="Char1 Char Char Char Char Char Char13"/>
    <w:basedOn w:val="1"/>
    <w:qFormat/>
    <w:uiPriority w:val="0"/>
    <w:pPr>
      <w:ind w:firstLine="0" w:firstLineChars="0"/>
    </w:pPr>
    <w:rPr>
      <w:rFonts w:cs="Times New Roman"/>
      <w:sz w:val="21"/>
      <w:szCs w:val="24"/>
    </w:rPr>
  </w:style>
  <w:style w:type="paragraph" w:customStyle="1" w:styleId="149">
    <w:name w:val="Char Char Char Char2"/>
    <w:basedOn w:val="1"/>
    <w:qFormat/>
    <w:uiPriority w:val="0"/>
    <w:pPr>
      <w:spacing w:line="360" w:lineRule="auto"/>
    </w:pPr>
    <w:rPr>
      <w:rFonts w:ascii="宋体" w:hAnsi="宋体" w:cs="宋体"/>
      <w:sz w:val="24"/>
      <w:szCs w:val="24"/>
    </w:rPr>
  </w:style>
  <w:style w:type="paragraph" w:customStyle="1" w:styleId="150">
    <w:name w:val="Char14"/>
    <w:basedOn w:val="1"/>
    <w:qFormat/>
    <w:uiPriority w:val="0"/>
    <w:rPr>
      <w:rFonts w:cs="Times New Roman"/>
      <w:sz w:val="21"/>
      <w:szCs w:val="24"/>
    </w:rPr>
  </w:style>
  <w:style w:type="paragraph" w:customStyle="1" w:styleId="151">
    <w:name w:val="font5"/>
    <w:basedOn w:val="1"/>
    <w:qFormat/>
    <w:uiPriority w:val="0"/>
    <w:pPr>
      <w:widowControl/>
      <w:spacing w:before="100" w:beforeAutospacing="1" w:after="100" w:afterAutospacing="1"/>
      <w:ind w:firstLine="0" w:firstLineChars="0"/>
      <w:jc w:val="left"/>
    </w:pPr>
    <w:rPr>
      <w:rFonts w:ascii="宋体" w:hAnsi="宋体" w:cs="宋体"/>
      <w:kern w:val="0"/>
      <w:sz w:val="18"/>
      <w:szCs w:val="18"/>
    </w:rPr>
  </w:style>
  <w:style w:type="paragraph" w:customStyle="1" w:styleId="152">
    <w:name w:val="font6"/>
    <w:basedOn w:val="1"/>
    <w:qFormat/>
    <w:uiPriority w:val="0"/>
    <w:pPr>
      <w:widowControl/>
      <w:spacing w:before="100" w:beforeAutospacing="1" w:after="100" w:afterAutospacing="1"/>
      <w:ind w:firstLine="0" w:firstLineChars="0"/>
      <w:jc w:val="left"/>
    </w:pPr>
    <w:rPr>
      <w:rFonts w:ascii="宋体" w:hAnsi="宋体" w:cs="宋体"/>
      <w:kern w:val="0"/>
      <w:sz w:val="20"/>
      <w:szCs w:val="20"/>
    </w:rPr>
  </w:style>
  <w:style w:type="paragraph" w:customStyle="1" w:styleId="153">
    <w:name w:val="font7"/>
    <w:basedOn w:val="1"/>
    <w:qFormat/>
    <w:uiPriority w:val="0"/>
    <w:pPr>
      <w:widowControl/>
      <w:spacing w:before="100" w:beforeAutospacing="1" w:after="100" w:afterAutospacing="1"/>
      <w:ind w:firstLine="0" w:firstLineChars="0"/>
      <w:jc w:val="left"/>
    </w:pPr>
    <w:rPr>
      <w:rFonts w:ascii="宋体" w:hAnsi="宋体" w:cs="宋体"/>
      <w:b/>
      <w:bCs/>
      <w:kern w:val="0"/>
      <w:sz w:val="20"/>
      <w:szCs w:val="20"/>
    </w:rPr>
  </w:style>
  <w:style w:type="paragraph" w:customStyle="1" w:styleId="154">
    <w:name w:val="font8"/>
    <w:basedOn w:val="1"/>
    <w:qFormat/>
    <w:uiPriority w:val="0"/>
    <w:pPr>
      <w:widowControl/>
      <w:spacing w:before="100" w:beforeAutospacing="1" w:after="100" w:afterAutospacing="1"/>
      <w:ind w:firstLine="0" w:firstLineChars="0"/>
      <w:jc w:val="left"/>
    </w:pPr>
    <w:rPr>
      <w:rFonts w:ascii="宋体" w:hAnsi="宋体" w:cs="宋体"/>
      <w:b/>
      <w:bCs/>
      <w:color w:val="FF0000"/>
      <w:kern w:val="0"/>
      <w:sz w:val="20"/>
      <w:szCs w:val="20"/>
    </w:rPr>
  </w:style>
  <w:style w:type="paragraph" w:customStyle="1" w:styleId="155">
    <w:name w:val="font9"/>
    <w:basedOn w:val="1"/>
    <w:qFormat/>
    <w:uiPriority w:val="0"/>
    <w:pPr>
      <w:widowControl/>
      <w:spacing w:before="100" w:beforeAutospacing="1" w:after="100" w:afterAutospacing="1"/>
      <w:ind w:firstLine="0" w:firstLineChars="0"/>
      <w:jc w:val="left"/>
    </w:pPr>
    <w:rPr>
      <w:rFonts w:ascii="宋体" w:hAnsi="宋体" w:cs="宋体"/>
      <w:color w:val="FF0000"/>
      <w:kern w:val="0"/>
      <w:sz w:val="20"/>
      <w:szCs w:val="20"/>
    </w:rPr>
  </w:style>
  <w:style w:type="paragraph" w:customStyle="1" w:styleId="156">
    <w:name w:val="font10"/>
    <w:basedOn w:val="1"/>
    <w:qFormat/>
    <w:uiPriority w:val="0"/>
    <w:pPr>
      <w:widowControl/>
      <w:spacing w:before="100" w:beforeAutospacing="1" w:after="100" w:afterAutospacing="1"/>
      <w:ind w:firstLine="0" w:firstLineChars="0"/>
      <w:jc w:val="left"/>
    </w:pPr>
    <w:rPr>
      <w:rFonts w:ascii="宋体" w:hAnsi="宋体" w:cs="宋体"/>
      <w:color w:val="FF0000"/>
      <w:kern w:val="0"/>
      <w:sz w:val="20"/>
      <w:szCs w:val="20"/>
    </w:rPr>
  </w:style>
  <w:style w:type="paragraph" w:customStyle="1" w:styleId="157">
    <w:name w:val="font11"/>
    <w:basedOn w:val="1"/>
    <w:qFormat/>
    <w:uiPriority w:val="0"/>
    <w:pPr>
      <w:widowControl/>
      <w:spacing w:before="100" w:beforeAutospacing="1" w:after="100" w:afterAutospacing="1"/>
      <w:ind w:firstLine="0" w:firstLineChars="0"/>
      <w:jc w:val="left"/>
    </w:pPr>
    <w:rPr>
      <w:rFonts w:cs="Times New Roman"/>
      <w:b/>
      <w:bCs/>
      <w:kern w:val="0"/>
      <w:sz w:val="20"/>
      <w:szCs w:val="20"/>
    </w:rPr>
  </w:style>
  <w:style w:type="paragraph" w:customStyle="1" w:styleId="158">
    <w:name w:val="font12"/>
    <w:basedOn w:val="1"/>
    <w:qFormat/>
    <w:uiPriority w:val="0"/>
    <w:pPr>
      <w:widowControl/>
      <w:spacing w:before="100" w:beforeAutospacing="1" w:after="100" w:afterAutospacing="1"/>
      <w:ind w:firstLine="0" w:firstLineChars="0"/>
      <w:jc w:val="left"/>
    </w:pPr>
    <w:rPr>
      <w:rFonts w:cs="Times New Roman"/>
      <w:kern w:val="0"/>
      <w:sz w:val="20"/>
      <w:szCs w:val="20"/>
    </w:rPr>
  </w:style>
  <w:style w:type="paragraph" w:customStyle="1" w:styleId="159">
    <w:name w:val="font13"/>
    <w:basedOn w:val="1"/>
    <w:qFormat/>
    <w:uiPriority w:val="0"/>
    <w:pPr>
      <w:widowControl/>
      <w:spacing w:before="100" w:beforeAutospacing="1" w:after="100" w:afterAutospacing="1"/>
      <w:ind w:firstLine="0" w:firstLineChars="0"/>
      <w:jc w:val="left"/>
    </w:pPr>
    <w:rPr>
      <w:rFonts w:cs="Times New Roman"/>
      <w:color w:val="FF0000"/>
      <w:kern w:val="0"/>
      <w:sz w:val="20"/>
      <w:szCs w:val="20"/>
    </w:rPr>
  </w:style>
  <w:style w:type="paragraph" w:customStyle="1" w:styleId="160">
    <w:name w:val="font14"/>
    <w:basedOn w:val="1"/>
    <w:qFormat/>
    <w:uiPriority w:val="0"/>
    <w:pPr>
      <w:widowControl/>
      <w:spacing w:before="100" w:beforeAutospacing="1" w:after="100" w:afterAutospacing="1"/>
      <w:ind w:firstLine="0" w:firstLineChars="0"/>
      <w:jc w:val="left"/>
    </w:pPr>
    <w:rPr>
      <w:rFonts w:cs="Times New Roman"/>
      <w:color w:val="FF0000"/>
      <w:kern w:val="0"/>
      <w:sz w:val="20"/>
      <w:szCs w:val="20"/>
    </w:rPr>
  </w:style>
  <w:style w:type="paragraph" w:customStyle="1" w:styleId="161">
    <w:name w:val="font15"/>
    <w:basedOn w:val="1"/>
    <w:qFormat/>
    <w:uiPriority w:val="0"/>
    <w:pPr>
      <w:widowControl/>
      <w:spacing w:before="100" w:beforeAutospacing="1" w:after="100" w:afterAutospacing="1"/>
      <w:ind w:firstLine="0" w:firstLineChars="0"/>
      <w:jc w:val="left"/>
    </w:pPr>
    <w:rPr>
      <w:rFonts w:cs="Times New Roman"/>
      <w:kern w:val="0"/>
      <w:sz w:val="20"/>
      <w:szCs w:val="20"/>
    </w:rPr>
  </w:style>
  <w:style w:type="paragraph" w:customStyle="1" w:styleId="162">
    <w:name w:val="xl65"/>
    <w:basedOn w:val="1"/>
    <w:qFormat/>
    <w:uiPriority w:val="0"/>
    <w:pPr>
      <w:widowControl/>
      <w:spacing w:before="100" w:beforeAutospacing="1" w:after="100" w:afterAutospacing="1"/>
      <w:ind w:firstLine="0" w:firstLineChars="0"/>
      <w:jc w:val="left"/>
      <w:textAlignment w:val="center"/>
    </w:pPr>
    <w:rPr>
      <w:rFonts w:ascii="宋体" w:hAnsi="宋体" w:cs="宋体"/>
      <w:kern w:val="0"/>
      <w:sz w:val="24"/>
      <w:szCs w:val="24"/>
    </w:rPr>
  </w:style>
  <w:style w:type="paragraph" w:customStyle="1" w:styleId="163">
    <w:name w:val="xl66"/>
    <w:basedOn w:val="1"/>
    <w:qFormat/>
    <w:uiPriority w:val="0"/>
    <w:pPr>
      <w:widowControl/>
      <w:spacing w:before="100" w:beforeAutospacing="1" w:after="100" w:afterAutospacing="1"/>
      <w:ind w:firstLine="0" w:firstLineChars="0"/>
      <w:jc w:val="left"/>
      <w:textAlignment w:val="center"/>
    </w:pPr>
    <w:rPr>
      <w:rFonts w:ascii="宋体" w:hAnsi="宋体" w:cs="宋体"/>
      <w:kern w:val="0"/>
      <w:sz w:val="24"/>
      <w:szCs w:val="24"/>
    </w:rPr>
  </w:style>
  <w:style w:type="paragraph" w:customStyle="1" w:styleId="1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kern w:val="0"/>
      <w:sz w:val="20"/>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cs="Times New Roman"/>
      <w:b/>
      <w:bCs/>
      <w:kern w:val="0"/>
      <w:sz w:val="20"/>
      <w:szCs w:val="20"/>
    </w:rPr>
  </w:style>
  <w:style w:type="paragraph" w:customStyle="1" w:styleId="16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kern w:val="0"/>
      <w:sz w:val="20"/>
      <w:szCs w:val="20"/>
    </w:rPr>
  </w:style>
  <w:style w:type="paragraph" w:customStyle="1" w:styleId="1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kern w:val="0"/>
      <w:sz w:val="20"/>
      <w:szCs w:val="20"/>
    </w:rPr>
  </w:style>
  <w:style w:type="paragraph" w:customStyle="1" w:styleId="16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kern w:val="0"/>
      <w:sz w:val="20"/>
      <w:szCs w:val="20"/>
    </w:rPr>
  </w:style>
  <w:style w:type="paragraph" w:customStyle="1" w:styleId="16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0"/>
      <w:szCs w:val="20"/>
    </w:rPr>
  </w:style>
  <w:style w:type="paragraph" w:customStyle="1" w:styleId="1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0"/>
      <w:szCs w:val="20"/>
    </w:rPr>
  </w:style>
  <w:style w:type="paragraph" w:customStyle="1" w:styleId="17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color w:val="FF0000"/>
      <w:kern w:val="0"/>
      <w:sz w:val="20"/>
      <w:szCs w:val="20"/>
    </w:rPr>
  </w:style>
  <w:style w:type="paragraph" w:customStyle="1" w:styleId="172">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0"/>
      <w:szCs w:val="20"/>
    </w:rPr>
  </w:style>
  <w:style w:type="paragraph" w:customStyle="1" w:styleId="1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cs="Times New Roman"/>
      <w:kern w:val="0"/>
      <w:sz w:val="20"/>
      <w:szCs w:val="20"/>
    </w:rPr>
  </w:style>
  <w:style w:type="paragraph" w:customStyle="1" w:styleId="1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cs="Times New Roman"/>
      <w:kern w:val="0"/>
      <w:sz w:val="20"/>
      <w:szCs w:val="20"/>
    </w:rPr>
  </w:style>
  <w:style w:type="paragraph" w:customStyle="1" w:styleId="1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4"/>
      <w:szCs w:val="24"/>
    </w:rPr>
  </w:style>
  <w:style w:type="paragraph" w:customStyle="1" w:styleId="1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4"/>
      <w:szCs w:val="24"/>
    </w:rPr>
  </w:style>
  <w:style w:type="paragraph" w:customStyle="1" w:styleId="1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cs="Times New Roman"/>
      <w:kern w:val="0"/>
      <w:sz w:val="24"/>
      <w:szCs w:val="24"/>
    </w:rPr>
  </w:style>
  <w:style w:type="paragraph" w:customStyle="1" w:styleId="1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cs="Times New Roman"/>
      <w:kern w:val="0"/>
      <w:sz w:val="24"/>
      <w:szCs w:val="24"/>
    </w:rPr>
  </w:style>
  <w:style w:type="paragraph" w:customStyle="1" w:styleId="179">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cs="宋体"/>
      <w:b/>
      <w:bCs/>
      <w:kern w:val="0"/>
      <w:sz w:val="20"/>
      <w:szCs w:val="20"/>
    </w:rPr>
  </w:style>
  <w:style w:type="paragraph" w:customStyle="1" w:styleId="18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color w:val="FF0000"/>
      <w:kern w:val="0"/>
      <w:sz w:val="20"/>
      <w:szCs w:val="20"/>
    </w:rPr>
  </w:style>
  <w:style w:type="paragraph" w:customStyle="1" w:styleId="18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cs="Times New Roman"/>
      <w:b/>
      <w:bCs/>
      <w:color w:val="FF0000"/>
      <w:kern w:val="0"/>
      <w:sz w:val="20"/>
      <w:szCs w:val="20"/>
    </w:rPr>
  </w:style>
  <w:style w:type="paragraph" w:customStyle="1" w:styleId="182">
    <w:name w:val="xl85"/>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cs="Times New Roman"/>
      <w:b/>
      <w:bCs/>
      <w:color w:val="FF0000"/>
      <w:kern w:val="0"/>
      <w:sz w:val="20"/>
      <w:szCs w:val="20"/>
    </w:rPr>
  </w:style>
  <w:style w:type="paragraph" w:customStyle="1" w:styleId="183">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color w:val="FF0000"/>
      <w:kern w:val="0"/>
      <w:sz w:val="20"/>
      <w:szCs w:val="20"/>
    </w:rPr>
  </w:style>
  <w:style w:type="paragraph" w:customStyle="1" w:styleId="184">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b/>
      <w:bCs/>
      <w:kern w:val="0"/>
      <w:sz w:val="20"/>
      <w:szCs w:val="20"/>
    </w:rPr>
  </w:style>
  <w:style w:type="paragraph" w:customStyle="1" w:styleId="185">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kern w:val="0"/>
      <w:sz w:val="20"/>
      <w:szCs w:val="20"/>
    </w:rPr>
  </w:style>
  <w:style w:type="paragraph" w:customStyle="1" w:styleId="186">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ascii="宋体" w:hAnsi="宋体" w:cs="宋体"/>
      <w:color w:val="FF0000"/>
      <w:kern w:val="0"/>
      <w:sz w:val="20"/>
      <w:szCs w:val="20"/>
    </w:rPr>
  </w:style>
  <w:style w:type="paragraph" w:customStyle="1" w:styleId="187">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color w:val="FF0000"/>
      <w:kern w:val="0"/>
      <w:sz w:val="20"/>
      <w:szCs w:val="20"/>
    </w:rPr>
  </w:style>
  <w:style w:type="paragraph" w:customStyle="1" w:styleId="188">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0"/>
      <w:szCs w:val="20"/>
    </w:rPr>
  </w:style>
  <w:style w:type="paragraph" w:customStyle="1" w:styleId="189">
    <w:name w:val="xl92"/>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0"/>
      <w:szCs w:val="20"/>
    </w:rPr>
  </w:style>
  <w:style w:type="paragraph" w:customStyle="1" w:styleId="190">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0"/>
      <w:szCs w:val="20"/>
    </w:rPr>
  </w:style>
  <w:style w:type="paragraph" w:customStyle="1" w:styleId="19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cs="Times New Roman"/>
      <w:b/>
      <w:bCs/>
      <w:kern w:val="0"/>
      <w:sz w:val="20"/>
      <w:szCs w:val="20"/>
    </w:rPr>
  </w:style>
  <w:style w:type="paragraph" w:customStyle="1" w:styleId="192">
    <w:name w:val="xl95"/>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0"/>
      <w:szCs w:val="20"/>
    </w:rPr>
  </w:style>
  <w:style w:type="paragraph" w:customStyle="1" w:styleId="19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0"/>
      <w:szCs w:val="20"/>
    </w:rPr>
  </w:style>
  <w:style w:type="paragraph" w:customStyle="1" w:styleId="19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color w:val="FF0000"/>
      <w:kern w:val="0"/>
      <w:sz w:val="20"/>
      <w:szCs w:val="20"/>
    </w:rPr>
  </w:style>
  <w:style w:type="paragraph" w:customStyle="1" w:styleId="195">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4"/>
      <w:szCs w:val="24"/>
    </w:rPr>
  </w:style>
  <w:style w:type="paragraph" w:customStyle="1" w:styleId="196">
    <w:name w:val="xl99"/>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4"/>
      <w:szCs w:val="24"/>
    </w:rPr>
  </w:style>
  <w:style w:type="paragraph" w:customStyle="1" w:styleId="197">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4"/>
      <w:szCs w:val="24"/>
    </w:rPr>
  </w:style>
  <w:style w:type="paragraph" w:customStyle="1" w:styleId="198">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cs="Times New Roman"/>
      <w:color w:val="FF0000"/>
      <w:kern w:val="0"/>
      <w:sz w:val="20"/>
      <w:szCs w:val="20"/>
    </w:rPr>
  </w:style>
  <w:style w:type="paragraph" w:customStyle="1" w:styleId="199">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color w:val="FF0000"/>
      <w:kern w:val="0"/>
      <w:sz w:val="20"/>
      <w:szCs w:val="20"/>
    </w:rPr>
  </w:style>
  <w:style w:type="paragraph" w:customStyle="1" w:styleId="20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color w:val="FF0000"/>
      <w:kern w:val="0"/>
      <w:sz w:val="20"/>
      <w:szCs w:val="20"/>
    </w:rPr>
  </w:style>
  <w:style w:type="paragraph" w:customStyle="1" w:styleId="20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color w:val="FF0000"/>
      <w:kern w:val="0"/>
      <w:sz w:val="24"/>
      <w:szCs w:val="24"/>
    </w:rPr>
  </w:style>
  <w:style w:type="paragraph" w:customStyle="1" w:styleId="20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ind w:firstLine="0" w:firstLineChars="0"/>
      <w:jc w:val="center"/>
      <w:textAlignment w:val="center"/>
    </w:pPr>
    <w:rPr>
      <w:rFonts w:cs="Times New Roman"/>
      <w:b/>
      <w:bCs/>
      <w:kern w:val="0"/>
      <w:sz w:val="20"/>
      <w:szCs w:val="20"/>
    </w:rPr>
  </w:style>
  <w:style w:type="paragraph" w:customStyle="1" w:styleId="203">
    <w:name w:val="xl106"/>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cs="Times New Roman"/>
      <w:b/>
      <w:bCs/>
      <w:kern w:val="0"/>
      <w:sz w:val="20"/>
      <w:szCs w:val="20"/>
    </w:rPr>
  </w:style>
  <w:style w:type="paragraph" w:customStyle="1" w:styleId="204">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cs="Times New Roman"/>
      <w:color w:val="FF0000"/>
      <w:kern w:val="0"/>
      <w:sz w:val="20"/>
      <w:szCs w:val="20"/>
    </w:rPr>
  </w:style>
  <w:style w:type="paragraph" w:customStyle="1" w:styleId="205">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color w:val="FF0000"/>
      <w:kern w:val="0"/>
      <w:sz w:val="20"/>
      <w:szCs w:val="20"/>
    </w:rPr>
  </w:style>
  <w:style w:type="paragraph" w:customStyle="1" w:styleId="206">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0"/>
      <w:szCs w:val="20"/>
    </w:rPr>
  </w:style>
  <w:style w:type="paragraph" w:customStyle="1" w:styleId="207">
    <w:name w:val="表格内容"/>
    <w:basedOn w:val="1"/>
    <w:link w:val="208"/>
    <w:qFormat/>
    <w:uiPriority w:val="0"/>
    <w:pPr>
      <w:overflowPunct w:val="0"/>
      <w:adjustRightInd w:val="0"/>
      <w:spacing w:before="40" w:after="60" w:line="200" w:lineRule="atLeast"/>
      <w:ind w:firstLine="0" w:firstLineChars="0"/>
      <w:textAlignment w:val="baseline"/>
    </w:pPr>
    <w:rPr>
      <w:rFonts w:ascii="Arial" w:hAnsi="Arial" w:eastAsia="仿宋_GB2312" w:cs="Times New Roman"/>
      <w:kern w:val="0"/>
      <w:sz w:val="24"/>
      <w:szCs w:val="20"/>
    </w:rPr>
  </w:style>
  <w:style w:type="character" w:customStyle="1" w:styleId="208">
    <w:name w:val="表格内容 Char"/>
    <w:link w:val="207"/>
    <w:qFormat/>
    <w:uiPriority w:val="0"/>
    <w:rPr>
      <w:rFonts w:ascii="Arial" w:hAnsi="Arial" w:eastAsia="仿宋_GB2312" w:cs="Times New Roman"/>
      <w:kern w:val="0"/>
      <w:sz w:val="24"/>
      <w:szCs w:val="20"/>
    </w:rPr>
  </w:style>
  <w:style w:type="paragraph" w:customStyle="1" w:styleId="209">
    <w:name w:val="Char17"/>
    <w:basedOn w:val="1"/>
    <w:qFormat/>
    <w:uiPriority w:val="0"/>
    <w:rPr>
      <w:rFonts w:cs="Times New Roman"/>
      <w:sz w:val="21"/>
      <w:szCs w:val="24"/>
    </w:rPr>
  </w:style>
  <w:style w:type="paragraph" w:customStyle="1" w:styleId="210">
    <w:name w:val="列出段落2"/>
    <w:basedOn w:val="1"/>
    <w:qFormat/>
    <w:uiPriority w:val="0"/>
    <w:pPr>
      <w:ind w:firstLine="420"/>
    </w:pPr>
    <w:rPr>
      <w:rFonts w:cs="Times New Roman"/>
      <w:sz w:val="21"/>
      <w:szCs w:val="24"/>
    </w:rPr>
  </w:style>
  <w:style w:type="paragraph" w:customStyle="1" w:styleId="211">
    <w:name w:val="Char3"/>
    <w:basedOn w:val="1"/>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paragraph" w:customStyle="1" w:styleId="212">
    <w:name w:val="Char16"/>
    <w:basedOn w:val="1"/>
    <w:qFormat/>
    <w:uiPriority w:val="0"/>
    <w:rPr>
      <w:rFonts w:cs="Times New Roman"/>
      <w:sz w:val="21"/>
      <w:szCs w:val="24"/>
    </w:rPr>
  </w:style>
  <w:style w:type="paragraph" w:customStyle="1" w:styleId="213">
    <w:name w:val="Char2"/>
    <w:basedOn w:val="1"/>
    <w:qFormat/>
    <w:uiPriority w:val="0"/>
    <w:pPr>
      <w:tabs>
        <w:tab w:val="left" w:pos="1320"/>
        <w:tab w:val="left" w:pos="1418"/>
      </w:tabs>
      <w:ind w:left="1418" w:hanging="1418" w:firstLineChars="0"/>
    </w:pPr>
    <w:rPr>
      <w:rFonts w:eastAsia="仿宋_GB2312" w:cs="Times New Roman"/>
      <w:sz w:val="30"/>
      <w:szCs w:val="24"/>
    </w:rPr>
  </w:style>
  <w:style w:type="character" w:customStyle="1" w:styleId="214">
    <w:name w:val="apple-converted-space"/>
    <w:basedOn w:val="40"/>
    <w:qFormat/>
    <w:uiPriority w:val="0"/>
  </w:style>
  <w:style w:type="paragraph" w:customStyle="1" w:styleId="215">
    <w:name w:val="+正文"/>
    <w:basedOn w:val="1"/>
    <w:link w:val="216"/>
    <w:qFormat/>
    <w:uiPriority w:val="0"/>
    <w:pPr>
      <w:spacing w:line="360" w:lineRule="auto"/>
    </w:pPr>
    <w:rPr>
      <w:rFonts w:cs="Times New Roman"/>
      <w:sz w:val="24"/>
      <w:szCs w:val="28"/>
    </w:rPr>
  </w:style>
  <w:style w:type="character" w:customStyle="1" w:styleId="216">
    <w:name w:val="+正文 Char"/>
    <w:link w:val="215"/>
    <w:qFormat/>
    <w:locked/>
    <w:uiPriority w:val="0"/>
    <w:rPr>
      <w:rFonts w:ascii="Times New Roman" w:hAnsi="Times New Roman" w:eastAsia="宋体" w:cs="Times New Roman"/>
      <w:sz w:val="24"/>
      <w:szCs w:val="28"/>
    </w:rPr>
  </w:style>
  <w:style w:type="character" w:customStyle="1" w:styleId="217">
    <w:name w:val="批注文字 字符"/>
    <w:basedOn w:val="40"/>
    <w:link w:val="13"/>
    <w:qFormat/>
    <w:uiPriority w:val="99"/>
    <w:rPr>
      <w:rFonts w:ascii="Times New Roman" w:hAnsi="Times New Roman" w:eastAsia="宋体" w:cs="Times New Roman"/>
      <w:szCs w:val="24"/>
    </w:rPr>
  </w:style>
  <w:style w:type="character" w:customStyle="1" w:styleId="218">
    <w:name w:val="批注主题 字符"/>
    <w:basedOn w:val="217"/>
    <w:link w:val="35"/>
    <w:qFormat/>
    <w:uiPriority w:val="99"/>
    <w:rPr>
      <w:rFonts w:ascii="Times New Roman" w:hAnsi="Times New Roman" w:eastAsia="宋体" w:cs="Times New Roman"/>
      <w:b/>
      <w:bCs/>
      <w:szCs w:val="24"/>
    </w:rPr>
  </w:style>
  <w:style w:type="paragraph" w:customStyle="1" w:styleId="219">
    <w:name w:val="Char18"/>
    <w:basedOn w:val="1"/>
    <w:qFormat/>
    <w:uiPriority w:val="0"/>
    <w:rPr>
      <w:rFonts w:cs="Times New Roman"/>
      <w:sz w:val="21"/>
      <w:szCs w:val="24"/>
    </w:rPr>
  </w:style>
  <w:style w:type="table" w:customStyle="1" w:styleId="220">
    <w:name w:val="TableGrid"/>
    <w:qFormat/>
    <w:uiPriority w:val="0"/>
    <w:tblPr>
      <w:tblCellMar>
        <w:top w:w="0" w:type="dxa"/>
        <w:left w:w="0" w:type="dxa"/>
        <w:bottom w:w="0" w:type="dxa"/>
        <w:right w:w="0" w:type="dxa"/>
      </w:tblCellMar>
    </w:tblPr>
  </w:style>
  <w:style w:type="paragraph" w:customStyle="1" w:styleId="221">
    <w:name w:val="表数据"/>
    <w:basedOn w:val="18"/>
    <w:next w:val="26"/>
    <w:qFormat/>
    <w:uiPriority w:val="0"/>
    <w:pPr>
      <w:spacing w:line="360" w:lineRule="atLeast"/>
      <w:jc w:val="center"/>
    </w:pPr>
    <w:rPr>
      <w:rFonts w:hint="eastAsia"/>
    </w:rPr>
  </w:style>
  <w:style w:type="character" w:customStyle="1" w:styleId="222">
    <w:name w:val="正文文本缩进 2 字符"/>
    <w:basedOn w:val="40"/>
    <w:link w:val="21"/>
    <w:qFormat/>
    <w:uiPriority w:val="0"/>
    <w:rPr>
      <w:rFonts w:ascii="Times New Roman" w:hAnsi="Times New Roman" w:eastAsia="宋体" w:cs="Times New Roman"/>
      <w:szCs w:val="24"/>
    </w:rPr>
  </w:style>
  <w:style w:type="paragraph" w:customStyle="1" w:styleId="223">
    <w:name w:val="0说明正文"/>
    <w:basedOn w:val="1"/>
    <w:link w:val="224"/>
    <w:qFormat/>
    <w:uiPriority w:val="0"/>
    <w:pPr>
      <w:spacing w:beforeLines="50" w:afterLines="50"/>
    </w:pPr>
    <w:rPr>
      <w:rFonts w:cs="宋体"/>
      <w:sz w:val="21"/>
      <w:szCs w:val="20"/>
    </w:rPr>
  </w:style>
  <w:style w:type="character" w:customStyle="1" w:styleId="224">
    <w:name w:val="0说明正文 Char"/>
    <w:basedOn w:val="40"/>
    <w:link w:val="223"/>
    <w:qFormat/>
    <w:uiPriority w:val="0"/>
    <w:rPr>
      <w:rFonts w:ascii="Times New Roman" w:hAnsi="Times New Roman" w:eastAsia="宋体" w:cs="宋体"/>
      <w:szCs w:val="20"/>
    </w:rPr>
  </w:style>
  <w:style w:type="character" w:customStyle="1" w:styleId="225">
    <w:name w:val="标题 8 字符"/>
    <w:basedOn w:val="40"/>
    <w:link w:val="8"/>
    <w:semiHidden/>
    <w:qFormat/>
    <w:uiPriority w:val="0"/>
    <w:rPr>
      <w:rFonts w:ascii="Cambria" w:hAnsi="Cambria" w:eastAsia="宋体" w:cs="Times New Roman"/>
      <w:kern w:val="2"/>
      <w:sz w:val="24"/>
      <w:szCs w:val="24"/>
    </w:rPr>
  </w:style>
  <w:style w:type="paragraph" w:customStyle="1" w:styleId="226">
    <w:name w:val="Char19"/>
    <w:basedOn w:val="1"/>
    <w:qFormat/>
    <w:uiPriority w:val="0"/>
    <w:rPr>
      <w:rFonts w:cs="Times New Roman"/>
      <w:sz w:val="21"/>
      <w:szCs w:val="24"/>
    </w:rPr>
  </w:style>
  <w:style w:type="character" w:customStyle="1" w:styleId="227">
    <w:name w:val="尾注文本 字符"/>
    <w:basedOn w:val="40"/>
    <w:link w:val="22"/>
    <w:semiHidden/>
    <w:qFormat/>
    <w:uiPriority w:val="0"/>
    <w:rPr>
      <w:rFonts w:ascii="Times New Roman" w:hAnsi="Times New Roman" w:eastAsia="宋体" w:cs="Times New Roman"/>
      <w:szCs w:val="24"/>
    </w:rPr>
  </w:style>
  <w:style w:type="paragraph" w:customStyle="1" w:styleId="228">
    <w:name w:val="reader-word-layer"/>
    <w:basedOn w:val="1"/>
    <w:qFormat/>
    <w:uiPriority w:val="0"/>
    <w:pPr>
      <w:widowControl/>
      <w:spacing w:before="100" w:beforeAutospacing="1" w:after="100" w:afterAutospacing="1"/>
      <w:ind w:firstLine="0" w:firstLineChars="0"/>
      <w:jc w:val="left"/>
    </w:pPr>
    <w:rPr>
      <w:rFonts w:ascii="宋体" w:hAnsi="宋体" w:cs="宋体"/>
      <w:kern w:val="0"/>
      <w:sz w:val="24"/>
      <w:szCs w:val="24"/>
    </w:rPr>
  </w:style>
  <w:style w:type="paragraph" w:customStyle="1" w:styleId="229">
    <w:name w:val="CM36"/>
    <w:basedOn w:val="65"/>
    <w:next w:val="65"/>
    <w:qFormat/>
    <w:uiPriority w:val="0"/>
    <w:rPr>
      <w:rFonts w:hAnsi="Calibri" w:cs="Times New Roman"/>
      <w:color w:val="auto"/>
    </w:rPr>
  </w:style>
  <w:style w:type="table" w:customStyle="1" w:styleId="230">
    <w:name w:val="NNNxinjian"/>
    <w:basedOn w:val="38"/>
    <w:qFormat/>
    <w:uiPriority w:val="99"/>
    <w:pPr>
      <w:spacing w:line="360" w:lineRule="auto"/>
      <w:jc w:val="center"/>
    </w:pPr>
    <w:rPr>
      <w:rFonts w:ascii="Times New Roman" w:hAnsi="Times New Roman" w:eastAsia="宋体" w:cs="Times New Roman"/>
    </w:rPr>
    <w:tblPr>
      <w:jc w:val="center"/>
      <w:tblBorders>
        <w:top w:val="single" w:color="auto" w:sz="4" w:space="0"/>
        <w:bottom w:val="double" w:color="auto" w:sz="4" w:space="0"/>
        <w:insideH w:val="single" w:color="auto" w:sz="4" w:space="0"/>
        <w:insideV w:val="single" w:color="auto" w:sz="4" w:space="0"/>
      </w:tblBorders>
    </w:tblPr>
    <w:trPr>
      <w:jc w:val="center"/>
    </w:trPr>
    <w:tcPr>
      <w:vAlign w:val="center"/>
    </w:tcPr>
    <w:tblStylePr w:type="firstRow">
      <w:tcPr>
        <w:tcBorders>
          <w:top w:val="double" w:color="auto" w:sz="4" w:space="0"/>
        </w:tcBorders>
        <w:shd w:val="clear" w:color="auto" w:fill="D9D9D9"/>
      </w:tcPr>
    </w:tblStylePr>
    <w:tblStylePr w:type="lastRow">
      <w:tcPr>
        <w:tcBorders>
          <w:top w:val="nil"/>
          <w:bottom w:val="nil"/>
        </w:tcBorders>
      </w:tcPr>
    </w:tblStylePr>
  </w:style>
  <w:style w:type="paragraph" w:customStyle="1" w:styleId="231">
    <w:name w:val="0表标题"/>
    <w:basedOn w:val="1"/>
    <w:link w:val="232"/>
    <w:qFormat/>
    <w:uiPriority w:val="0"/>
    <w:pPr>
      <w:keepNext/>
      <w:adjustRightInd w:val="0"/>
      <w:snapToGrid w:val="0"/>
      <w:spacing w:after="100" w:afterAutospacing="1"/>
      <w:ind w:firstLine="0" w:firstLineChars="0"/>
      <w:jc w:val="center"/>
      <w:textAlignment w:val="baseline"/>
    </w:pPr>
    <w:rPr>
      <w:rFonts w:cs="Times New Roman"/>
      <w:bCs/>
      <w:kern w:val="0"/>
      <w:sz w:val="24"/>
      <w:szCs w:val="18"/>
    </w:rPr>
  </w:style>
  <w:style w:type="character" w:customStyle="1" w:styleId="232">
    <w:name w:val="0表标题 Char"/>
    <w:basedOn w:val="40"/>
    <w:link w:val="231"/>
    <w:qFormat/>
    <w:uiPriority w:val="0"/>
    <w:rPr>
      <w:rFonts w:ascii="Times New Roman" w:hAnsi="Times New Roman" w:eastAsia="宋体" w:cs="Times New Roman"/>
      <w:bCs/>
      <w:sz w:val="24"/>
      <w:szCs w:val="18"/>
    </w:rPr>
  </w:style>
  <w:style w:type="character" w:customStyle="1" w:styleId="233">
    <w:name w:val="标题 8 字符1"/>
    <w:basedOn w:val="40"/>
    <w:semiHidden/>
    <w:qFormat/>
    <w:uiPriority w:val="9"/>
    <w:rPr>
      <w:rFonts w:asciiTheme="majorHAnsi" w:hAnsiTheme="majorHAnsi" w:eastAsiaTheme="majorEastAsia" w:cstheme="majorBidi"/>
      <w:sz w:val="24"/>
      <w:szCs w:val="24"/>
    </w:rPr>
  </w:style>
  <w:style w:type="table" w:customStyle="1" w:styleId="234">
    <w:name w:val="NNNxinjian1"/>
    <w:basedOn w:val="38"/>
    <w:qFormat/>
    <w:uiPriority w:val="99"/>
    <w:pPr>
      <w:spacing w:line="360" w:lineRule="auto"/>
      <w:jc w:val="center"/>
    </w:pPr>
    <w:rPr>
      <w:rFonts w:ascii="Times New Roman" w:hAnsi="Times New Roman" w:eastAsia="宋体" w:cs="Times New Roman"/>
    </w:rPr>
    <w:tblPr>
      <w:jc w:val="center"/>
      <w:tblBorders>
        <w:top w:val="single" w:color="auto" w:sz="4" w:space="0"/>
        <w:bottom w:val="double" w:color="auto" w:sz="4" w:space="0"/>
        <w:insideH w:val="single" w:color="auto" w:sz="4" w:space="0"/>
        <w:insideV w:val="single" w:color="auto" w:sz="4" w:space="0"/>
      </w:tblBorders>
    </w:tblPr>
    <w:trPr>
      <w:jc w:val="center"/>
    </w:trPr>
    <w:tcPr>
      <w:vAlign w:val="center"/>
    </w:tcPr>
    <w:tblStylePr w:type="firstRow">
      <w:tcPr>
        <w:tcBorders>
          <w:top w:val="double" w:color="auto" w:sz="4" w:space="0"/>
        </w:tcBorders>
        <w:shd w:val="clear" w:color="auto" w:fill="D9D9D9"/>
      </w:tcPr>
    </w:tblStylePr>
    <w:tblStylePr w:type="lastRow">
      <w:tcPr>
        <w:tcBorders>
          <w:top w:val="nil"/>
          <w:bottom w:val="nil"/>
        </w:tcBorders>
      </w:tcPr>
    </w:tblStylePr>
  </w:style>
  <w:style w:type="character" w:customStyle="1" w:styleId="235">
    <w:name w:val="正文样式1 Char"/>
    <w:link w:val="236"/>
    <w:qFormat/>
    <w:uiPriority w:val="0"/>
    <w:rPr>
      <w:sz w:val="28"/>
    </w:rPr>
  </w:style>
  <w:style w:type="paragraph" w:customStyle="1" w:styleId="236">
    <w:name w:val="正文样式1"/>
    <w:basedOn w:val="1"/>
    <w:link w:val="235"/>
    <w:qFormat/>
    <w:uiPriority w:val="0"/>
    <w:pPr>
      <w:spacing w:line="480" w:lineRule="exact"/>
    </w:pPr>
    <w:rPr>
      <w:rFonts w:asciiTheme="minorHAnsi" w:hAnsiTheme="minorHAnsi" w:eastAsiaTheme="minorEastAsia"/>
    </w:rPr>
  </w:style>
  <w:style w:type="character" w:styleId="237">
    <w:name w:val="Placeholder Text"/>
    <w:basedOn w:val="40"/>
    <w:semiHidden/>
    <w:qFormat/>
    <w:uiPriority w:val="99"/>
    <w:rPr>
      <w:color w:val="808080"/>
    </w:rPr>
  </w:style>
  <w:style w:type="character" w:customStyle="1" w:styleId="238">
    <w:name w:val="样式 nilo_正文 + 首行缩进:  2 字符 Char Char"/>
    <w:link w:val="239"/>
    <w:qFormat/>
    <w:uiPriority w:val="0"/>
    <w:rPr>
      <w:rFonts w:ascii="Arial" w:hAnsi="Arial" w:eastAsia="宋体" w:cs="宋体"/>
    </w:rPr>
  </w:style>
  <w:style w:type="paragraph" w:customStyle="1" w:styleId="239">
    <w:name w:val="样式 nilo_正文 + 首行缩进:  2 字符"/>
    <w:basedOn w:val="1"/>
    <w:link w:val="238"/>
    <w:qFormat/>
    <w:uiPriority w:val="0"/>
    <w:pPr>
      <w:spacing w:line="360" w:lineRule="auto"/>
      <w:ind w:firstLine="427"/>
    </w:pPr>
    <w:rPr>
      <w:rFonts w:ascii="Arial" w:hAnsi="Arial" w:cs="宋体"/>
      <w:sz w:val="21"/>
    </w:rPr>
  </w:style>
  <w:style w:type="paragraph" w:customStyle="1" w:styleId="240">
    <w:name w:val="WPSOffice手动目录 1"/>
    <w:qFormat/>
    <w:uiPriority w:val="0"/>
    <w:rPr>
      <w:rFonts w:asciiTheme="minorHAnsi" w:hAnsiTheme="minorHAnsi" w:eastAsiaTheme="minorEastAsia" w:cstheme="minorBidi"/>
      <w:lang w:val="en-US" w:eastAsia="zh-CN" w:bidi="ar-SA"/>
    </w:rPr>
  </w:style>
  <w:style w:type="paragraph" w:customStyle="1" w:styleId="24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42">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43">
    <w:name w:val="表格2 Char"/>
    <w:link w:val="244"/>
    <w:qFormat/>
    <w:uiPriority w:val="0"/>
    <w:rPr>
      <w:rFonts w:ascii="宋体" w:hAnsi="宋体" w:cs="宋体"/>
      <w:bCs/>
      <w:sz w:val="24"/>
      <w:szCs w:val="24"/>
    </w:rPr>
  </w:style>
  <w:style w:type="paragraph" w:customStyle="1" w:styleId="244">
    <w:name w:val="表格2"/>
    <w:basedOn w:val="1"/>
    <w:link w:val="243"/>
    <w:qFormat/>
    <w:uiPriority w:val="0"/>
    <w:pPr>
      <w:widowControl/>
      <w:ind w:firstLine="0" w:firstLineChars="0"/>
      <w:jc w:val="center"/>
    </w:pPr>
    <w:rPr>
      <w:rFonts w:ascii="宋体" w:hAnsi="宋体" w:cs="宋体" w:eastAsiaTheme="minorEastAsia"/>
      <w:bCs/>
      <w:kern w:val="0"/>
      <w:sz w:val="24"/>
      <w:szCs w:val="24"/>
    </w:rPr>
  </w:style>
  <w:style w:type="paragraph" w:customStyle="1" w:styleId="245">
    <w:name w:val="004正文"/>
    <w:basedOn w:val="1"/>
    <w:qFormat/>
    <w:uiPriority w:val="0"/>
    <w:pPr>
      <w:widowControl/>
      <w:spacing w:line="360" w:lineRule="auto"/>
      <w:ind w:firstLine="560"/>
      <w:jc w:val="left"/>
    </w:pPr>
    <w:rPr>
      <w:rFonts w:ascii="宋体" w:hAnsi="MS Gothic" w:cs="宋体"/>
      <w:snapToGrid w:val="0"/>
      <w:kern w:val="0"/>
      <w:szCs w:val="28"/>
    </w:rPr>
  </w:style>
  <w:style w:type="paragraph" w:customStyle="1" w:styleId="246">
    <w:name w:val="Table Paragraph"/>
    <w:basedOn w:val="1"/>
    <w:qFormat/>
    <w:uiPriority w:val="1"/>
    <w:pPr>
      <w:spacing w:before="50" w:beforeLines="50" w:after="50" w:afterLines="50"/>
      <w:ind w:firstLine="0" w:firstLineChars="0"/>
      <w:jc w:val="center"/>
    </w:pPr>
    <w:rPr>
      <w:kern w:val="0"/>
      <w:sz w:val="24"/>
      <w:lang w:eastAsia="en-US"/>
    </w:rPr>
  </w:style>
  <w:style w:type="table" w:customStyle="1" w:styleId="247">
    <w:name w:val="Grid Table Light"/>
    <w:basedOn w:val="38"/>
    <w:qFormat/>
    <w:uiPriority w:val="40"/>
    <w:rPr>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48">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249">
    <w:name w:val="Revision"/>
    <w:hidden/>
    <w:semiHidden/>
    <w:qFormat/>
    <w:uiPriority w:val="99"/>
    <w:rPr>
      <w:rFonts w:ascii="Times New Roman" w:hAnsi="Times New Roman" w:eastAsia="宋体" w:cstheme="minorBidi"/>
      <w:kern w:val="2"/>
      <w:sz w:val="28"/>
      <w:szCs w:val="22"/>
      <w:lang w:val="en-US" w:eastAsia="zh-CN" w:bidi="ar-SA"/>
    </w:rPr>
  </w:style>
  <w:style w:type="character" w:customStyle="1" w:styleId="250">
    <w:name w:val="正文首行缩进 字符"/>
    <w:basedOn w:val="66"/>
    <w:link w:val="36"/>
    <w:qFormat/>
    <w:uiPriority w:val="0"/>
    <w:rPr>
      <w:rFonts w:ascii="Times New Roman" w:hAnsi="Times New Roman" w:eastAsia="宋体" w:cs="Times New Roman"/>
      <w:kern w:val="2"/>
      <w:sz w:val="21"/>
      <w:szCs w:val="24"/>
    </w:rPr>
  </w:style>
  <w:style w:type="paragraph" w:customStyle="1" w:styleId="251">
    <w:name w:val="A正文"/>
    <w:basedOn w:val="1"/>
    <w:qFormat/>
    <w:uiPriority w:val="0"/>
    <w:pPr>
      <w:spacing w:line="360" w:lineRule="auto"/>
    </w:pPr>
    <w:rPr>
      <w:rFonts w:cs="Times New Roman"/>
      <w:sz w:val="24"/>
    </w:rPr>
  </w:style>
  <w:style w:type="paragraph" w:customStyle="1" w:styleId="252">
    <w:name w:val="A题注"/>
    <w:basedOn w:val="251"/>
    <w:qFormat/>
    <w:uiPriority w:val="0"/>
    <w:pPr>
      <w:spacing w:before="30" w:beforeLines="30" w:after="30" w:line="240" w:lineRule="auto"/>
      <w:ind w:firstLine="0" w:firstLineChars="0"/>
      <w:jc w:val="center"/>
    </w:pPr>
    <w:rPr>
      <w:rFonts w:eastAsia="黑体"/>
      <w:sz w:val="21"/>
    </w:rPr>
  </w:style>
  <w:style w:type="paragraph" w:styleId="253">
    <w:name w:val="No Spacing"/>
    <w:link w:val="254"/>
    <w:qFormat/>
    <w:uiPriority w:val="1"/>
    <w:pPr>
      <w:spacing w:line="264" w:lineRule="auto"/>
      <w:jc w:val="center"/>
    </w:pPr>
    <w:rPr>
      <w:rFonts w:ascii="Times New Roman" w:hAnsi="Times New Roman" w:eastAsia="宋体" w:cstheme="minorBidi"/>
      <w:sz w:val="24"/>
      <w:szCs w:val="22"/>
      <w:lang w:val="en-US" w:eastAsia="zh-CN" w:bidi="ar-SA"/>
    </w:rPr>
  </w:style>
  <w:style w:type="character" w:customStyle="1" w:styleId="254">
    <w:name w:val="无间隔 字符"/>
    <w:basedOn w:val="40"/>
    <w:link w:val="253"/>
    <w:qFormat/>
    <w:uiPriority w:val="1"/>
    <w:rPr>
      <w:rFonts w:ascii="Times New Roman" w:hAnsi="Times New Roman" w:eastAsia="宋体"/>
      <w:sz w:val="24"/>
      <w:szCs w:val="22"/>
    </w:rPr>
  </w:style>
  <w:style w:type="paragraph" w:customStyle="1" w:styleId="255">
    <w:name w:val="02 标题2"/>
    <w:basedOn w:val="1"/>
    <w:link w:val="256"/>
    <w:qFormat/>
    <w:uiPriority w:val="0"/>
    <w:pPr>
      <w:keepNext/>
      <w:keepLines/>
      <w:spacing w:before="156" w:beforeLines="50" w:after="156" w:afterLines="50" w:line="600" w:lineRule="exact"/>
      <w:ind w:firstLine="640"/>
      <w:outlineLvl w:val="1"/>
    </w:pPr>
    <w:rPr>
      <w:rFonts w:eastAsia="黑体" w:cs="Times New Roman"/>
      <w:bCs/>
      <w:sz w:val="32"/>
      <w:szCs w:val="32"/>
    </w:rPr>
  </w:style>
  <w:style w:type="character" w:customStyle="1" w:styleId="256">
    <w:name w:val="02 标题2 字符"/>
    <w:basedOn w:val="40"/>
    <w:link w:val="255"/>
    <w:qFormat/>
    <w:uiPriority w:val="0"/>
    <w:rPr>
      <w:rFonts w:ascii="Times New Roman" w:hAnsi="Times New Roman" w:eastAsia="黑体" w:cs="Times New Roman"/>
      <w:bCs/>
      <w:kern w:val="2"/>
      <w:sz w:val="32"/>
      <w:szCs w:val="32"/>
    </w:rPr>
  </w:style>
  <w:style w:type="character" w:customStyle="1" w:styleId="257">
    <w:name w:val="日期 字符"/>
    <w:basedOn w:val="40"/>
    <w:link w:val="20"/>
    <w:semiHidden/>
    <w:qFormat/>
    <w:uiPriority w:val="99"/>
    <w:rPr>
      <w:kern w:val="2"/>
      <w:sz w:val="21"/>
      <w:szCs w:val="22"/>
    </w:rPr>
  </w:style>
  <w:style w:type="character" w:customStyle="1" w:styleId="258">
    <w:name w:val="标题 字符"/>
    <w:basedOn w:val="40"/>
    <w:link w:val="34"/>
    <w:qFormat/>
    <w:uiPriority w:val="10"/>
    <w:rPr>
      <w:rFonts w:ascii="Times New Roman" w:hAnsi="Times New Roman" w:eastAsia="仿宋_GB2312" w:cstheme="majorBidi"/>
      <w:b/>
      <w:bCs/>
      <w:kern w:val="2"/>
      <w:sz w:val="21"/>
      <w:szCs w:val="32"/>
    </w:rPr>
  </w:style>
  <w:style w:type="paragraph" w:customStyle="1" w:styleId="259">
    <w:name w:val="00 正文"/>
    <w:basedOn w:val="1"/>
    <w:link w:val="261"/>
    <w:qFormat/>
    <w:uiPriority w:val="0"/>
    <w:pPr>
      <w:spacing w:line="600" w:lineRule="exact"/>
      <w:ind w:firstLine="640"/>
    </w:pPr>
    <w:rPr>
      <w:rFonts w:eastAsia="仿宋_GB2312" w:cs="Times New Roman"/>
      <w:sz w:val="32"/>
    </w:rPr>
  </w:style>
  <w:style w:type="paragraph" w:customStyle="1" w:styleId="260">
    <w:name w:val="01 标题1"/>
    <w:basedOn w:val="1"/>
    <w:link w:val="262"/>
    <w:qFormat/>
    <w:uiPriority w:val="0"/>
    <w:pPr>
      <w:keepNext/>
      <w:keepLines/>
      <w:spacing w:line="600" w:lineRule="exact"/>
      <w:ind w:firstLine="0" w:firstLineChars="0"/>
      <w:jc w:val="center"/>
      <w:outlineLvl w:val="0"/>
    </w:pPr>
    <w:rPr>
      <w:rFonts w:eastAsia="方正小标宋_GBK" w:cs="Times New Roman"/>
      <w:bCs/>
      <w:kern w:val="44"/>
      <w:sz w:val="44"/>
      <w:szCs w:val="44"/>
    </w:rPr>
  </w:style>
  <w:style w:type="character" w:customStyle="1" w:styleId="261">
    <w:name w:val="00 正文 字符"/>
    <w:basedOn w:val="40"/>
    <w:link w:val="259"/>
    <w:qFormat/>
    <w:uiPriority w:val="0"/>
    <w:rPr>
      <w:rFonts w:ascii="Times New Roman" w:hAnsi="Times New Roman" w:eastAsia="仿宋_GB2312" w:cs="Times New Roman"/>
      <w:kern w:val="2"/>
      <w:sz w:val="32"/>
      <w:szCs w:val="22"/>
    </w:rPr>
  </w:style>
  <w:style w:type="character" w:customStyle="1" w:styleId="262">
    <w:name w:val="01 标题1 字符"/>
    <w:basedOn w:val="40"/>
    <w:link w:val="260"/>
    <w:qFormat/>
    <w:uiPriority w:val="0"/>
    <w:rPr>
      <w:rFonts w:ascii="Times New Roman" w:hAnsi="Times New Roman" w:eastAsia="方正小标宋_GBK" w:cs="Times New Roman"/>
      <w:bCs/>
      <w:kern w:val="44"/>
      <w:sz w:val="44"/>
      <w:szCs w:val="44"/>
    </w:rPr>
  </w:style>
  <w:style w:type="paragraph" w:customStyle="1" w:styleId="263">
    <w:name w:val="03 标题3"/>
    <w:basedOn w:val="259"/>
    <w:link w:val="264"/>
    <w:qFormat/>
    <w:uiPriority w:val="0"/>
    <w:pPr>
      <w:spacing w:before="156" w:beforeLines="50" w:after="156" w:afterLines="50"/>
      <w:ind w:firstLine="643"/>
      <w:outlineLvl w:val="2"/>
    </w:pPr>
    <w:rPr>
      <w:rFonts w:eastAsia="楷体"/>
      <w:b/>
      <w:bCs/>
    </w:rPr>
  </w:style>
  <w:style w:type="character" w:customStyle="1" w:styleId="264">
    <w:name w:val="03 标题3 字符"/>
    <w:basedOn w:val="261"/>
    <w:link w:val="263"/>
    <w:qFormat/>
    <w:uiPriority w:val="0"/>
    <w:rPr>
      <w:rFonts w:ascii="Times New Roman" w:hAnsi="Times New Roman" w:eastAsia="楷体" w:cs="Times New Roman"/>
      <w:b/>
      <w:bCs/>
      <w:kern w:val="2"/>
      <w:sz w:val="32"/>
      <w:szCs w:val="22"/>
    </w:rPr>
  </w:style>
  <w:style w:type="paragraph" w:customStyle="1" w:styleId="265">
    <w:name w:val="05 表头"/>
    <w:basedOn w:val="259"/>
    <w:link w:val="267"/>
    <w:qFormat/>
    <w:uiPriority w:val="0"/>
    <w:pPr>
      <w:ind w:firstLine="0" w:firstLineChars="0"/>
      <w:jc w:val="center"/>
    </w:pPr>
    <w:rPr>
      <w:rFonts w:eastAsia="黑体"/>
    </w:rPr>
  </w:style>
  <w:style w:type="paragraph" w:customStyle="1" w:styleId="266">
    <w:name w:val="06 表号"/>
    <w:basedOn w:val="259"/>
    <w:link w:val="269"/>
    <w:qFormat/>
    <w:uiPriority w:val="0"/>
    <w:pPr>
      <w:spacing w:line="500" w:lineRule="exact"/>
      <w:ind w:firstLine="560"/>
    </w:pPr>
    <w:rPr>
      <w:rFonts w:eastAsia="宋体"/>
      <w:sz w:val="28"/>
      <w:szCs w:val="21"/>
    </w:rPr>
  </w:style>
  <w:style w:type="character" w:customStyle="1" w:styleId="267">
    <w:name w:val="05 表头 字符"/>
    <w:basedOn w:val="261"/>
    <w:link w:val="265"/>
    <w:qFormat/>
    <w:uiPriority w:val="0"/>
    <w:rPr>
      <w:rFonts w:ascii="Times New Roman" w:hAnsi="Times New Roman" w:eastAsia="黑体" w:cs="Times New Roman"/>
      <w:kern w:val="2"/>
      <w:sz w:val="32"/>
      <w:szCs w:val="22"/>
    </w:rPr>
  </w:style>
  <w:style w:type="paragraph" w:customStyle="1" w:styleId="268">
    <w:name w:val="07 表内文字"/>
    <w:basedOn w:val="259"/>
    <w:link w:val="270"/>
    <w:qFormat/>
    <w:uiPriority w:val="0"/>
    <w:pPr>
      <w:adjustRightInd w:val="0"/>
      <w:snapToGrid w:val="0"/>
      <w:spacing w:line="240" w:lineRule="auto"/>
      <w:ind w:firstLine="0" w:firstLineChars="0"/>
      <w:jc w:val="center"/>
    </w:pPr>
    <w:rPr>
      <w:rFonts w:eastAsia="宋体"/>
      <w:sz w:val="24"/>
      <w:szCs w:val="24"/>
    </w:rPr>
  </w:style>
  <w:style w:type="character" w:customStyle="1" w:styleId="269">
    <w:name w:val="06 表号 字符"/>
    <w:basedOn w:val="261"/>
    <w:link w:val="266"/>
    <w:qFormat/>
    <w:uiPriority w:val="0"/>
    <w:rPr>
      <w:rFonts w:ascii="Times New Roman" w:hAnsi="Times New Roman" w:eastAsia="宋体" w:cs="Times New Roman"/>
      <w:kern w:val="2"/>
      <w:sz w:val="28"/>
      <w:szCs w:val="21"/>
    </w:rPr>
  </w:style>
  <w:style w:type="character" w:customStyle="1" w:styleId="270">
    <w:name w:val="07 表内文字 字符"/>
    <w:basedOn w:val="261"/>
    <w:link w:val="268"/>
    <w:qFormat/>
    <w:uiPriority w:val="0"/>
    <w:rPr>
      <w:rFonts w:ascii="Times New Roman" w:hAnsi="Times New Roman" w:eastAsia="宋体" w:cs="Times New Roman"/>
      <w:kern w:val="2"/>
      <w:sz w:val="24"/>
      <w:szCs w:val="24"/>
    </w:rPr>
  </w:style>
  <w:style w:type="table" w:customStyle="1" w:styleId="271">
    <w:name w:val="网格型1"/>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2"/>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3"/>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msonormal"/>
    <w:basedOn w:val="1"/>
    <w:qFormat/>
    <w:uiPriority w:val="0"/>
    <w:pPr>
      <w:widowControl/>
      <w:spacing w:before="100" w:beforeAutospacing="1" w:after="100" w:afterAutospacing="1"/>
      <w:ind w:firstLine="0" w:firstLineChars="0"/>
      <w:jc w:val="left"/>
    </w:pPr>
    <w:rPr>
      <w:rFonts w:ascii="宋体" w:hAnsi="宋体" w:cs="宋体"/>
      <w:kern w:val="0"/>
      <w:sz w:val="24"/>
      <w:szCs w:val="24"/>
    </w:rPr>
  </w:style>
  <w:style w:type="paragraph" w:customStyle="1" w:styleId="27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4"/>
      <w:szCs w:val="24"/>
    </w:rPr>
  </w:style>
  <w:style w:type="table" w:customStyle="1" w:styleId="276">
    <w:name w:val="网格型4"/>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7">
    <w:name w:val="font01"/>
    <w:basedOn w:val="40"/>
    <w:qFormat/>
    <w:uiPriority w:val="0"/>
    <w:rPr>
      <w:rFonts w:hint="default" w:ascii="Times New Roman" w:hAnsi="Times New Roman" w:cs="Times New Roman"/>
      <w:color w:val="0D0D0D"/>
      <w:sz w:val="22"/>
      <w:szCs w:val="22"/>
      <w:u w:val="none"/>
    </w:rPr>
  </w:style>
  <w:style w:type="character" w:customStyle="1" w:styleId="278">
    <w:name w:val="font41"/>
    <w:basedOn w:val="40"/>
    <w:qFormat/>
    <w:uiPriority w:val="0"/>
    <w:rPr>
      <w:rFonts w:hint="eastAsia" w:ascii="宋体" w:hAnsi="宋体" w:eastAsia="宋体" w:cs="宋体"/>
      <w:color w:val="0D0D0D"/>
      <w:sz w:val="22"/>
      <w:szCs w:val="22"/>
      <w:u w:val="none"/>
    </w:rPr>
  </w:style>
  <w:style w:type="character" w:customStyle="1" w:styleId="279">
    <w:name w:val="font21"/>
    <w:basedOn w:val="40"/>
    <w:qFormat/>
    <w:uiPriority w:val="0"/>
    <w:rPr>
      <w:rFonts w:hint="default" w:ascii="Arial" w:hAnsi="Arial" w:cs="Arial"/>
      <w:color w:val="000000"/>
      <w:sz w:val="20"/>
      <w:szCs w:val="20"/>
      <w:u w:val="none"/>
    </w:rPr>
  </w:style>
  <w:style w:type="character" w:customStyle="1" w:styleId="280">
    <w:name w:val="font31"/>
    <w:basedOn w:val="40"/>
    <w:qFormat/>
    <w:uiPriority w:val="0"/>
    <w:rPr>
      <w:rFonts w:hint="eastAsia" w:ascii="宋体" w:hAnsi="宋体" w:eastAsia="宋体" w:cs="宋体"/>
      <w:color w:val="000000"/>
      <w:sz w:val="20"/>
      <w:szCs w:val="20"/>
      <w:u w:val="none"/>
    </w:rPr>
  </w:style>
  <w:style w:type="paragraph" w:customStyle="1" w:styleId="281">
    <w:name w:val="表格五号"/>
    <w:unhideWhenUsed/>
    <w:qFormat/>
    <w:uiPriority w:val="0"/>
    <w:pPr>
      <w:ind w:right="-120" w:rightChars="-50"/>
      <w:jc w:val="center"/>
      <w:textAlignment w:val="center"/>
    </w:pPr>
    <w:rPr>
      <w:rFonts w:ascii="Times New Roman" w:hAnsi="Times New Roman" w:eastAsia="宋体" w:cs="Times New Roman"/>
      <w:bCs/>
      <w:sz w:val="21"/>
      <w:szCs w:val="18"/>
      <w:lang w:val="en-US" w:eastAsia="zh-CN" w:bidi="ar-SA"/>
    </w:rPr>
  </w:style>
  <w:style w:type="character" w:customStyle="1" w:styleId="282">
    <w:name w:val="fontstyle01"/>
    <w:basedOn w:val="40"/>
    <w:qFormat/>
    <w:uiPriority w:val="0"/>
    <w:rPr>
      <w:rFonts w:hint="default" w:ascii="FZHTK--GBK1-0" w:hAnsi="FZHTK--GBK1-0"/>
      <w:color w:val="000000"/>
      <w:sz w:val="24"/>
      <w:szCs w:val="24"/>
    </w:rPr>
  </w:style>
  <w:style w:type="character" w:customStyle="1" w:styleId="283">
    <w:name w:val="表格内容 字符"/>
    <w:qFormat/>
    <w:uiPriority w:val="0"/>
    <w:rPr>
      <w:rFonts w:ascii="Times New Roman" w:hAnsi="Times New Roman" w:eastAsia="仿宋_GB2312"/>
      <w:sz w:val="28"/>
    </w:rPr>
  </w:style>
  <w:style w:type="character" w:customStyle="1" w:styleId="284">
    <w:name w:val="00规划-正文字符"/>
    <w:link w:val="285"/>
    <w:qFormat/>
    <w:uiPriority w:val="0"/>
    <w:rPr>
      <w:rFonts w:ascii="Times New Roman" w:hAnsi="Times New Roman" w:eastAsia="仿宋_GB2312"/>
      <w:sz w:val="30"/>
      <w:szCs w:val="24"/>
    </w:rPr>
  </w:style>
  <w:style w:type="paragraph" w:customStyle="1" w:styleId="285">
    <w:name w:val="00规划-正文"/>
    <w:basedOn w:val="1"/>
    <w:link w:val="284"/>
    <w:qFormat/>
    <w:uiPriority w:val="0"/>
    <w:pPr>
      <w:widowControl/>
      <w:spacing w:line="560" w:lineRule="exact"/>
    </w:pPr>
    <w:rPr>
      <w:rFonts w:eastAsia="仿宋_GB2312"/>
      <w:kern w:val="0"/>
      <w:sz w:val="30"/>
      <w:szCs w:val="24"/>
    </w:rPr>
  </w:style>
  <w:style w:type="paragraph" w:customStyle="1" w:styleId="286">
    <w:name w:val="正文1"/>
    <w:basedOn w:val="1"/>
    <w:link w:val="287"/>
    <w:qFormat/>
    <w:uiPriority w:val="0"/>
    <w:pPr>
      <w:adjustRightInd w:val="0"/>
      <w:snapToGrid w:val="0"/>
      <w:spacing w:line="600" w:lineRule="exact"/>
      <w:ind w:firstLine="640"/>
      <w:jc w:val="center"/>
    </w:pPr>
    <w:rPr>
      <w:rFonts w:eastAsia="黑体" w:cs="Times New Roman"/>
      <w:b/>
      <w:sz w:val="32"/>
      <w:szCs w:val="32"/>
      <w:lang w:val="zh-CN"/>
    </w:rPr>
  </w:style>
  <w:style w:type="character" w:customStyle="1" w:styleId="287">
    <w:name w:val="正文1 字符"/>
    <w:link w:val="286"/>
    <w:qFormat/>
    <w:uiPriority w:val="0"/>
    <w:rPr>
      <w:rFonts w:ascii="Times New Roman" w:hAnsi="Times New Roman" w:eastAsia="黑体" w:cs="Times New Roman"/>
      <w:b/>
      <w:kern w:val="2"/>
      <w:sz w:val="32"/>
      <w:szCs w:val="32"/>
      <w:lang w:val="zh-CN"/>
    </w:rPr>
  </w:style>
  <w:style w:type="paragraph" w:customStyle="1" w:styleId="288">
    <w:name w:val="0 正文"/>
    <w:basedOn w:val="1"/>
    <w:qFormat/>
    <w:uiPriority w:val="0"/>
    <w:pPr>
      <w:spacing w:line="580" w:lineRule="exact"/>
      <w:ind w:firstLine="600"/>
    </w:pPr>
    <w:rPr>
      <w:rFonts w:eastAsia="仿宋_GB2312" w:cs="Times New Roman"/>
      <w:sz w:val="30"/>
      <w:szCs w:val="30"/>
    </w:rPr>
  </w:style>
  <w:style w:type="paragraph" w:customStyle="1" w:styleId="289">
    <w:name w:val="表头 标题"/>
    <w:next w:val="1"/>
    <w:qFormat/>
    <w:uiPriority w:val="99"/>
    <w:pPr>
      <w:autoSpaceDE w:val="0"/>
      <w:autoSpaceDN w:val="0"/>
      <w:jc w:val="center"/>
      <w:outlineLvl w:val="4"/>
    </w:pPr>
    <w:rPr>
      <w:rFonts w:ascii="Calibri" w:hAnsi="Calibri" w:eastAsia="黑体" w:cs="Times New Roman"/>
      <w:b/>
      <w:color w:val="000000"/>
      <w:kern w:val="2"/>
      <w:sz w:val="24"/>
      <w:szCs w:val="28"/>
      <w:lang w:val="en-US" w:eastAsia="zh-CN" w:bidi="he-IL"/>
    </w:rPr>
  </w:style>
  <w:style w:type="paragraph" w:customStyle="1" w:styleId="290">
    <w:name w:val="Table Text"/>
    <w:basedOn w:val="1"/>
    <w:semiHidden/>
    <w:qFormat/>
    <w:uiPriority w:val="0"/>
    <w:pPr>
      <w:spacing w:line="520" w:lineRule="exact"/>
      <w:ind w:firstLine="643"/>
    </w:pPr>
    <w:rPr>
      <w:rFonts w:eastAsia="Times New Roman" w:cs="Times New Roman"/>
      <w:sz w:val="20"/>
      <w:szCs w:val="20"/>
      <w:lang w:eastAsia="en-US"/>
    </w:rPr>
  </w:style>
  <w:style w:type="paragraph" w:customStyle="1" w:styleId="291">
    <w:name w:val="专栏标题"/>
    <w:basedOn w:val="1"/>
    <w:link w:val="292"/>
    <w:qFormat/>
    <w:uiPriority w:val="0"/>
    <w:pPr>
      <w:spacing w:line="600" w:lineRule="exact"/>
      <w:ind w:firstLine="561" w:firstLineChars="0"/>
      <w:jc w:val="center"/>
    </w:pPr>
    <w:rPr>
      <w:rFonts w:eastAsia="黑体" w:cs="Times New Roman"/>
      <w:sz w:val="32"/>
    </w:rPr>
  </w:style>
  <w:style w:type="character" w:customStyle="1" w:styleId="292">
    <w:name w:val="专栏标题 字符"/>
    <w:basedOn w:val="40"/>
    <w:link w:val="291"/>
    <w:qFormat/>
    <w:uiPriority w:val="0"/>
    <w:rPr>
      <w:rFonts w:ascii="Times New Roman" w:hAnsi="Times New Roman" w:eastAsia="黑体" w:cs="Times New Roman"/>
      <w:kern w:val="2"/>
      <w:sz w:val="32"/>
      <w:szCs w:val="22"/>
    </w:rPr>
  </w:style>
  <w:style w:type="paragraph" w:customStyle="1" w:styleId="293">
    <w:name w:val="专栏文字"/>
    <w:basedOn w:val="1"/>
    <w:link w:val="294"/>
    <w:qFormat/>
    <w:uiPriority w:val="0"/>
    <w:pPr>
      <w:widowControl/>
      <w:spacing w:line="360" w:lineRule="auto"/>
      <w:ind w:firstLine="602"/>
      <w:jc w:val="left"/>
    </w:pPr>
    <w:rPr>
      <w:rFonts w:ascii="仿宋" w:hAnsi="仿宋" w:eastAsia="仿宋_GB2312" w:cs="Arial"/>
      <w:sz w:val="30"/>
      <w:szCs w:val="30"/>
    </w:rPr>
  </w:style>
  <w:style w:type="character" w:customStyle="1" w:styleId="294">
    <w:name w:val="专栏文字 字符"/>
    <w:basedOn w:val="40"/>
    <w:link w:val="293"/>
    <w:qFormat/>
    <w:uiPriority w:val="0"/>
    <w:rPr>
      <w:rFonts w:ascii="仿宋" w:hAnsi="仿宋" w:eastAsia="仿宋_GB2312" w:cs="Arial"/>
      <w:kern w:val="2"/>
      <w:sz w:val="30"/>
      <w:szCs w:val="30"/>
    </w:rPr>
  </w:style>
  <w:style w:type="paragraph" w:customStyle="1" w:styleId="295">
    <w:name w:val="TOC 标题1"/>
    <w:basedOn w:val="2"/>
    <w:next w:val="1"/>
    <w:unhideWhenUsed/>
    <w:qFormat/>
    <w:uiPriority w:val="39"/>
    <w:pPr>
      <w:spacing w:before="240" w:after="0" w:line="259" w:lineRule="auto"/>
      <w:jc w:val="left"/>
      <w:outlineLvl w:val="9"/>
    </w:pPr>
    <w:rPr>
      <w:rFonts w:asciiTheme="majorHAnsi" w:hAnsiTheme="majorHAnsi" w:eastAsiaTheme="majorEastAsia" w:cstheme="majorBidi"/>
      <w:color w:val="2E75B6" w:themeColor="accent1" w:themeShade="BF"/>
      <w:kern w:val="0"/>
      <w:sz w:val="32"/>
      <w:szCs w:val="32"/>
    </w:rPr>
  </w:style>
  <w:style w:type="table" w:customStyle="1" w:styleId="296">
    <w:name w:val="网格型41"/>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42"/>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43"/>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44"/>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0">
    <w:name w:val="正文首行缩进 2 字符"/>
    <w:basedOn w:val="62"/>
    <w:link w:val="37"/>
    <w:qFormat/>
    <w:uiPriority w:val="0"/>
    <w:rPr>
      <w:rFonts w:ascii="Times New Roman" w:hAnsi="Times New Roman" w:eastAsia="宋体" w:cs="Times New Roman"/>
      <w:kern w:val="2"/>
      <w:sz w:val="21"/>
      <w:szCs w:val="24"/>
    </w:rPr>
  </w:style>
  <w:style w:type="character" w:customStyle="1" w:styleId="301">
    <w:name w:val="font51"/>
    <w:basedOn w:val="40"/>
    <w:qFormat/>
    <w:uiPriority w:val="0"/>
    <w:rPr>
      <w:rFonts w:hint="default" w:ascii="Times New Roman" w:hAnsi="Times New Roman" w:cs="Times New Roman"/>
      <w:color w:val="000000"/>
      <w:sz w:val="22"/>
      <w:szCs w:val="22"/>
      <w:u w:val="none"/>
      <w:vertAlign w:val="subscript"/>
    </w:rPr>
  </w:style>
  <w:style w:type="character" w:customStyle="1" w:styleId="302">
    <w:name w:val="font61"/>
    <w:basedOn w:val="40"/>
    <w:qFormat/>
    <w:uiPriority w:val="0"/>
    <w:rPr>
      <w:rFonts w:hint="eastAsia" w:ascii="宋体" w:hAnsi="宋体" w:eastAsia="宋体"/>
      <w:color w:val="000000"/>
      <w:sz w:val="22"/>
      <w:szCs w:val="22"/>
      <w:u w:val="none"/>
      <w:vertAlign w:val="subscript"/>
    </w:rPr>
  </w:style>
  <w:style w:type="character" w:customStyle="1" w:styleId="303">
    <w:name w:val="font71"/>
    <w:basedOn w:val="40"/>
    <w:qFormat/>
    <w:uiPriority w:val="0"/>
    <w:rPr>
      <w:rFonts w:hint="default" w:ascii="Times New Roman" w:hAnsi="Times New Roman" w:cs="Times New Roman"/>
      <w:color w:val="000000"/>
      <w:sz w:val="22"/>
      <w:szCs w:val="22"/>
      <w:u w:val="none"/>
      <w:vertAlign w:val="subscript"/>
    </w:rPr>
  </w:style>
  <w:style w:type="character" w:customStyle="1" w:styleId="304">
    <w:name w:val="font81"/>
    <w:basedOn w:val="40"/>
    <w:qFormat/>
    <w:uiPriority w:val="0"/>
    <w:rPr>
      <w:rFonts w:hint="eastAsia" w:ascii="宋体" w:hAnsi="宋体" w:eastAsia="宋体"/>
      <w:color w:val="000000"/>
      <w:sz w:val="22"/>
      <w:szCs w:val="22"/>
      <w:u w:val="none"/>
      <w:vertAlign w:val="subscript"/>
    </w:rPr>
  </w:style>
  <w:style w:type="table" w:customStyle="1" w:styleId="305">
    <w:name w:val="Table Normal1"/>
    <w:semiHidden/>
    <w:unhideWhenUsed/>
    <w:qFormat/>
    <w:uiPriority w:val="2"/>
    <w:tblPr>
      <w:tblCellMar>
        <w:top w:w="0" w:type="dxa"/>
        <w:left w:w="0" w:type="dxa"/>
        <w:bottom w:w="0" w:type="dxa"/>
        <w:right w:w="0" w:type="dxa"/>
      </w:tblCellMar>
    </w:tblPr>
  </w:style>
  <w:style w:type="table" w:customStyle="1" w:styleId="306">
    <w:name w:val="Table Normal2"/>
    <w:semiHidden/>
    <w:unhideWhenUsed/>
    <w:qFormat/>
    <w:uiPriority w:val="2"/>
    <w:tblPr>
      <w:tblCellMar>
        <w:top w:w="0" w:type="dxa"/>
        <w:left w:w="0" w:type="dxa"/>
        <w:bottom w:w="0" w:type="dxa"/>
        <w:right w:w="0" w:type="dxa"/>
      </w:tblCellMar>
    </w:tblPr>
  </w:style>
  <w:style w:type="table" w:customStyle="1" w:styleId="307">
    <w:name w:val="Table Normal3"/>
    <w:semiHidden/>
    <w:unhideWhenUsed/>
    <w:qFormat/>
    <w:uiPriority w:val="2"/>
    <w:tblPr>
      <w:tblCellMar>
        <w:top w:w="0" w:type="dxa"/>
        <w:left w:w="0" w:type="dxa"/>
        <w:bottom w:w="0" w:type="dxa"/>
        <w:right w:w="0" w:type="dxa"/>
      </w:tblCellMar>
    </w:tblPr>
  </w:style>
  <w:style w:type="paragraph" w:customStyle="1" w:styleId="30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0" w:firstLineChars="0"/>
      <w:jc w:val="center"/>
    </w:pPr>
    <w:rPr>
      <w:rFonts w:cs="Times New Roman"/>
      <w:kern w:val="0"/>
      <w:sz w:val="24"/>
      <w:szCs w:val="24"/>
    </w:rPr>
  </w:style>
  <w:style w:type="paragraph" w:customStyle="1" w:styleId="30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0" w:firstLineChars="0"/>
      <w:jc w:val="center"/>
    </w:pPr>
    <w:rPr>
      <w:rFonts w:cs="Times New Roman"/>
      <w:b/>
      <w:bCs/>
      <w:kern w:val="0"/>
      <w:sz w:val="24"/>
      <w:szCs w:val="24"/>
    </w:rPr>
  </w:style>
  <w:style w:type="paragraph" w:customStyle="1" w:styleId="31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0" w:firstLineChars="0"/>
      <w:jc w:val="left"/>
    </w:pPr>
    <w:rPr>
      <w:rFonts w:cs="Times New Roman"/>
      <w:kern w:val="0"/>
      <w:sz w:val="24"/>
      <w:szCs w:val="24"/>
    </w:rPr>
  </w:style>
  <w:style w:type="paragraph" w:customStyle="1" w:styleId="311">
    <w:name w:val="xl113"/>
    <w:basedOn w:val="1"/>
    <w:qFormat/>
    <w:uiPriority w:val="0"/>
    <w:pPr>
      <w:widowControl/>
      <w:spacing w:before="100" w:beforeAutospacing="1" w:after="100" w:afterAutospacing="1"/>
      <w:ind w:firstLine="0" w:firstLineChars="0"/>
      <w:jc w:val="left"/>
    </w:pPr>
    <w:rPr>
      <w:rFonts w:cs="Times New Roman"/>
      <w:kern w:val="0"/>
      <w:sz w:val="24"/>
      <w:szCs w:val="24"/>
    </w:rPr>
  </w:style>
  <w:style w:type="paragraph" w:customStyle="1" w:styleId="312">
    <w:name w:val="xl114"/>
    <w:basedOn w:val="1"/>
    <w:qFormat/>
    <w:uiPriority w:val="0"/>
    <w:pPr>
      <w:widowControl/>
      <w:spacing w:before="100" w:beforeAutospacing="1" w:after="100" w:afterAutospacing="1"/>
      <w:ind w:firstLine="0" w:firstLineChars="0"/>
      <w:jc w:val="center"/>
    </w:pPr>
    <w:rPr>
      <w:rFonts w:cs="Times New Roman"/>
      <w:kern w:val="0"/>
      <w:sz w:val="24"/>
      <w:szCs w:val="24"/>
    </w:rPr>
  </w:style>
  <w:style w:type="paragraph" w:customStyle="1" w:styleId="31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cs="宋体"/>
      <w:kern w:val="0"/>
      <w:sz w:val="24"/>
      <w:szCs w:val="24"/>
    </w:rPr>
  </w:style>
  <w:style w:type="paragraph" w:customStyle="1" w:styleId="314">
    <w:name w:val="xl116"/>
    <w:basedOn w:val="1"/>
    <w:qFormat/>
    <w:uiPriority w:val="0"/>
    <w:pPr>
      <w:widowControl/>
      <w:spacing w:before="100" w:beforeAutospacing="1" w:after="100" w:afterAutospacing="1"/>
      <w:ind w:firstLine="0" w:firstLineChars="0"/>
      <w:jc w:val="left"/>
      <w:textAlignment w:val="center"/>
    </w:pPr>
    <w:rPr>
      <w:rFonts w:cs="Times New Roman"/>
      <w:kern w:val="0"/>
      <w:sz w:val="24"/>
      <w:szCs w:val="24"/>
    </w:rPr>
  </w:style>
  <w:style w:type="paragraph" w:customStyle="1" w:styleId="31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right"/>
      <w:textAlignment w:val="center"/>
    </w:pPr>
    <w:rPr>
      <w:rFonts w:cs="Times New Roman"/>
      <w:kern w:val="0"/>
      <w:sz w:val="24"/>
      <w:szCs w:val="24"/>
    </w:rPr>
  </w:style>
  <w:style w:type="paragraph" w:customStyle="1" w:styleId="31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center"/>
      <w:textAlignment w:val="center"/>
    </w:pPr>
    <w:rPr>
      <w:rFonts w:cs="Times New Roman"/>
      <w:b/>
      <w:bCs/>
      <w:kern w:val="0"/>
      <w:sz w:val="24"/>
      <w:szCs w:val="24"/>
    </w:rPr>
  </w:style>
  <w:style w:type="paragraph" w:customStyle="1" w:styleId="31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center"/>
      <w:textAlignment w:val="center"/>
    </w:pPr>
    <w:rPr>
      <w:rFonts w:cs="Times New Roman"/>
      <w:b/>
      <w:bCs/>
      <w:kern w:val="0"/>
      <w:sz w:val="24"/>
      <w:szCs w:val="24"/>
    </w:rPr>
  </w:style>
  <w:style w:type="paragraph" w:customStyle="1" w:styleId="318">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center"/>
      <w:textAlignment w:val="center"/>
    </w:pPr>
    <w:rPr>
      <w:rFonts w:cs="Times New Roman"/>
      <w:b/>
      <w:bCs/>
      <w:kern w:val="0"/>
      <w:sz w:val="24"/>
      <w:szCs w:val="24"/>
    </w:rPr>
  </w:style>
  <w:style w:type="paragraph" w:customStyle="1" w:styleId="31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left"/>
      <w:textAlignment w:val="center"/>
    </w:pPr>
    <w:rPr>
      <w:rFonts w:cs="Times New Roman"/>
      <w:kern w:val="0"/>
      <w:sz w:val="24"/>
      <w:szCs w:val="24"/>
    </w:rPr>
  </w:style>
  <w:style w:type="paragraph" w:customStyle="1" w:styleId="32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center"/>
      <w:textAlignment w:val="center"/>
    </w:pPr>
    <w:rPr>
      <w:rFonts w:cs="Times New Roman"/>
      <w:b/>
      <w:bCs/>
      <w:kern w:val="0"/>
      <w:sz w:val="24"/>
      <w:szCs w:val="24"/>
    </w:rPr>
  </w:style>
  <w:style w:type="paragraph" w:customStyle="1" w:styleId="32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4"/>
      <w:szCs w:val="24"/>
    </w:rPr>
  </w:style>
  <w:style w:type="paragraph" w:customStyle="1" w:styleId="32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cs="Times New Roman"/>
      <w:b/>
      <w:bCs/>
      <w:kern w:val="0"/>
      <w:sz w:val="24"/>
      <w:szCs w:val="24"/>
    </w:rPr>
  </w:style>
  <w:style w:type="paragraph" w:customStyle="1" w:styleId="32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b/>
      <w:bCs/>
      <w:kern w:val="0"/>
      <w:sz w:val="24"/>
      <w:szCs w:val="24"/>
    </w:rPr>
  </w:style>
  <w:style w:type="paragraph" w:customStyle="1" w:styleId="324">
    <w:name w:val="正文-居中"/>
    <w:basedOn w:val="1"/>
    <w:qFormat/>
    <w:uiPriority w:val="0"/>
    <w:pPr>
      <w:spacing w:before="50" w:beforeLines="50" w:after="50" w:afterLines="50"/>
      <w:ind w:firstLine="0" w:firstLineChars="0"/>
      <w:jc w:val="center"/>
    </w:pPr>
    <w:rPr>
      <w:rFonts w:ascii="Calibri" w:hAnsi="Calibri" w:cs="Times New Roman"/>
      <w:sz w:val="24"/>
    </w:rPr>
  </w:style>
  <w:style w:type="paragraph" w:customStyle="1" w:styleId="325">
    <w:name w:val="font0"/>
    <w:basedOn w:val="1"/>
    <w:qFormat/>
    <w:uiPriority w:val="0"/>
    <w:pPr>
      <w:widowControl/>
      <w:spacing w:before="100" w:beforeAutospacing="1" w:after="100" w:afterAutospacing="1"/>
      <w:ind w:firstLine="0" w:firstLineChars="0"/>
      <w:jc w:val="left"/>
    </w:pPr>
    <w:rPr>
      <w:rFonts w:ascii="宋体" w:hAnsi="宋体" w:cs="宋体"/>
      <w:color w:val="000000"/>
      <w:kern w:val="0"/>
      <w:sz w:val="22"/>
    </w:rPr>
  </w:style>
  <w:style w:type="paragraph" w:customStyle="1" w:styleId="326">
    <w:name w:val="font1"/>
    <w:basedOn w:val="1"/>
    <w:qFormat/>
    <w:uiPriority w:val="0"/>
    <w:pPr>
      <w:widowControl/>
      <w:spacing w:before="100" w:beforeAutospacing="1" w:after="100" w:afterAutospacing="1"/>
      <w:ind w:firstLine="0" w:firstLineChars="0"/>
      <w:jc w:val="left"/>
    </w:pPr>
    <w:rPr>
      <w:rFonts w:ascii="宋体" w:hAnsi="宋体" w:cs="宋体"/>
      <w:color w:val="0000FF"/>
      <w:kern w:val="0"/>
      <w:sz w:val="22"/>
    </w:rPr>
  </w:style>
  <w:style w:type="paragraph" w:customStyle="1" w:styleId="327">
    <w:name w:val="font2"/>
    <w:basedOn w:val="1"/>
    <w:qFormat/>
    <w:uiPriority w:val="0"/>
    <w:pPr>
      <w:widowControl/>
      <w:spacing w:before="100" w:beforeAutospacing="1" w:after="100" w:afterAutospacing="1"/>
      <w:ind w:firstLine="0" w:firstLineChars="0"/>
      <w:jc w:val="left"/>
    </w:pPr>
    <w:rPr>
      <w:rFonts w:ascii="宋体" w:hAnsi="宋体" w:cs="宋体"/>
      <w:b/>
      <w:bCs/>
      <w:color w:val="000000"/>
      <w:kern w:val="0"/>
      <w:sz w:val="20"/>
      <w:szCs w:val="20"/>
    </w:rPr>
  </w:style>
  <w:style w:type="paragraph" w:customStyle="1" w:styleId="328">
    <w:name w:val="font3"/>
    <w:basedOn w:val="1"/>
    <w:qFormat/>
    <w:uiPriority w:val="0"/>
    <w:pPr>
      <w:widowControl/>
      <w:spacing w:before="100" w:beforeAutospacing="1" w:after="100" w:afterAutospacing="1"/>
      <w:ind w:firstLine="0" w:firstLineChars="0"/>
      <w:jc w:val="left"/>
    </w:pPr>
    <w:rPr>
      <w:rFonts w:ascii="宋体" w:hAnsi="宋体" w:cs="宋体"/>
      <w:color w:val="000000"/>
      <w:kern w:val="0"/>
      <w:sz w:val="22"/>
    </w:rPr>
  </w:style>
  <w:style w:type="paragraph" w:customStyle="1" w:styleId="329">
    <w:name w:val="font4"/>
    <w:basedOn w:val="1"/>
    <w:qFormat/>
    <w:uiPriority w:val="0"/>
    <w:pPr>
      <w:widowControl/>
      <w:spacing w:before="100" w:beforeAutospacing="1" w:after="100" w:afterAutospacing="1"/>
      <w:ind w:firstLine="0" w:firstLineChars="0"/>
      <w:jc w:val="left"/>
    </w:pPr>
    <w:rPr>
      <w:rFonts w:ascii="宋体" w:hAnsi="宋体" w:cs="宋体"/>
      <w:color w:val="000000"/>
      <w:kern w:val="0"/>
      <w:sz w:val="22"/>
    </w:rPr>
  </w:style>
  <w:style w:type="paragraph" w:customStyle="1" w:styleId="33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color w:val="0000FF"/>
      <w:kern w:val="0"/>
      <w:sz w:val="24"/>
      <w:szCs w:val="24"/>
    </w:rPr>
  </w:style>
  <w:style w:type="paragraph" w:customStyle="1" w:styleId="33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b/>
      <w:bCs/>
      <w:color w:val="000000"/>
      <w:kern w:val="0"/>
      <w:sz w:val="20"/>
      <w:szCs w:val="20"/>
    </w:rPr>
  </w:style>
  <w:style w:type="paragraph" w:customStyle="1" w:styleId="33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b/>
      <w:bCs/>
      <w:color w:val="000000"/>
      <w:kern w:val="0"/>
      <w:sz w:val="20"/>
      <w:szCs w:val="20"/>
    </w:rPr>
  </w:style>
  <w:style w:type="paragraph" w:customStyle="1" w:styleId="333">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color w:val="000000"/>
      <w:kern w:val="0"/>
      <w:sz w:val="24"/>
      <w:szCs w:val="24"/>
    </w:rPr>
  </w:style>
  <w:style w:type="paragraph" w:customStyle="1" w:styleId="334">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color w:val="000000"/>
      <w:kern w:val="0"/>
      <w:sz w:val="24"/>
      <w:szCs w:val="24"/>
    </w:rPr>
  </w:style>
  <w:style w:type="paragraph" w:customStyle="1" w:styleId="335">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kern w:val="0"/>
      <w:sz w:val="24"/>
      <w:szCs w:val="24"/>
    </w:rPr>
  </w:style>
  <w:style w:type="paragraph" w:customStyle="1" w:styleId="336">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color w:val="000000"/>
      <w:kern w:val="0"/>
      <w:sz w:val="24"/>
      <w:szCs w:val="24"/>
    </w:rPr>
  </w:style>
  <w:style w:type="paragraph" w:customStyle="1" w:styleId="337">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color w:val="000000"/>
      <w:kern w:val="0"/>
      <w:sz w:val="24"/>
      <w:szCs w:val="24"/>
    </w:rPr>
  </w:style>
  <w:style w:type="paragraph" w:customStyle="1" w:styleId="338">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微软雅黑" w:hAnsi="微软雅黑" w:eastAsia="微软雅黑" w:cs="宋体"/>
      <w:kern w:val="0"/>
      <w:sz w:val="18"/>
      <w:szCs w:val="18"/>
    </w:rPr>
  </w:style>
  <w:style w:type="paragraph" w:customStyle="1" w:styleId="339">
    <w:name w:val="et16"/>
    <w:basedOn w:val="1"/>
    <w:qFormat/>
    <w:uiPriority w:val="0"/>
    <w:pPr>
      <w:widowControl/>
      <w:pBdr>
        <w:top w:val="single" w:color="000000" w:sz="4" w:space="0"/>
        <w:left w:val="single" w:color="000000" w:sz="4" w:space="0"/>
        <w:right w:val="single" w:color="000000" w:sz="4" w:space="0"/>
      </w:pBdr>
      <w:spacing w:before="100" w:beforeAutospacing="1" w:after="100" w:afterAutospacing="1"/>
      <w:ind w:firstLine="0" w:firstLineChars="0"/>
      <w:jc w:val="center"/>
    </w:pPr>
    <w:rPr>
      <w:rFonts w:ascii="宋体" w:hAnsi="宋体" w:cs="宋体"/>
      <w:kern w:val="0"/>
      <w:sz w:val="24"/>
      <w:szCs w:val="24"/>
    </w:rPr>
  </w:style>
  <w:style w:type="paragraph" w:customStyle="1" w:styleId="340">
    <w:name w:val="et17"/>
    <w:basedOn w:val="1"/>
    <w:qFormat/>
    <w:uiPriority w:val="0"/>
    <w:pPr>
      <w:widowControl/>
      <w:pBdr>
        <w:left w:val="single" w:color="000000" w:sz="4" w:space="0"/>
        <w:right w:val="single" w:color="000000" w:sz="4" w:space="0"/>
      </w:pBdr>
      <w:spacing w:before="100" w:beforeAutospacing="1" w:after="100" w:afterAutospacing="1"/>
      <w:ind w:firstLine="0" w:firstLineChars="0"/>
      <w:jc w:val="center"/>
    </w:pPr>
    <w:rPr>
      <w:rFonts w:ascii="宋体" w:hAnsi="宋体" w:cs="宋体"/>
      <w:kern w:val="0"/>
      <w:sz w:val="24"/>
      <w:szCs w:val="24"/>
    </w:rPr>
  </w:style>
  <w:style w:type="paragraph" w:customStyle="1" w:styleId="341">
    <w:name w:val="et18"/>
    <w:basedOn w:val="1"/>
    <w:qFormat/>
    <w:uiPriority w:val="0"/>
    <w:pPr>
      <w:widowControl/>
      <w:pBdr>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kern w:val="0"/>
      <w:sz w:val="24"/>
      <w:szCs w:val="24"/>
    </w:rPr>
  </w:style>
  <w:style w:type="paragraph" w:customStyle="1" w:styleId="342">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微软雅黑" w:hAnsi="微软雅黑" w:eastAsia="微软雅黑" w:cs="宋体"/>
      <w:kern w:val="0"/>
      <w:sz w:val="18"/>
      <w:szCs w:val="18"/>
    </w:rPr>
  </w:style>
  <w:style w:type="paragraph" w:customStyle="1" w:styleId="34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cs="宋体"/>
      <w:kern w:val="0"/>
      <w:sz w:val="21"/>
      <w:szCs w:val="21"/>
    </w:rPr>
  </w:style>
  <w:style w:type="paragraph" w:customStyle="1" w:styleId="344">
    <w:name w:val="et21"/>
    <w:basedOn w:val="1"/>
    <w:qFormat/>
    <w:uiPriority w:val="0"/>
    <w:pPr>
      <w:widowControl/>
      <w:pBdr>
        <w:top w:val="single" w:color="000000" w:sz="4" w:space="0"/>
        <w:left w:val="single" w:color="000000" w:sz="4" w:space="0"/>
        <w:bottom w:val="single" w:color="000000" w:sz="4" w:space="0"/>
      </w:pBdr>
      <w:spacing w:before="100" w:beforeAutospacing="1" w:after="100" w:afterAutospacing="1"/>
      <w:ind w:firstLine="0" w:firstLineChars="0"/>
      <w:jc w:val="center"/>
    </w:pPr>
    <w:rPr>
      <w:rFonts w:ascii="宋体" w:hAnsi="宋体" w:cs="宋体"/>
      <w:color w:val="000000"/>
      <w:kern w:val="0"/>
      <w:sz w:val="24"/>
      <w:szCs w:val="24"/>
    </w:rPr>
  </w:style>
  <w:style w:type="paragraph" w:customStyle="1" w:styleId="34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4"/>
      <w:szCs w:val="24"/>
    </w:rPr>
  </w:style>
  <w:style w:type="paragraph" w:customStyle="1" w:styleId="34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cs="Times New Roman"/>
      <w:kern w:val="0"/>
      <w:sz w:val="24"/>
      <w:szCs w:val="24"/>
    </w:rPr>
  </w:style>
  <w:style w:type="paragraph" w:customStyle="1" w:styleId="347">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center"/>
      <w:textAlignment w:val="center"/>
    </w:pPr>
    <w:rPr>
      <w:rFonts w:cs="Times New Roman"/>
      <w:kern w:val="0"/>
      <w:sz w:val="24"/>
      <w:szCs w:val="24"/>
    </w:rPr>
  </w:style>
  <w:style w:type="paragraph" w:customStyle="1" w:styleId="348">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center"/>
      <w:textAlignment w:val="center"/>
    </w:pPr>
    <w:rPr>
      <w:rFonts w:cs="Times New Roman"/>
      <w:kern w:val="0"/>
      <w:sz w:val="24"/>
      <w:szCs w:val="24"/>
    </w:rPr>
  </w:style>
  <w:style w:type="paragraph" w:customStyle="1" w:styleId="349">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left"/>
      <w:textAlignment w:val="center"/>
    </w:pPr>
    <w:rPr>
      <w:rFonts w:cs="Times New Roman"/>
      <w:kern w:val="0"/>
      <w:sz w:val="24"/>
      <w:szCs w:val="24"/>
    </w:rPr>
  </w:style>
  <w:style w:type="paragraph" w:customStyle="1" w:styleId="35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right"/>
      <w:textAlignment w:val="center"/>
    </w:pPr>
    <w:rPr>
      <w:rFonts w:cs="Times New Roman"/>
      <w:kern w:val="0"/>
      <w:sz w:val="24"/>
      <w:szCs w:val="24"/>
    </w:rPr>
  </w:style>
  <w:style w:type="paragraph" w:customStyle="1" w:styleId="35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left"/>
      <w:textAlignment w:val="center"/>
    </w:pPr>
    <w:rPr>
      <w:rFonts w:ascii="宋体" w:hAnsi="宋体" w:cs="宋体"/>
      <w:kern w:val="0"/>
      <w:sz w:val="24"/>
      <w:szCs w:val="24"/>
    </w:rPr>
  </w:style>
  <w:style w:type="paragraph" w:customStyle="1" w:styleId="35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center"/>
      <w:textAlignment w:val="center"/>
    </w:pPr>
    <w:rPr>
      <w:rFonts w:cs="Times New Roman"/>
      <w:kern w:val="0"/>
      <w:sz w:val="24"/>
      <w:szCs w:val="24"/>
    </w:rPr>
  </w:style>
  <w:style w:type="paragraph" w:customStyle="1" w:styleId="35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center"/>
      <w:textAlignment w:val="center"/>
    </w:pPr>
    <w:rPr>
      <w:rFonts w:cs="Times New Roman"/>
      <w:kern w:val="0"/>
      <w:sz w:val="24"/>
      <w:szCs w:val="24"/>
    </w:rPr>
  </w:style>
  <w:style w:type="paragraph" w:customStyle="1" w:styleId="354">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ind w:firstLine="0" w:firstLineChars="0"/>
      <w:jc w:val="center"/>
      <w:textAlignment w:val="center"/>
    </w:pPr>
    <w:rPr>
      <w:rFonts w:ascii="宋体" w:hAnsi="宋体" w:cs="宋体"/>
      <w:kern w:val="0"/>
      <w:sz w:val="24"/>
      <w:szCs w:val="24"/>
    </w:rPr>
  </w:style>
  <w:style w:type="paragraph" w:customStyle="1" w:styleId="35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cs="Times New Roman"/>
      <w:kern w:val="0"/>
      <w:sz w:val="24"/>
      <w:szCs w:val="24"/>
    </w:rPr>
  </w:style>
  <w:style w:type="table" w:customStyle="1" w:styleId="356">
    <w:name w:val="Table Normal4"/>
    <w:semiHidden/>
    <w:unhideWhenUsed/>
    <w:qFormat/>
    <w:uiPriority w:val="2"/>
    <w:tblPr>
      <w:tblCellMar>
        <w:top w:w="0" w:type="dxa"/>
        <w:left w:w="0" w:type="dxa"/>
        <w:bottom w:w="0" w:type="dxa"/>
        <w:right w:w="0" w:type="dxa"/>
      </w:tblCellMar>
    </w:tblPr>
  </w:style>
  <w:style w:type="table" w:customStyle="1" w:styleId="357">
    <w:name w:val="Table Normal5"/>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58">
    <w:name w:val="网格型浅色1"/>
    <w:basedOn w:val="38"/>
    <w:qFormat/>
    <w:uiPriority w:val="40"/>
    <w:rPr>
      <w:kern w:val="2"/>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359">
    <w:name w:val="表格标题 Char"/>
    <w:link w:val="141"/>
    <w:qFormat/>
    <w:uiPriority w:val="0"/>
    <w:rPr>
      <w:rFonts w:ascii="Arial" w:hAnsi="Arial" w:eastAsia="黑体" w:cs="Times New Roman"/>
      <w:sz w:val="24"/>
    </w:rPr>
  </w:style>
  <w:style w:type="table" w:customStyle="1" w:styleId="360">
    <w:name w:val="Table Normal6"/>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61">
    <w:name w:val="NNNxinjian11"/>
    <w:basedOn w:val="38"/>
    <w:qFormat/>
    <w:uiPriority w:val="99"/>
    <w:pPr>
      <w:spacing w:line="360" w:lineRule="auto"/>
      <w:jc w:val="center"/>
    </w:pPr>
    <w:rPr>
      <w:rFonts w:ascii="Times New Roman" w:hAnsi="Times New Roman" w:eastAsia="宋体" w:cs="Times New Roman"/>
    </w:rPr>
    <w:tblPr>
      <w:jc w:val="center"/>
      <w:tblBorders>
        <w:top w:val="single" w:color="auto" w:sz="4" w:space="0"/>
        <w:bottom w:val="double" w:color="auto" w:sz="4" w:space="0"/>
        <w:insideH w:val="single" w:color="auto" w:sz="4" w:space="0"/>
        <w:insideV w:val="single" w:color="auto" w:sz="4" w:space="0"/>
      </w:tblBorders>
    </w:tblPr>
    <w:trPr>
      <w:jc w:val="center"/>
    </w:trPr>
    <w:tcPr>
      <w:vAlign w:val="center"/>
    </w:tcPr>
    <w:tblStylePr w:type="firstRow">
      <w:tcPr>
        <w:tcBorders>
          <w:top w:val="double" w:color="auto" w:sz="4" w:space="0"/>
        </w:tcBorders>
        <w:shd w:val="clear" w:color="auto" w:fill="D9D9D9"/>
      </w:tcPr>
    </w:tblStylePr>
    <w:tblStylePr w:type="lastRow">
      <w:tcPr>
        <w:tcBorders>
          <w:top w:val="nil"/>
          <w:bottom w:val="nil"/>
        </w:tcBorders>
      </w:tcPr>
    </w:tblStylePr>
  </w:style>
  <w:style w:type="table" w:customStyle="1" w:styleId="362">
    <w:name w:val="Table Normal7"/>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63">
    <w:name w:val="网格型浅色2"/>
    <w:basedOn w:val="38"/>
    <w:qFormat/>
    <w:uiPriority w:val="40"/>
    <w:rPr>
      <w:kern w:val="2"/>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64">
    <w:name w:val="TableGrid1"/>
    <w:qFormat/>
    <w:uiPriority w:val="0"/>
    <w:rPr>
      <w:kern w:val="2"/>
      <w:sz w:val="21"/>
      <w:szCs w:val="22"/>
    </w:rPr>
    <w:tblPr>
      <w:tblCellMar>
        <w:top w:w="0" w:type="dxa"/>
        <w:left w:w="0" w:type="dxa"/>
        <w:bottom w:w="0" w:type="dxa"/>
        <w:right w:w="0" w:type="dxa"/>
      </w:tblCellMar>
    </w:tblPr>
  </w:style>
  <w:style w:type="table" w:customStyle="1" w:styleId="365">
    <w:name w:val="Table Normal8"/>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66">
    <w:name w:val="Table Normal9"/>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67">
    <w:name w:val="网格型浅色3"/>
    <w:basedOn w:val="38"/>
    <w:qFormat/>
    <w:uiPriority w:val="40"/>
    <w:rPr>
      <w:kern w:val="2"/>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68">
    <w:name w:val="网格型5"/>
    <w:basedOn w:val="3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NNNxinjian12"/>
    <w:basedOn w:val="38"/>
    <w:qFormat/>
    <w:uiPriority w:val="99"/>
    <w:pPr>
      <w:spacing w:line="360" w:lineRule="auto"/>
      <w:jc w:val="center"/>
    </w:pPr>
    <w:rPr>
      <w:rFonts w:ascii="Times New Roman" w:hAnsi="Times New Roman" w:eastAsia="宋体" w:cs="Times New Roman"/>
    </w:rPr>
    <w:tblPr>
      <w:jc w:val="center"/>
      <w:tblBorders>
        <w:top w:val="single" w:color="auto" w:sz="4" w:space="0"/>
        <w:bottom w:val="double" w:color="auto" w:sz="4" w:space="0"/>
        <w:insideH w:val="single" w:color="auto" w:sz="4" w:space="0"/>
        <w:insideV w:val="single" w:color="auto" w:sz="4" w:space="0"/>
      </w:tblBorders>
    </w:tblPr>
    <w:trPr>
      <w:jc w:val="center"/>
    </w:trPr>
    <w:tcPr>
      <w:vAlign w:val="center"/>
    </w:tcPr>
    <w:tblStylePr w:type="firstRow">
      <w:tcPr>
        <w:tcBorders>
          <w:top w:val="double" w:color="auto" w:sz="4" w:space="0"/>
        </w:tcBorders>
        <w:shd w:val="clear" w:color="auto" w:fill="D9D9D9"/>
      </w:tcPr>
    </w:tblStylePr>
    <w:tblStylePr w:type="lastRow">
      <w:tcPr>
        <w:tcBorders>
          <w:top w:val="nil"/>
          <w:bottom w:val="nil"/>
        </w:tcBorders>
      </w:tcPr>
    </w:tblStylePr>
  </w:style>
  <w:style w:type="table" w:customStyle="1" w:styleId="370">
    <w:name w:val="Table Normal10"/>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71">
    <w:name w:val="网格型浅色4"/>
    <w:basedOn w:val="38"/>
    <w:qFormat/>
    <w:uiPriority w:val="40"/>
    <w:rPr>
      <w:kern w:val="2"/>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2">
    <w:name w:val="TableGrid2"/>
    <w:qFormat/>
    <w:uiPriority w:val="0"/>
    <w:rPr>
      <w:kern w:val="2"/>
      <w:sz w:val="21"/>
      <w:szCs w:val="22"/>
    </w:rPr>
    <w:tblPr>
      <w:tblCellMar>
        <w:top w:w="0" w:type="dxa"/>
        <w:left w:w="0" w:type="dxa"/>
        <w:bottom w:w="0" w:type="dxa"/>
        <w:right w:w="0" w:type="dxa"/>
      </w:tblCellMar>
    </w:tblPr>
  </w:style>
  <w:style w:type="paragraph" w:customStyle="1" w:styleId="373">
    <w:name w:val="h-01"/>
    <w:basedOn w:val="1"/>
    <w:link w:val="374"/>
    <w:qFormat/>
    <w:uiPriority w:val="0"/>
    <w:pPr>
      <w:keepNext/>
      <w:keepLines/>
      <w:spacing w:before="156" w:beforeLines="50" w:after="156" w:afterLines="50" w:line="480" w:lineRule="auto"/>
      <w:ind w:firstLine="0" w:firstLineChars="0"/>
      <w:jc w:val="center"/>
      <w:outlineLvl w:val="0"/>
    </w:pPr>
    <w:rPr>
      <w:rFonts w:ascii="Calibri" w:hAnsi="Calibri" w:eastAsia="仿宋" w:cs="Times New Roman"/>
      <w:b/>
      <w:bCs/>
      <w:kern w:val="44"/>
      <w:sz w:val="32"/>
      <w:szCs w:val="44"/>
    </w:rPr>
  </w:style>
  <w:style w:type="character" w:customStyle="1" w:styleId="374">
    <w:name w:val="h-01 字符"/>
    <w:basedOn w:val="40"/>
    <w:link w:val="373"/>
    <w:qFormat/>
    <w:uiPriority w:val="0"/>
    <w:rPr>
      <w:rFonts w:ascii="Calibri" w:hAnsi="Calibri" w:eastAsia="仿宋" w:cs="Times New Roman"/>
      <w:b/>
      <w:bCs/>
      <w:kern w:val="44"/>
      <w:sz w:val="32"/>
      <w:szCs w:val="44"/>
    </w:rPr>
  </w:style>
  <w:style w:type="paragraph" w:customStyle="1" w:styleId="375">
    <w:name w:val="h-02"/>
    <w:basedOn w:val="3"/>
    <w:link w:val="376"/>
    <w:qFormat/>
    <w:uiPriority w:val="0"/>
    <w:pPr>
      <w:spacing w:before="156" w:beforeLines="50" w:after="156" w:afterLines="50" w:line="480" w:lineRule="auto"/>
      <w:jc w:val="left"/>
    </w:pPr>
    <w:rPr>
      <w:rFonts w:ascii="仿宋" w:hAnsi="仿宋" w:eastAsia="仿宋" w:cstheme="majorBidi"/>
      <w:b/>
      <w:sz w:val="30"/>
    </w:rPr>
  </w:style>
  <w:style w:type="character" w:customStyle="1" w:styleId="376">
    <w:name w:val="h-02 字符"/>
    <w:basedOn w:val="50"/>
    <w:link w:val="375"/>
    <w:qFormat/>
    <w:uiPriority w:val="0"/>
    <w:rPr>
      <w:rFonts w:ascii="仿宋" w:hAnsi="仿宋" w:eastAsia="仿宋" w:cstheme="majorBidi"/>
      <w:b/>
      <w:kern w:val="2"/>
      <w:sz w:val="30"/>
      <w:szCs w:val="32"/>
    </w:rPr>
  </w:style>
  <w:style w:type="paragraph" w:customStyle="1" w:styleId="377">
    <w:name w:val="xl60"/>
    <w:basedOn w:val="1"/>
    <w:qFormat/>
    <w:uiPriority w:val="0"/>
    <w:pPr>
      <w:widowControl/>
      <w:spacing w:before="100" w:beforeAutospacing="1" w:after="100" w:afterAutospacing="1"/>
      <w:ind w:firstLine="0" w:firstLineChars="0"/>
      <w:jc w:val="center"/>
    </w:pPr>
    <w:rPr>
      <w:rFonts w:ascii="宋体" w:hAnsi="宋体" w:cs="宋体"/>
      <w:kern w:val="0"/>
      <w:sz w:val="24"/>
      <w:szCs w:val="24"/>
    </w:rPr>
  </w:style>
  <w:style w:type="paragraph" w:customStyle="1" w:styleId="3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Cs w:val="28"/>
    </w:rPr>
  </w:style>
  <w:style w:type="paragraph" w:customStyle="1" w:styleId="37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4"/>
      <w:szCs w:val="24"/>
    </w:rPr>
  </w:style>
  <w:style w:type="paragraph" w:customStyle="1" w:styleId="38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 w:val="24"/>
      <w:szCs w:val="24"/>
    </w:rPr>
  </w:style>
  <w:style w:type="paragraph" w:customStyle="1" w:styleId="38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color w:val="2E75B6" w:themeColor="accent1" w:themeShade="BF"/>
      <w:kern w:val="0"/>
      <w:sz w:val="32"/>
      <w:szCs w:val="32"/>
    </w:rPr>
  </w:style>
  <w:style w:type="character" w:customStyle="1" w:styleId="382">
    <w:name w:val="ds-markdown-cite"/>
    <w:basedOn w:val="40"/>
    <w:qFormat/>
    <w:uiPriority w:val="0"/>
  </w:style>
  <w:style w:type="paragraph" w:customStyle="1" w:styleId="383">
    <w:name w:val="Char4"/>
    <w:basedOn w:val="1"/>
    <w:qFormat/>
    <w:uiPriority w:val="0"/>
    <w:pPr>
      <w:ind w:firstLine="0" w:firstLineChars="0"/>
    </w:pPr>
    <w:rPr>
      <w:rFonts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816AA-9256-4D4B-9C1B-70B52C97C52B}">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4259</Words>
  <Characters>4486</Characters>
  <Lines>55</Lines>
  <Paragraphs>15</Paragraphs>
  <TotalTime>738</TotalTime>
  <ScaleCrop>false</ScaleCrop>
  <LinksUpToDate>false</LinksUpToDate>
  <CharactersWithSpaces>4508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2025-08-24T02:57:00Z</dcterms:created>
  <dc:creator>Administrator</dc:creator>
  <cp:lastModifiedBy>胎压检测员 孙师傅</cp:lastModifiedBy>
  <cp:lastPrinted>2025-09-24T02:06:00Z</cp:lastPrinted>
  <dcterms:modified xsi:type="dcterms:W3CDTF">2025-09-24T07:28:31Z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9D4A1713DAFE46E19307AEFB0BBF71F4</vt:lpwstr>
  </property>
  <property fmtid="{D5CDD505-2E9C-101B-9397-08002B2CF9AE}" pid="4" name="KSOTemplateDocerSaveRecord">
    <vt:lpwstr>eyJoZGlkIjoiNjc2ZmQwZWQ3NzJkMjllMGZiY2I2NTNkN2Q5ZmZhZDIiLCJ1c2VySWQiOiIyNTQyMTgyOTAifQ==</vt:lpwstr>
  </property>
</Properties>
</file>