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60C8D">
      <w:pPr>
        <w:pStyle w:val="8"/>
        <w:ind w:left="0" w:firstLine="0" w:firstLineChars="0"/>
        <w:jc w:val="center"/>
        <w:rPr>
          <w:rFonts w:hint="default" w:ascii="Times New Roman" w:hAnsi="Times New Roman" w:cs="Times New Roman"/>
          <w:b/>
          <w:sz w:val="40"/>
          <w:szCs w:val="40"/>
          <w:lang w:eastAsia="zh-CN"/>
        </w:rPr>
      </w:pPr>
      <w:bookmarkStart w:id="24" w:name="_GoBack"/>
      <w:r>
        <w:rPr>
          <w:rFonts w:hint="default" w:ascii="Times New Roman" w:hAnsi="Times New Roman" w:cs="Times New Roman"/>
          <w:b/>
          <w:sz w:val="40"/>
          <w:szCs w:val="40"/>
          <w:lang w:eastAsia="zh-CN"/>
        </w:rPr>
        <w:t>三明市海绵城市绿地设计导则</w:t>
      </w:r>
    </w:p>
    <w:p w14:paraId="41CAC57A">
      <w:pPr>
        <w:pStyle w:val="8"/>
        <w:ind w:left="0" w:firstLine="0" w:firstLineChars="0"/>
        <w:jc w:val="center"/>
        <w:rPr>
          <w:rFonts w:hint="default" w:ascii="Times New Roman" w:hAnsi="Times New Roman" w:cs="Times New Roman"/>
          <w:b/>
          <w:sz w:val="40"/>
          <w:szCs w:val="40"/>
          <w:lang w:eastAsia="zh-CN"/>
        </w:rPr>
      </w:pPr>
      <w:r>
        <w:rPr>
          <w:rFonts w:hint="eastAsia" w:ascii="Times New Roman" w:hAnsi="Times New Roman" w:cs="Times New Roman"/>
          <w:b/>
          <w:sz w:val="40"/>
          <w:szCs w:val="40"/>
          <w:lang w:eastAsia="zh-CN"/>
        </w:rPr>
        <w:t>（</w:t>
      </w:r>
      <w:r>
        <w:rPr>
          <w:rFonts w:hint="eastAsia" w:ascii="Times New Roman" w:hAnsi="Times New Roman" w:cs="Times New Roman"/>
          <w:b/>
          <w:sz w:val="40"/>
          <w:szCs w:val="40"/>
          <w:lang w:val="en-US" w:eastAsia="zh-CN"/>
        </w:rPr>
        <w:t>征求意见稿</w:t>
      </w:r>
      <w:r>
        <w:rPr>
          <w:rFonts w:hint="eastAsia" w:ascii="Times New Roman" w:hAnsi="Times New Roman" w:cs="Times New Roman"/>
          <w:b/>
          <w:sz w:val="40"/>
          <w:szCs w:val="40"/>
          <w:lang w:eastAsia="zh-CN"/>
        </w:rPr>
        <w:t>）</w:t>
      </w:r>
    </w:p>
    <w:bookmarkEnd w:id="24"/>
    <w:p w14:paraId="0F801529">
      <w:pPr>
        <w:pStyle w:val="8"/>
        <w:ind w:firstLine="102" w:firstLineChars="51"/>
        <w:rPr>
          <w:rFonts w:hint="default" w:ascii="Times New Roman" w:hAnsi="Times New Roman" w:cs="Times New Roman"/>
          <w:sz w:val="20"/>
          <w:szCs w:val="20"/>
          <w:lang w:eastAsia="zh-CN"/>
        </w:rPr>
      </w:pPr>
    </w:p>
    <w:p w14:paraId="3F5BF36E">
      <w:pPr>
        <w:pStyle w:val="8"/>
        <w:ind w:firstLine="102" w:firstLineChars="51"/>
        <w:rPr>
          <w:rFonts w:hint="default" w:ascii="Times New Roman" w:hAnsi="Times New Roman" w:cs="Times New Roman"/>
          <w:sz w:val="20"/>
          <w:szCs w:val="20"/>
          <w:lang w:eastAsia="zh-CN"/>
        </w:rPr>
      </w:pPr>
    </w:p>
    <w:p w14:paraId="2FA27003">
      <w:pPr>
        <w:pStyle w:val="8"/>
        <w:ind w:firstLine="102" w:firstLineChars="51"/>
        <w:rPr>
          <w:rFonts w:hint="default" w:ascii="Times New Roman" w:hAnsi="Times New Roman" w:cs="Times New Roman"/>
          <w:sz w:val="20"/>
          <w:szCs w:val="20"/>
          <w:lang w:eastAsia="zh-CN"/>
        </w:rPr>
      </w:pPr>
    </w:p>
    <w:p w14:paraId="0FB60873">
      <w:pPr>
        <w:pStyle w:val="8"/>
        <w:ind w:firstLine="102" w:firstLineChars="51"/>
        <w:rPr>
          <w:rFonts w:hint="default" w:ascii="Times New Roman" w:hAnsi="Times New Roman" w:cs="Times New Roman"/>
          <w:sz w:val="20"/>
          <w:szCs w:val="20"/>
          <w:lang w:eastAsia="zh-CN"/>
        </w:rPr>
      </w:pPr>
    </w:p>
    <w:p w14:paraId="1F5D29A8">
      <w:pPr>
        <w:pStyle w:val="8"/>
        <w:ind w:firstLine="102" w:firstLineChars="51"/>
        <w:rPr>
          <w:rFonts w:hint="default" w:ascii="Times New Roman" w:hAnsi="Times New Roman" w:cs="Times New Roman"/>
          <w:sz w:val="20"/>
          <w:szCs w:val="20"/>
          <w:lang w:eastAsia="zh-CN"/>
        </w:rPr>
      </w:pPr>
    </w:p>
    <w:p w14:paraId="3D833856">
      <w:pPr>
        <w:pStyle w:val="8"/>
        <w:ind w:firstLine="102" w:firstLineChars="51"/>
        <w:rPr>
          <w:rFonts w:hint="default" w:ascii="Times New Roman" w:hAnsi="Times New Roman" w:cs="Times New Roman"/>
          <w:sz w:val="20"/>
          <w:szCs w:val="20"/>
          <w:lang w:eastAsia="zh-CN"/>
        </w:rPr>
      </w:pPr>
    </w:p>
    <w:p w14:paraId="086F653E">
      <w:pPr>
        <w:spacing w:line="276" w:lineRule="auto"/>
        <w:ind w:firstLine="562"/>
        <w:jc w:val="center"/>
        <w:rPr>
          <w:rFonts w:hint="default" w:ascii="Times New Roman" w:hAnsi="Times New Roman" w:cs="Times New Roman"/>
          <w:b/>
          <w:sz w:val="28"/>
          <w:szCs w:val="28"/>
          <w:lang w:eastAsia="zh-CN"/>
        </w:rPr>
      </w:pPr>
    </w:p>
    <w:p w14:paraId="25E763A3">
      <w:pPr>
        <w:spacing w:line="276" w:lineRule="auto"/>
        <w:ind w:firstLine="562"/>
        <w:jc w:val="center"/>
        <w:rPr>
          <w:rFonts w:hint="default" w:ascii="Times New Roman" w:hAnsi="Times New Roman" w:cs="Times New Roman"/>
          <w:b/>
          <w:sz w:val="28"/>
          <w:szCs w:val="28"/>
          <w:lang w:eastAsia="zh-CN"/>
        </w:rPr>
      </w:pPr>
    </w:p>
    <w:p w14:paraId="53701896">
      <w:pPr>
        <w:ind w:firstLine="562"/>
        <w:jc w:val="center"/>
        <w:rPr>
          <w:rFonts w:hint="default" w:ascii="Times New Roman" w:hAnsi="Times New Roman" w:cs="Times New Roman"/>
          <w:b/>
          <w:sz w:val="28"/>
          <w:szCs w:val="28"/>
          <w:lang w:eastAsia="zh-CN"/>
        </w:rPr>
      </w:pPr>
    </w:p>
    <w:p w14:paraId="5F05C2F5">
      <w:pPr>
        <w:ind w:firstLine="562"/>
        <w:jc w:val="center"/>
        <w:rPr>
          <w:rFonts w:hint="default" w:ascii="Times New Roman" w:hAnsi="Times New Roman" w:cs="Times New Roman"/>
          <w:b/>
          <w:sz w:val="28"/>
          <w:szCs w:val="28"/>
          <w:lang w:eastAsia="zh-CN"/>
        </w:rPr>
      </w:pPr>
    </w:p>
    <w:p w14:paraId="13CCA21C">
      <w:pPr>
        <w:pStyle w:val="41"/>
        <w:adjustRightInd/>
        <w:spacing w:line="480" w:lineRule="auto"/>
        <w:ind w:firstLine="561"/>
        <w:jc w:val="center"/>
        <w:rPr>
          <w:rFonts w:hint="default" w:ascii="Times New Roman" w:hAnsi="Times New Roman" w:eastAsia="黑体" w:cs="Times New Roman"/>
          <w:bCs/>
          <w:color w:val="auto"/>
          <w:sz w:val="28"/>
          <w:szCs w:val="28"/>
        </w:rPr>
      </w:pPr>
      <w:r>
        <w:rPr>
          <w:rFonts w:hint="default" w:ascii="Times New Roman" w:hAnsi="Times New Roman" w:eastAsia="黑体" w:cs="Times New Roman"/>
          <w:bCs/>
          <w:color w:val="auto"/>
          <w:sz w:val="28"/>
          <w:szCs w:val="28"/>
        </w:rPr>
        <w:t>三明市城市管理局</w:t>
      </w:r>
    </w:p>
    <w:p w14:paraId="657E85C0">
      <w:pPr>
        <w:spacing w:after="240" w:afterLines="100" w:line="240" w:lineRule="exact"/>
        <w:ind w:firstLine="560"/>
        <w:jc w:val="center"/>
        <w:rPr>
          <w:rFonts w:hint="default" w:ascii="Times New Roman" w:hAnsi="Times New Roman" w:eastAsia="黑体" w:cs="Times New Roman"/>
          <w:bCs/>
          <w:sz w:val="28"/>
          <w:szCs w:val="28"/>
          <w:lang w:eastAsia="zh-CN"/>
        </w:rPr>
      </w:pPr>
      <w:r>
        <w:rPr>
          <w:rFonts w:hint="default" w:ascii="Times New Roman" w:hAnsi="Times New Roman" w:eastAsia="黑体" w:cs="Times New Roman"/>
          <w:bCs/>
          <w:sz w:val="28"/>
          <w:szCs w:val="28"/>
          <w:lang w:eastAsia="zh-CN"/>
        </w:rPr>
        <w:t>2024年</w:t>
      </w:r>
      <w:r>
        <w:rPr>
          <w:rFonts w:hint="default" w:ascii="Times New Roman" w:hAnsi="Times New Roman" w:eastAsia="黑体" w:cs="Times New Roman"/>
          <w:bCs/>
          <w:color w:val="auto"/>
          <w:sz w:val="28"/>
          <w:szCs w:val="28"/>
          <w:lang w:val="en-US" w:eastAsia="zh-CN"/>
        </w:rPr>
        <w:t>1</w:t>
      </w:r>
      <w:r>
        <w:rPr>
          <w:rFonts w:hint="eastAsia" w:ascii="Times New Roman" w:hAnsi="Times New Roman" w:eastAsia="黑体" w:cs="Times New Roman"/>
          <w:bCs/>
          <w:color w:val="auto"/>
          <w:sz w:val="28"/>
          <w:szCs w:val="28"/>
          <w:lang w:val="en-US" w:eastAsia="zh-CN"/>
        </w:rPr>
        <w:t>2</w:t>
      </w:r>
      <w:r>
        <w:rPr>
          <w:rFonts w:hint="default" w:ascii="Times New Roman" w:hAnsi="Times New Roman" w:eastAsia="黑体" w:cs="Times New Roman"/>
          <w:bCs/>
          <w:sz w:val="28"/>
          <w:szCs w:val="28"/>
          <w:lang w:eastAsia="zh-CN"/>
        </w:rPr>
        <w:t>月</w:t>
      </w:r>
    </w:p>
    <w:p w14:paraId="5D1A193A">
      <w:pPr>
        <w:ind w:firstLine="562"/>
        <w:jc w:val="center"/>
        <w:rPr>
          <w:rFonts w:hint="default" w:ascii="Times New Roman" w:hAnsi="Times New Roman" w:cs="Times New Roman"/>
          <w:b/>
          <w:sz w:val="28"/>
          <w:szCs w:val="28"/>
          <w:lang w:eastAsia="zh-CN"/>
        </w:rPr>
      </w:pPr>
    </w:p>
    <w:p w14:paraId="5C31620C">
      <w:pPr>
        <w:ind w:firstLine="562"/>
        <w:jc w:val="center"/>
        <w:rPr>
          <w:rFonts w:hint="default" w:ascii="Times New Roman" w:hAnsi="Times New Roman" w:cs="Times New Roman"/>
          <w:b/>
          <w:sz w:val="28"/>
          <w:szCs w:val="28"/>
          <w:lang w:eastAsia="zh-CN"/>
        </w:rPr>
      </w:pPr>
    </w:p>
    <w:p w14:paraId="16C5C57B">
      <w:pPr>
        <w:ind w:firstLine="562"/>
        <w:jc w:val="center"/>
        <w:rPr>
          <w:rFonts w:hint="default" w:ascii="Times New Roman" w:hAnsi="Times New Roman" w:cs="Times New Roman"/>
          <w:b/>
          <w:sz w:val="28"/>
          <w:szCs w:val="28"/>
          <w:lang w:eastAsia="zh-CN"/>
        </w:rPr>
      </w:pPr>
    </w:p>
    <w:p w14:paraId="1858F7CD">
      <w:pPr>
        <w:ind w:firstLine="562"/>
        <w:jc w:val="center"/>
        <w:rPr>
          <w:rFonts w:hint="default" w:ascii="Times New Roman" w:hAnsi="Times New Roman" w:cs="Times New Roman"/>
          <w:b/>
          <w:sz w:val="28"/>
          <w:szCs w:val="28"/>
          <w:lang w:eastAsia="zh-CN"/>
        </w:rPr>
      </w:pPr>
    </w:p>
    <w:p w14:paraId="605EB003">
      <w:pPr>
        <w:ind w:firstLine="562"/>
        <w:jc w:val="center"/>
        <w:rPr>
          <w:rFonts w:hint="default" w:ascii="Times New Roman" w:hAnsi="Times New Roman" w:cs="Times New Roman"/>
          <w:b/>
          <w:sz w:val="28"/>
          <w:szCs w:val="28"/>
          <w:lang w:eastAsia="zh-CN"/>
        </w:rPr>
      </w:pPr>
    </w:p>
    <w:p w14:paraId="05176953">
      <w:pPr>
        <w:ind w:firstLine="562"/>
        <w:jc w:val="center"/>
        <w:rPr>
          <w:rFonts w:hint="default" w:ascii="Times New Roman" w:hAnsi="Times New Roman" w:cs="Times New Roman"/>
          <w:b/>
          <w:sz w:val="28"/>
          <w:szCs w:val="28"/>
          <w:lang w:eastAsia="zh-CN"/>
        </w:rPr>
      </w:pPr>
    </w:p>
    <w:p w14:paraId="163F3422">
      <w:pPr>
        <w:ind w:firstLine="562"/>
        <w:jc w:val="center"/>
        <w:rPr>
          <w:rFonts w:hint="default" w:ascii="Times New Roman" w:hAnsi="Times New Roman" w:cs="Times New Roman"/>
          <w:b/>
          <w:sz w:val="28"/>
          <w:szCs w:val="28"/>
          <w:lang w:eastAsia="zh-CN"/>
        </w:rPr>
      </w:pPr>
    </w:p>
    <w:p w14:paraId="7DB5BCF5">
      <w:pPr>
        <w:ind w:firstLine="562"/>
        <w:jc w:val="center"/>
        <w:rPr>
          <w:rFonts w:hint="default" w:ascii="Times New Roman" w:hAnsi="Times New Roman" w:cs="Times New Roman"/>
          <w:b/>
          <w:sz w:val="28"/>
          <w:szCs w:val="28"/>
          <w:lang w:eastAsia="zh-CN"/>
        </w:rPr>
      </w:pPr>
    </w:p>
    <w:p w14:paraId="6108BD62">
      <w:pPr>
        <w:ind w:firstLine="562"/>
        <w:jc w:val="center"/>
        <w:rPr>
          <w:rFonts w:hint="default" w:ascii="Times New Roman" w:hAnsi="Times New Roman" w:cs="Times New Roman"/>
          <w:b/>
          <w:sz w:val="28"/>
          <w:szCs w:val="28"/>
          <w:lang w:eastAsia="zh-CN"/>
        </w:rPr>
      </w:pPr>
    </w:p>
    <w:p w14:paraId="7F232D76">
      <w:pPr>
        <w:ind w:firstLine="562"/>
        <w:jc w:val="center"/>
        <w:rPr>
          <w:rFonts w:hint="default" w:ascii="Times New Roman" w:hAnsi="Times New Roman" w:cs="Times New Roman"/>
          <w:b/>
          <w:sz w:val="28"/>
          <w:szCs w:val="28"/>
          <w:lang w:eastAsia="zh-CN"/>
        </w:rPr>
      </w:pPr>
    </w:p>
    <w:p w14:paraId="7A1BF709">
      <w:pPr>
        <w:ind w:firstLine="562"/>
        <w:jc w:val="center"/>
        <w:rPr>
          <w:rFonts w:hint="default" w:ascii="Times New Roman" w:hAnsi="Times New Roman" w:cs="Times New Roman"/>
          <w:b/>
          <w:sz w:val="28"/>
          <w:szCs w:val="28"/>
          <w:lang w:eastAsia="zh-CN"/>
        </w:rPr>
      </w:pPr>
    </w:p>
    <w:p w14:paraId="0CD15FE8">
      <w:pPr>
        <w:ind w:firstLine="562"/>
        <w:jc w:val="center"/>
        <w:rPr>
          <w:rFonts w:hint="default" w:ascii="Times New Roman" w:hAnsi="Times New Roman" w:cs="Times New Roman"/>
          <w:b/>
          <w:sz w:val="28"/>
          <w:szCs w:val="28"/>
          <w:lang w:eastAsia="zh-CN"/>
        </w:rPr>
      </w:pPr>
    </w:p>
    <w:p w14:paraId="44AD0236">
      <w:pPr>
        <w:ind w:firstLine="562"/>
        <w:jc w:val="center"/>
        <w:rPr>
          <w:rFonts w:hint="default" w:ascii="Times New Roman" w:hAnsi="Times New Roman" w:cs="Times New Roman"/>
          <w:b/>
          <w:sz w:val="28"/>
          <w:szCs w:val="28"/>
          <w:lang w:eastAsia="zh-CN"/>
        </w:rPr>
      </w:pPr>
    </w:p>
    <w:p w14:paraId="144E2F2A">
      <w:pPr>
        <w:ind w:firstLine="562"/>
        <w:jc w:val="center"/>
        <w:rPr>
          <w:rFonts w:hint="default" w:ascii="Times New Roman" w:hAnsi="Times New Roman" w:cs="Times New Roman"/>
          <w:b/>
          <w:sz w:val="28"/>
          <w:szCs w:val="28"/>
          <w:lang w:eastAsia="zh-CN"/>
        </w:rPr>
      </w:pPr>
    </w:p>
    <w:p w14:paraId="7537B6B6">
      <w:pPr>
        <w:ind w:firstLine="562"/>
        <w:jc w:val="center"/>
        <w:rPr>
          <w:rFonts w:hint="default" w:ascii="Times New Roman" w:hAnsi="Times New Roman" w:cs="Times New Roman"/>
          <w:b/>
          <w:sz w:val="28"/>
          <w:szCs w:val="28"/>
          <w:lang w:eastAsia="zh-CN"/>
        </w:rPr>
      </w:pPr>
    </w:p>
    <w:p w14:paraId="6B3B8F20">
      <w:pPr>
        <w:ind w:firstLine="562"/>
        <w:jc w:val="center"/>
        <w:rPr>
          <w:rFonts w:hint="default" w:ascii="Times New Roman" w:hAnsi="Times New Roman" w:cs="Times New Roman"/>
          <w:b/>
          <w:sz w:val="28"/>
          <w:szCs w:val="28"/>
          <w:lang w:eastAsia="zh-CN"/>
        </w:rPr>
      </w:pPr>
    </w:p>
    <w:p w14:paraId="6459F780">
      <w:pPr>
        <w:ind w:firstLine="562"/>
        <w:jc w:val="center"/>
        <w:rPr>
          <w:rFonts w:hint="default" w:ascii="Times New Roman" w:hAnsi="Times New Roman" w:cs="Times New Roman"/>
          <w:b/>
          <w:sz w:val="28"/>
          <w:szCs w:val="28"/>
          <w:lang w:eastAsia="zh-CN"/>
        </w:rPr>
      </w:pPr>
    </w:p>
    <w:p w14:paraId="14895D7A">
      <w:pPr>
        <w:ind w:firstLine="562"/>
        <w:jc w:val="center"/>
        <w:rPr>
          <w:rFonts w:hint="default" w:ascii="Times New Roman" w:hAnsi="Times New Roman" w:cs="Times New Roman"/>
          <w:b/>
          <w:sz w:val="28"/>
          <w:szCs w:val="28"/>
          <w:lang w:eastAsia="zh-CN"/>
        </w:rPr>
      </w:pPr>
    </w:p>
    <w:p w14:paraId="3EFC0664">
      <w:pPr>
        <w:widowControl/>
        <w:spacing w:line="240" w:lineRule="auto"/>
        <w:ind w:firstLine="0" w:firstLineChars="0"/>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br w:type="page"/>
      </w:r>
    </w:p>
    <w:p w14:paraId="1DDF87B3">
      <w:pPr>
        <w:ind w:firstLine="562"/>
        <w:jc w:val="center"/>
        <w:rPr>
          <w:rFonts w:hint="default" w:ascii="Times New Roman" w:hAnsi="Times New Roman" w:cs="Times New Roman"/>
          <w:b/>
          <w:sz w:val="28"/>
          <w:szCs w:val="28"/>
          <w:lang w:eastAsia="zh-CN"/>
        </w:rPr>
      </w:pPr>
      <w:r>
        <w:rPr>
          <w:rFonts w:hint="default" w:ascii="Times New Roman" w:hAnsi="Times New Roman" w:cs="Times New Roman"/>
          <w:b/>
          <w:sz w:val="28"/>
          <w:szCs w:val="28"/>
          <w:lang w:eastAsia="zh-CN"/>
        </w:rPr>
        <w:t>前   言</w:t>
      </w:r>
    </w:p>
    <w:p w14:paraId="3007A6FA">
      <w:pPr>
        <w:ind w:firstLine="420"/>
        <w:jc w:val="both"/>
        <w:rPr>
          <w:rFonts w:hint="default" w:ascii="Times New Roman" w:hAnsi="Times New Roman" w:cs="Times New Roman"/>
          <w:lang w:eastAsia="zh-CN"/>
        </w:rPr>
      </w:pPr>
      <w:r>
        <w:rPr>
          <w:rFonts w:hint="default" w:ascii="Times New Roman" w:hAnsi="Times New Roman" w:cs="Times New Roman"/>
          <w:lang w:eastAsia="zh-CN"/>
        </w:rPr>
        <w:t>本导则根据《三明市人民政府关于印发三明市系统化全域推进海绵城市建设示范城市工作方案的通知》的相关要求，结合三明市地方实际情况，参考国家及行业相关标准，并在广泛征求意见的基础上制定的。</w:t>
      </w:r>
    </w:p>
    <w:p w14:paraId="3312B57A">
      <w:pPr>
        <w:ind w:firstLine="420"/>
        <w:jc w:val="left"/>
        <w:rPr>
          <w:rFonts w:hint="default" w:ascii="Times New Roman" w:hAnsi="Times New Roman" w:cs="Times New Roman"/>
          <w:szCs w:val="21"/>
          <w:lang w:eastAsia="zh-CN"/>
        </w:rPr>
      </w:pPr>
      <w:r>
        <w:rPr>
          <w:rFonts w:hint="default" w:ascii="Times New Roman" w:hAnsi="Times New Roman" w:cs="Times New Roman"/>
          <w:szCs w:val="21"/>
          <w:lang w:eastAsia="zh-CN"/>
        </w:rPr>
        <w:t>本导则由三明市城市管理局负责管理，由中国市政工程华北设计研究总院有限公司负责具体技术内容的解释。各单位在执行过程中，如有意见或者建议，请寄送三明市城市管理局。</w:t>
      </w:r>
    </w:p>
    <w:p w14:paraId="0BD14F6E">
      <w:pPr>
        <w:ind w:firstLine="420"/>
        <w:rPr>
          <w:rFonts w:hint="default" w:ascii="Times New Roman" w:hAnsi="Times New Roman" w:cs="Times New Roman"/>
          <w:szCs w:val="21"/>
          <w:lang w:eastAsia="zh-CN"/>
        </w:rPr>
      </w:pPr>
    </w:p>
    <w:p w14:paraId="456CE4A0">
      <w:pPr>
        <w:ind w:left="0" w:leftChars="0" w:firstLine="0" w:firstLineChars="0"/>
        <w:rPr>
          <w:rFonts w:hint="default" w:ascii="Times New Roman" w:hAnsi="Times New Roman" w:cs="Times New Roman"/>
          <w:szCs w:val="21"/>
          <w:lang w:eastAsia="zh-CN"/>
        </w:rPr>
      </w:pPr>
      <w:r>
        <w:rPr>
          <w:rFonts w:hint="default" w:ascii="Times New Roman" w:hAnsi="Times New Roman" w:cs="Times New Roman"/>
          <w:szCs w:val="21"/>
          <w:lang w:eastAsia="zh-CN"/>
        </w:rPr>
        <w:t>本导则批准单位：三明市城市管理局</w:t>
      </w:r>
    </w:p>
    <w:p w14:paraId="7D8B9E72">
      <w:pPr>
        <w:ind w:left="0" w:leftChars="0" w:firstLine="0" w:firstLineChars="0"/>
        <w:rPr>
          <w:rFonts w:hint="default" w:ascii="Times New Roman" w:hAnsi="Times New Roman" w:cs="Times New Roman"/>
          <w:szCs w:val="21"/>
          <w:lang w:eastAsia="zh-CN"/>
        </w:rPr>
      </w:pPr>
      <w:r>
        <w:rPr>
          <w:rFonts w:hint="default" w:ascii="Times New Roman" w:hAnsi="Times New Roman" w:cs="Times New Roman"/>
          <w:szCs w:val="21"/>
          <w:lang w:eastAsia="zh-CN"/>
        </w:rPr>
        <w:t>本导则主编单位：中国市政工程华北设计研究总院有限公司</w:t>
      </w:r>
    </w:p>
    <w:p w14:paraId="704A70D3">
      <w:pPr>
        <w:ind w:firstLine="420"/>
        <w:rPr>
          <w:rFonts w:hint="default" w:ascii="Times New Roman" w:hAnsi="Times New Roman" w:cs="Times New Roman"/>
          <w:szCs w:val="21"/>
          <w:lang w:eastAsia="zh-CN"/>
        </w:rPr>
      </w:pPr>
    </w:p>
    <w:p w14:paraId="72D740C4">
      <w:pPr>
        <w:ind w:left="0" w:leftChars="0" w:firstLine="0" w:firstLineChars="0"/>
        <w:rPr>
          <w:rFonts w:hint="default" w:ascii="Times New Roman" w:hAnsi="Times New Roman" w:cs="Times New Roman"/>
          <w:szCs w:val="21"/>
          <w:lang w:eastAsia="zh-CN"/>
        </w:rPr>
      </w:pPr>
      <w:r>
        <w:rPr>
          <w:rFonts w:hint="default" w:ascii="Times New Roman" w:hAnsi="Times New Roman" w:cs="Times New Roman"/>
          <w:szCs w:val="21"/>
          <w:lang w:eastAsia="zh-CN"/>
        </w:rPr>
        <w:t>本导则参编单位：</w:t>
      </w:r>
    </w:p>
    <w:p w14:paraId="46DC919E">
      <w:pPr>
        <w:ind w:firstLine="420"/>
        <w:rPr>
          <w:rFonts w:hint="default" w:ascii="Times New Roman" w:hAnsi="Times New Roman" w:cs="Times New Roman"/>
          <w:szCs w:val="21"/>
          <w:lang w:eastAsia="zh-CN"/>
        </w:rPr>
      </w:pPr>
    </w:p>
    <w:p w14:paraId="16CB4254">
      <w:pPr>
        <w:ind w:left="0" w:leftChars="0" w:firstLine="0" w:firstLineChars="0"/>
        <w:rPr>
          <w:rFonts w:hint="default" w:ascii="Times New Roman" w:hAnsi="Times New Roman" w:cs="Times New Roman"/>
          <w:szCs w:val="21"/>
          <w:lang w:eastAsia="zh-CN"/>
        </w:rPr>
      </w:pPr>
      <w:r>
        <w:rPr>
          <w:rFonts w:hint="default" w:ascii="Times New Roman" w:hAnsi="Times New Roman" w:cs="Times New Roman"/>
          <w:szCs w:val="21"/>
          <w:lang w:eastAsia="zh-CN"/>
        </w:rPr>
        <w:t xml:space="preserve">本导则主要起草人员：   </w:t>
      </w:r>
    </w:p>
    <w:p w14:paraId="230ACF3E">
      <w:pPr>
        <w:ind w:firstLine="420"/>
        <w:rPr>
          <w:rFonts w:hint="default" w:ascii="Times New Roman" w:hAnsi="Times New Roman" w:cs="Times New Roman"/>
          <w:szCs w:val="21"/>
          <w:lang w:eastAsia="zh-CN"/>
        </w:rPr>
      </w:pPr>
      <w:r>
        <w:rPr>
          <w:rFonts w:hint="default" w:ascii="Times New Roman" w:hAnsi="Times New Roman" w:cs="Times New Roman"/>
          <w:szCs w:val="21"/>
          <w:lang w:eastAsia="zh-CN"/>
        </w:rPr>
        <w:t xml:space="preserve">        </w:t>
      </w:r>
    </w:p>
    <w:p w14:paraId="70BD46F3">
      <w:pPr>
        <w:ind w:left="0" w:leftChars="0" w:firstLine="0" w:firstLineChars="0"/>
        <w:rPr>
          <w:rFonts w:hint="default" w:ascii="Times New Roman" w:hAnsi="Times New Roman" w:cs="Times New Roman"/>
          <w:szCs w:val="21"/>
          <w:lang w:eastAsia="zh-CN"/>
        </w:rPr>
      </w:pPr>
      <w:r>
        <w:rPr>
          <w:rFonts w:hint="default" w:ascii="Times New Roman" w:hAnsi="Times New Roman" w:cs="Times New Roman"/>
          <w:szCs w:val="21"/>
          <w:lang w:eastAsia="zh-CN"/>
        </w:rPr>
        <w:t xml:space="preserve">本导则主要审查人员：   </w:t>
      </w:r>
    </w:p>
    <w:p w14:paraId="0A06BA62">
      <w:pPr>
        <w:ind w:firstLine="2520" w:firstLineChars="1200"/>
        <w:jc w:val="both"/>
        <w:rPr>
          <w:rFonts w:hint="default" w:ascii="Times New Roman" w:hAnsi="Times New Roman" w:cs="Times New Roman"/>
          <w:szCs w:val="21"/>
          <w:lang w:eastAsia="zh-CN"/>
        </w:rPr>
      </w:pPr>
    </w:p>
    <w:p w14:paraId="0CAC746B">
      <w:pPr>
        <w:ind w:firstLine="2520" w:firstLineChars="1200"/>
        <w:jc w:val="both"/>
        <w:rPr>
          <w:rFonts w:hint="default" w:ascii="Times New Roman" w:hAnsi="Times New Roman" w:cs="Times New Roman"/>
          <w:szCs w:val="21"/>
          <w:lang w:eastAsia="zh-CN"/>
        </w:rPr>
        <w:sectPr>
          <w:headerReference r:id="rId5" w:type="default"/>
          <w:footerReference r:id="rId7" w:type="default"/>
          <w:headerReference r:id="rId6" w:type="even"/>
          <w:footerReference r:id="rId8" w:type="even"/>
          <w:pgSz w:w="7938" w:h="11510"/>
          <w:pgMar w:top="1134" w:right="1021" w:bottom="1021" w:left="1021" w:header="0" w:footer="737" w:gutter="0"/>
          <w:pgNumType w:fmt="decimal" w:start="1"/>
          <w:cols w:space="720" w:num="1"/>
          <w:docGrid w:linePitch="286" w:charSpace="0"/>
        </w:sectPr>
      </w:pPr>
    </w:p>
    <w:sdt>
      <w:sdtPr>
        <w:rPr>
          <w:rFonts w:hint="default" w:ascii="Times New Roman" w:hAnsi="Times New Roman" w:cs="Times New Roman" w:eastAsiaTheme="minorEastAsia"/>
          <w:b w:val="0"/>
          <w:bCs w:val="0"/>
          <w:color w:val="auto"/>
          <w:sz w:val="21"/>
          <w:szCs w:val="22"/>
          <w:lang w:val="zh-CN" w:eastAsia="en-US"/>
        </w:rPr>
        <w:id w:val="781000975"/>
      </w:sdtPr>
      <w:sdtEndPr>
        <w:rPr>
          <w:rFonts w:hint="default" w:ascii="Times New Roman" w:hAnsi="Times New Roman" w:eastAsia="宋体" w:cs="Times New Roman"/>
          <w:b w:val="0"/>
          <w:bCs w:val="0"/>
          <w:color w:val="auto"/>
          <w:sz w:val="21"/>
          <w:szCs w:val="22"/>
          <w:lang w:val="zh-CN" w:eastAsia="en-US"/>
        </w:rPr>
      </w:sdtEndPr>
      <w:sdtContent>
        <w:p w14:paraId="4AF53796">
          <w:pPr>
            <w:pStyle w:val="37"/>
            <w:ind w:firstLine="361"/>
            <w:jc w:val="center"/>
            <w:rPr>
              <w:rFonts w:hint="default" w:ascii="Times New Roman" w:hAnsi="Times New Roman" w:cs="Times New Roman"/>
              <w:color w:val="auto"/>
            </w:rPr>
          </w:pPr>
          <w:r>
            <w:rPr>
              <w:rFonts w:hint="default" w:ascii="Times New Roman" w:hAnsi="Times New Roman" w:cs="Times New Roman"/>
              <w:color w:val="auto"/>
              <w:lang w:val="zh-CN"/>
            </w:rPr>
            <w:t>目  次</w:t>
          </w:r>
        </w:p>
        <w:p w14:paraId="24FD82CA">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sz w:val="29"/>
              <w:szCs w:val="29"/>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sz w:val="29"/>
              <w:szCs w:val="29"/>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"_Toc134459165" </w:instrText>
          </w:r>
          <w:r>
            <w:rPr>
              <w:rFonts w:hint="default" w:ascii="Times New Roman" w:hAnsi="Times New Roman" w:cs="Times New Roman"/>
            </w:rPr>
            <w:fldChar w:fldCharType="separate"/>
          </w:r>
          <w:r>
            <w:rPr>
              <w:rStyle w:val="19"/>
              <w:rFonts w:hint="default" w:ascii="Times New Roman" w:hAnsi="Times New Roman" w:cs="Times New Roman"/>
              <w:lang w:eastAsia="zh-CN"/>
            </w:rPr>
            <w:t>1 总 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_Toc134459165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6CB05EDC">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"_Toc134459166" </w:instrText>
          </w:r>
          <w:r>
            <w:rPr>
              <w:rFonts w:hint="default" w:ascii="Times New Roman" w:hAnsi="Times New Roman" w:cs="Times New Roman"/>
            </w:rPr>
            <w:fldChar w:fldCharType="separate"/>
          </w:r>
          <w:r>
            <w:rPr>
              <w:rStyle w:val="19"/>
              <w:rFonts w:hint="default" w:ascii="Times New Roman" w:hAnsi="Times New Roman" w:cs="Times New Roman"/>
              <w:lang w:eastAsia="zh-CN"/>
            </w:rPr>
            <w:t>2 术语和定义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_Toc134459166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14:paraId="0B1EF321">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"_Toc134459167" </w:instrText>
          </w:r>
          <w:r>
            <w:rPr>
              <w:rFonts w:hint="default" w:ascii="Times New Roman" w:hAnsi="Times New Roman" w:cs="Times New Roman"/>
            </w:rPr>
            <w:fldChar w:fldCharType="separate"/>
          </w:r>
          <w:r>
            <w:rPr>
              <w:rStyle w:val="19"/>
              <w:rFonts w:hint="default" w:ascii="Times New Roman" w:hAnsi="Times New Roman" w:cs="Times New Roman"/>
              <w:lang w:eastAsia="zh-CN"/>
            </w:rPr>
            <w:t>3 总体设计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_Toc134459167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14:paraId="649D69DC">
          <w:pPr>
            <w:pStyle w:val="9"/>
            <w:tabs>
              <w:tab w:val="right" w:leader="dot" w:pos="5886"/>
            </w:tabs>
            <w:ind w:left="0" w:leftChars="0" w:firstLine="0" w:firstLineChars="0"/>
            <w:jc w:val="both"/>
            <w:rPr>
              <w:rFonts w:hint="default" w:ascii="Times New Roman" w:hAnsi="Times New Roman" w:cs="Times New Roman" w:eastAsiaTheme="minorEastAsia"/>
              <w:bCs w:val="0"/>
              <w:kern w:val="2"/>
              <w:szCs w:val="21"/>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"_Toc134459168" </w:instrText>
          </w:r>
          <w:r>
            <w:rPr>
              <w:rFonts w:hint="default" w:ascii="Times New Roman" w:hAnsi="Times New Roman" w:cs="Times New Roman"/>
            </w:rPr>
            <w:fldChar w:fldCharType="separate"/>
          </w:r>
          <w:r>
            <w:rPr>
              <w:rStyle w:val="19"/>
              <w:rFonts w:hint="default" w:ascii="Times New Roman" w:hAnsi="Times New Roman" w:cs="Times New Roman"/>
              <w:szCs w:val="21"/>
              <w:lang w:eastAsia="zh-CN"/>
            </w:rPr>
            <w:t>3.1 设计要求</w:t>
          </w:r>
          <w:r>
            <w:rPr>
              <w:rFonts w:hint="default" w:ascii="Times New Roman" w:hAnsi="Times New Roman" w:cs="Times New Roman"/>
              <w:szCs w:val="21"/>
            </w:rPr>
            <w:tab/>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PAGEREF _Toc134459168 \h </w:instrText>
          </w:r>
          <w:r>
            <w:rPr>
              <w:rFonts w:hint="default" w:ascii="Times New Roman" w:hAnsi="Times New Roman" w:cs="Times New Roman"/>
              <w:szCs w:val="21"/>
            </w:rPr>
            <w:fldChar w:fldCharType="separate"/>
          </w:r>
          <w:r>
            <w:rPr>
              <w:rFonts w:hint="default" w:ascii="Times New Roman" w:hAnsi="Times New Roman" w:cs="Times New Roman"/>
              <w:szCs w:val="21"/>
            </w:rPr>
            <w:t>5</w:t>
          </w:r>
          <w:r>
            <w:rPr>
              <w:rFonts w:hint="default" w:ascii="Times New Roman" w:hAnsi="Times New Roman" w:cs="Times New Roman"/>
              <w:szCs w:val="21"/>
            </w:rPr>
            <w:fldChar w:fldCharType="end"/>
          </w:r>
          <w:r>
            <w:rPr>
              <w:rFonts w:hint="default" w:ascii="Times New Roman" w:hAnsi="Times New Roman" w:cs="Times New Roman"/>
              <w:szCs w:val="21"/>
            </w:rPr>
            <w:fldChar w:fldCharType="end"/>
          </w:r>
        </w:p>
        <w:p w14:paraId="4414DBBA">
          <w:pPr>
            <w:pStyle w:val="9"/>
            <w:tabs>
              <w:tab w:val="right" w:leader="dot" w:pos="5886"/>
            </w:tabs>
            <w:ind w:left="0" w:leftChars="0" w:firstLine="0" w:firstLineChars="0"/>
            <w:jc w:val="both"/>
            <w:rPr>
              <w:rFonts w:hint="default" w:ascii="Times New Roman" w:hAnsi="Times New Roman" w:cs="Times New Roman" w:eastAsiaTheme="minorEastAsia"/>
              <w:bCs w:val="0"/>
              <w:kern w:val="2"/>
              <w:szCs w:val="21"/>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"_Toc134459169" </w:instrText>
          </w:r>
          <w:r>
            <w:rPr>
              <w:rFonts w:hint="default" w:ascii="Times New Roman" w:hAnsi="Times New Roman" w:cs="Times New Roman"/>
            </w:rPr>
            <w:fldChar w:fldCharType="separate"/>
          </w:r>
          <w:r>
            <w:rPr>
              <w:rStyle w:val="19"/>
              <w:rFonts w:hint="default" w:ascii="Times New Roman" w:hAnsi="Times New Roman" w:cs="Times New Roman"/>
              <w:szCs w:val="21"/>
              <w:lang w:eastAsia="zh-CN"/>
            </w:rPr>
            <w:t>3.2 设计成果</w:t>
          </w:r>
          <w:r>
            <w:rPr>
              <w:rFonts w:hint="default" w:ascii="Times New Roman" w:hAnsi="Times New Roman" w:cs="Times New Roman"/>
              <w:szCs w:val="21"/>
            </w:rPr>
            <w:tab/>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PAGEREF _Toc134459169 \h </w:instrText>
          </w:r>
          <w:r>
            <w:rPr>
              <w:rFonts w:hint="default" w:ascii="Times New Roman" w:hAnsi="Times New Roman" w:cs="Times New Roman"/>
              <w:szCs w:val="21"/>
            </w:rPr>
            <w:fldChar w:fldCharType="separate"/>
          </w:r>
          <w:r>
            <w:rPr>
              <w:rFonts w:hint="default" w:ascii="Times New Roman" w:hAnsi="Times New Roman" w:cs="Times New Roman"/>
              <w:szCs w:val="21"/>
            </w:rPr>
            <w:t>6</w:t>
          </w:r>
          <w:r>
            <w:rPr>
              <w:rFonts w:hint="default" w:ascii="Times New Roman" w:hAnsi="Times New Roman" w:cs="Times New Roman"/>
              <w:szCs w:val="21"/>
            </w:rPr>
            <w:fldChar w:fldCharType="end"/>
          </w:r>
          <w:r>
            <w:rPr>
              <w:rFonts w:hint="default" w:ascii="Times New Roman" w:hAnsi="Times New Roman" w:cs="Times New Roman"/>
              <w:szCs w:val="21"/>
            </w:rPr>
            <w:fldChar w:fldCharType="end"/>
          </w:r>
        </w:p>
        <w:p w14:paraId="0F943FDD">
          <w:pPr>
            <w:pStyle w:val="9"/>
            <w:tabs>
              <w:tab w:val="right" w:leader="dot" w:pos="5886"/>
            </w:tabs>
            <w:ind w:left="0" w:leftChars="0" w:firstLine="0" w:firstLineChars="0"/>
            <w:jc w:val="both"/>
            <w:rPr>
              <w:rFonts w:hint="default" w:ascii="Times New Roman" w:hAnsi="Times New Roman" w:cs="Times New Roman" w:eastAsiaTheme="minorEastAsia"/>
              <w:bCs w:val="0"/>
              <w:kern w:val="2"/>
              <w:szCs w:val="21"/>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"_Toc134459170" </w:instrText>
          </w:r>
          <w:r>
            <w:rPr>
              <w:rFonts w:hint="default" w:ascii="Times New Roman" w:hAnsi="Times New Roman" w:cs="Times New Roman"/>
            </w:rPr>
            <w:fldChar w:fldCharType="separate"/>
          </w:r>
          <w:r>
            <w:rPr>
              <w:rStyle w:val="19"/>
              <w:rFonts w:hint="default" w:ascii="Times New Roman" w:hAnsi="Times New Roman" w:cs="Times New Roman"/>
              <w:szCs w:val="21"/>
              <w:lang w:eastAsia="zh-CN"/>
            </w:rPr>
            <w:t>3.3 设计流程</w:t>
          </w:r>
          <w:r>
            <w:rPr>
              <w:rFonts w:hint="default" w:ascii="Times New Roman" w:hAnsi="Times New Roman" w:cs="Times New Roman"/>
              <w:szCs w:val="21"/>
            </w:rPr>
            <w:tab/>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PAGEREF _Toc134459170 \h </w:instrText>
          </w:r>
          <w:r>
            <w:rPr>
              <w:rFonts w:hint="default" w:ascii="Times New Roman" w:hAnsi="Times New Roman" w:cs="Times New Roman"/>
              <w:szCs w:val="21"/>
            </w:rPr>
            <w:fldChar w:fldCharType="separate"/>
          </w:r>
          <w:r>
            <w:rPr>
              <w:rFonts w:hint="default" w:ascii="Times New Roman" w:hAnsi="Times New Roman" w:cs="Times New Roman"/>
              <w:szCs w:val="21"/>
            </w:rPr>
            <w:t>8</w:t>
          </w:r>
          <w:r>
            <w:rPr>
              <w:rFonts w:hint="default" w:ascii="Times New Roman" w:hAnsi="Times New Roman" w:cs="Times New Roman"/>
              <w:szCs w:val="21"/>
            </w:rPr>
            <w:fldChar w:fldCharType="end"/>
          </w:r>
          <w:r>
            <w:rPr>
              <w:rFonts w:hint="default" w:ascii="Times New Roman" w:hAnsi="Times New Roman" w:cs="Times New Roman"/>
              <w:szCs w:val="21"/>
            </w:rPr>
            <w:fldChar w:fldCharType="end"/>
          </w:r>
        </w:p>
        <w:p w14:paraId="6956A10D">
          <w:pPr>
            <w:pStyle w:val="9"/>
            <w:tabs>
              <w:tab w:val="right" w:leader="dot" w:pos="5886"/>
            </w:tabs>
            <w:ind w:left="0" w:leftChars="0" w:firstLine="0" w:firstLineChars="0"/>
            <w:jc w:val="both"/>
            <w:rPr>
              <w:rFonts w:hint="default" w:ascii="Times New Roman" w:hAnsi="Times New Roman" w:cs="Times New Roman" w:eastAsiaTheme="minorEastAsia"/>
              <w:bCs w:val="0"/>
              <w:kern w:val="2"/>
              <w:szCs w:val="21"/>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"_Toc134459171" </w:instrText>
          </w:r>
          <w:r>
            <w:rPr>
              <w:rFonts w:hint="default" w:ascii="Times New Roman" w:hAnsi="Times New Roman" w:cs="Times New Roman"/>
            </w:rPr>
            <w:fldChar w:fldCharType="separate"/>
          </w:r>
          <w:r>
            <w:rPr>
              <w:rStyle w:val="19"/>
              <w:rFonts w:hint="default" w:ascii="Times New Roman" w:hAnsi="Times New Roman" w:cs="Times New Roman"/>
              <w:szCs w:val="21"/>
              <w:lang w:eastAsia="zh-CN"/>
            </w:rPr>
            <w:t>3.4 竖向设计</w:t>
          </w:r>
          <w:r>
            <w:rPr>
              <w:rFonts w:hint="default" w:ascii="Times New Roman" w:hAnsi="Times New Roman" w:cs="Times New Roman"/>
              <w:szCs w:val="21"/>
            </w:rPr>
            <w:tab/>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PAGEREF _Toc134459171 \h </w:instrText>
          </w:r>
          <w:r>
            <w:rPr>
              <w:rFonts w:hint="default" w:ascii="Times New Roman" w:hAnsi="Times New Roman" w:cs="Times New Roman"/>
              <w:szCs w:val="21"/>
            </w:rPr>
            <w:fldChar w:fldCharType="separate"/>
          </w:r>
          <w:r>
            <w:rPr>
              <w:rFonts w:hint="default" w:ascii="Times New Roman" w:hAnsi="Times New Roman" w:cs="Times New Roman"/>
              <w:szCs w:val="21"/>
            </w:rPr>
            <w:t>10</w:t>
          </w:r>
          <w:r>
            <w:rPr>
              <w:rFonts w:hint="default" w:ascii="Times New Roman" w:hAnsi="Times New Roman" w:cs="Times New Roman"/>
              <w:szCs w:val="21"/>
            </w:rPr>
            <w:fldChar w:fldCharType="end"/>
          </w:r>
          <w:r>
            <w:rPr>
              <w:rFonts w:hint="default" w:ascii="Times New Roman" w:hAnsi="Times New Roman" w:cs="Times New Roman"/>
              <w:szCs w:val="21"/>
            </w:rPr>
            <w:fldChar w:fldCharType="end"/>
          </w:r>
        </w:p>
        <w:p w14:paraId="5D983370">
          <w:pPr>
            <w:pStyle w:val="9"/>
            <w:keepNext w:val="0"/>
            <w:keepLines w:val="0"/>
            <w:pageBreakBefore w:val="0"/>
            <w:widowControl w:val="0"/>
            <w:tabs>
              <w:tab w:val="right" w:leader="dot" w:pos="5886"/>
            </w:tabs>
            <w:kinsoku/>
            <w:wordWrap/>
            <w:overflowPunct/>
            <w:topLinePunct w:val="0"/>
            <w:autoSpaceDE/>
            <w:autoSpaceDN/>
            <w:bidi w:val="0"/>
            <w:adjustRightInd w:val="0"/>
            <w:snapToGrid w:val="0"/>
            <w:spacing w:before="0" w:line="360" w:lineRule="auto"/>
            <w:ind w:left="0" w:leftChars="0" w:firstLine="0" w:firstLineChars="0"/>
            <w:jc w:val="both"/>
            <w:textAlignment w:val="auto"/>
            <w:rPr>
              <w:rFonts w:hint="default" w:ascii="Times New Roman" w:hAnsi="Times New Roman" w:cs="Times New Roman" w:eastAsiaTheme="minorEastAsia"/>
              <w:bCs w:val="0"/>
              <w:kern w:val="2"/>
              <w:szCs w:val="21"/>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"_Toc134459172" </w:instrText>
          </w:r>
          <w:r>
            <w:rPr>
              <w:rFonts w:hint="default" w:ascii="Times New Roman" w:hAnsi="Times New Roman" w:cs="Times New Roman"/>
            </w:rPr>
            <w:fldChar w:fldCharType="separate"/>
          </w:r>
          <w:r>
            <w:rPr>
              <w:rStyle w:val="19"/>
              <w:rFonts w:hint="default" w:ascii="Times New Roman" w:hAnsi="Times New Roman" w:cs="Times New Roman"/>
              <w:szCs w:val="21"/>
              <w:lang w:eastAsia="zh-CN"/>
            </w:rPr>
            <w:t>3.5 种植设计</w:t>
          </w:r>
          <w:r>
            <w:rPr>
              <w:rFonts w:hint="default" w:ascii="Times New Roman" w:hAnsi="Times New Roman" w:cs="Times New Roman"/>
              <w:szCs w:val="21"/>
            </w:rPr>
            <w:tab/>
          </w: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PAGEREF _Toc134459172 \h </w:instrText>
          </w:r>
          <w:r>
            <w:rPr>
              <w:rFonts w:hint="default" w:ascii="Times New Roman" w:hAnsi="Times New Roman" w:cs="Times New Roman"/>
              <w:szCs w:val="21"/>
            </w:rPr>
            <w:fldChar w:fldCharType="separate"/>
          </w:r>
          <w:r>
            <w:rPr>
              <w:rFonts w:hint="default" w:ascii="Times New Roman" w:hAnsi="Times New Roman" w:cs="Times New Roman"/>
              <w:szCs w:val="21"/>
            </w:rPr>
            <w:t>11</w:t>
          </w:r>
          <w:r>
            <w:rPr>
              <w:rFonts w:hint="default" w:ascii="Times New Roman" w:hAnsi="Times New Roman" w:cs="Times New Roman"/>
              <w:szCs w:val="21"/>
            </w:rPr>
            <w:fldChar w:fldCharType="end"/>
          </w:r>
          <w:r>
            <w:rPr>
              <w:rFonts w:hint="default" w:ascii="Times New Roman" w:hAnsi="Times New Roman" w:cs="Times New Roman"/>
              <w:szCs w:val="21"/>
            </w:rPr>
            <w:fldChar w:fldCharType="end"/>
          </w:r>
        </w:p>
        <w:p w14:paraId="5443990A">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"_Toc134459173" </w:instrText>
          </w:r>
          <w:r>
            <w:rPr>
              <w:rFonts w:hint="default" w:ascii="Times New Roman" w:hAnsi="Times New Roman" w:cs="Times New Roman"/>
            </w:rPr>
            <w:fldChar w:fldCharType="separate"/>
          </w:r>
          <w:r>
            <w:rPr>
              <w:rStyle w:val="19"/>
              <w:rFonts w:hint="default" w:ascii="Times New Roman" w:hAnsi="Times New Roman" w:cs="Times New Roman"/>
              <w:lang w:eastAsia="zh-CN"/>
            </w:rPr>
            <w:t>4 建筑与小区绿地设计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_Toc134459173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14:paraId="257AB09E">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"_Toc134459174" </w:instrText>
          </w:r>
          <w:r>
            <w:rPr>
              <w:rFonts w:hint="default" w:ascii="Times New Roman" w:hAnsi="Times New Roman" w:cs="Times New Roman"/>
            </w:rPr>
            <w:fldChar w:fldCharType="separate"/>
          </w:r>
          <w:r>
            <w:rPr>
              <w:rStyle w:val="19"/>
              <w:rFonts w:hint="default" w:ascii="Times New Roman" w:hAnsi="Times New Roman" w:cs="Times New Roman"/>
              <w:lang w:eastAsia="zh-CN"/>
            </w:rPr>
            <w:t>5 城市道路绿地设计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_Toc134459174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14:paraId="335097E8">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"_Toc134459175" </w:instrText>
          </w:r>
          <w:r>
            <w:rPr>
              <w:rFonts w:hint="default" w:ascii="Times New Roman" w:hAnsi="Times New Roman" w:cs="Times New Roman"/>
            </w:rPr>
            <w:fldChar w:fldCharType="separate"/>
          </w:r>
          <w:r>
            <w:rPr>
              <w:rStyle w:val="19"/>
              <w:rFonts w:hint="default" w:ascii="Times New Roman" w:hAnsi="Times New Roman" w:cs="Times New Roman"/>
              <w:lang w:eastAsia="zh-CN"/>
            </w:rPr>
            <w:t>6 公园绿地设计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_Toc134459175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14:paraId="275BA793">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"_Toc134459176" </w:instrText>
          </w:r>
          <w:r>
            <w:rPr>
              <w:rFonts w:hint="default" w:ascii="Times New Roman" w:hAnsi="Times New Roman" w:cs="Times New Roman"/>
            </w:rPr>
            <w:fldChar w:fldCharType="separate"/>
          </w:r>
          <w:r>
            <w:rPr>
              <w:rStyle w:val="19"/>
              <w:rFonts w:hint="default" w:ascii="Times New Roman" w:hAnsi="Times New Roman" w:cs="Times New Roman"/>
              <w:lang w:eastAsia="zh-CN"/>
            </w:rPr>
            <w:t>7 其他绿地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_Toc134459176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14:paraId="5F638B75">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"_Toc134459177" </w:instrText>
          </w:r>
          <w:r>
            <w:rPr>
              <w:rFonts w:hint="default" w:ascii="Times New Roman" w:hAnsi="Times New Roman" w:cs="Times New Roman"/>
            </w:rPr>
            <w:fldChar w:fldCharType="separate"/>
          </w:r>
          <w:r>
            <w:rPr>
              <w:rStyle w:val="19"/>
              <w:rFonts w:hint="default" w:ascii="Times New Roman" w:hAnsi="Times New Roman" w:cs="Times New Roman"/>
              <w:lang w:eastAsia="zh-CN"/>
            </w:rPr>
            <w:t>8 主要技术措施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_Toc134459177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14:paraId="54F4B559">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"_Toc134459178" </w:instrText>
          </w:r>
          <w:r>
            <w:rPr>
              <w:rFonts w:hint="default" w:ascii="Times New Roman" w:hAnsi="Times New Roman" w:cs="Times New Roman"/>
            </w:rPr>
            <w:fldChar w:fldCharType="separate"/>
          </w:r>
          <w:r>
            <w:rPr>
              <w:rStyle w:val="19"/>
              <w:rFonts w:hint="default" w:ascii="Times New Roman" w:hAnsi="Times New Roman" w:cs="Times New Roman"/>
              <w:lang w:eastAsia="zh-CN"/>
            </w:rPr>
            <w:t>9 主要植物选型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_Toc134459178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14:paraId="01D58587">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"_Toc134459179" </w:instrText>
          </w:r>
          <w:r>
            <w:rPr>
              <w:rFonts w:hint="default" w:ascii="Times New Roman" w:hAnsi="Times New Roman" w:cs="Times New Roman"/>
            </w:rPr>
            <w:fldChar w:fldCharType="separate"/>
          </w:r>
          <w:r>
            <w:rPr>
              <w:rStyle w:val="19"/>
              <w:rFonts w:hint="default" w:ascii="Times New Roman" w:hAnsi="Times New Roman" w:cs="Times New Roman"/>
              <w:lang w:eastAsia="zh-CN"/>
            </w:rPr>
            <w:t>本标准用词说明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_Toc134459179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14:paraId="08E233B6">
          <w:pPr>
            <w:pStyle w:val="14"/>
            <w:tabs>
              <w:tab w:val="right" w:leader="dot" w:pos="5886"/>
            </w:tabs>
            <w:jc w:val="both"/>
            <w:rPr>
              <w:rFonts w:hint="default" w:ascii="Times New Roman" w:hAnsi="Times New Roman" w:cs="Times New Roman" w:eastAsiaTheme="minorEastAsia"/>
              <w:kern w:val="2"/>
              <w:lang w:eastAsia="zh-CN"/>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"_Toc134459180" </w:instrText>
          </w:r>
          <w:r>
            <w:rPr>
              <w:rFonts w:hint="default" w:ascii="Times New Roman" w:hAnsi="Times New Roman" w:cs="Times New Roman"/>
            </w:rPr>
            <w:fldChar w:fldCharType="separate"/>
          </w:r>
          <w:r>
            <w:rPr>
              <w:rStyle w:val="19"/>
              <w:rFonts w:hint="default" w:ascii="Times New Roman" w:hAnsi="Times New Roman" w:cs="Times New Roman"/>
              <w:lang w:eastAsia="zh-CN"/>
            </w:rPr>
            <w:t>引用标准目录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_Toc134459180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rPr>
            <w:fldChar w:fldCharType="end"/>
          </w:r>
        </w:p>
        <w:p w14:paraId="6912AC74">
          <w:pPr>
            <w:tabs>
              <w:tab w:val="left" w:pos="5880"/>
              <w:tab w:val="left" w:pos="6090"/>
            </w:tabs>
            <w:ind w:firstLine="422"/>
            <w:jc w:val="both"/>
            <w:rPr>
              <w:rFonts w:hint="default" w:ascii="Times New Roman" w:hAnsi="Times New Roman" w:cs="Times New Roman"/>
            </w:rPr>
          </w:pPr>
          <w:r>
            <w:rPr>
              <w:rFonts w:hint="default" w:ascii="Times New Roman" w:hAnsi="Times New Roman" w:cs="Times New Roman"/>
              <w:b/>
              <w:bCs/>
              <w:lang w:val="zh-CN"/>
            </w:rPr>
            <w:fldChar w:fldCharType="end"/>
          </w:r>
        </w:p>
      </w:sdtContent>
    </w:sdt>
    <w:p w14:paraId="7DB15FFC">
      <w:pPr>
        <w:ind w:firstLine="420"/>
        <w:rPr>
          <w:rFonts w:hint="default" w:ascii="Times New Roman" w:hAnsi="Times New Roman" w:cs="Times New Roman"/>
          <w:lang w:eastAsia="zh-CN"/>
        </w:rPr>
      </w:pPr>
    </w:p>
    <w:p w14:paraId="4B0E0024">
      <w:pPr>
        <w:ind w:firstLine="0" w:firstLineChars="0"/>
        <w:rPr>
          <w:rFonts w:hint="default" w:ascii="Times New Roman" w:hAnsi="Times New Roman" w:cs="Times New Roman"/>
          <w:lang w:eastAsia="zh-CN"/>
        </w:rPr>
      </w:pPr>
    </w:p>
    <w:p w14:paraId="7B8ADC05">
      <w:pPr>
        <w:ind w:firstLine="0" w:firstLineChars="0"/>
        <w:rPr>
          <w:rFonts w:hint="default" w:ascii="Times New Roman" w:hAnsi="Times New Roman" w:cs="Times New Roman"/>
          <w:lang w:eastAsia="zh-CN"/>
        </w:rPr>
        <w:sectPr>
          <w:pgSz w:w="7938" w:h="11510"/>
          <w:pgMar w:top="1134" w:right="1021" w:bottom="1021" w:left="1021" w:header="0" w:footer="737" w:gutter="0"/>
          <w:pgNumType w:fmt="decimal" w:start="1"/>
          <w:cols w:space="720" w:num="1"/>
          <w:docGrid w:linePitch="286" w:charSpace="0"/>
        </w:sectPr>
      </w:pPr>
    </w:p>
    <w:p w14:paraId="61B6A7D4">
      <w:pPr>
        <w:pStyle w:val="3"/>
        <w:rPr>
          <w:rFonts w:hint="default" w:ascii="Times New Roman" w:hAnsi="Times New Roman" w:cs="Times New Roman"/>
          <w:lang w:eastAsia="zh-CN"/>
        </w:rPr>
      </w:pPr>
      <w:bookmarkStart w:id="0" w:name="_TOC_250007"/>
      <w:bookmarkEnd w:id="0"/>
      <w:bookmarkStart w:id="1" w:name="_Toc134459165"/>
      <w:r>
        <w:rPr>
          <w:rFonts w:hint="default" w:ascii="Times New Roman" w:hAnsi="Times New Roman" w:cs="Times New Roman"/>
          <w:lang w:eastAsia="zh-CN"/>
        </w:rPr>
        <w:t>1 总 则</w:t>
      </w:r>
      <w:bookmarkEnd w:id="1"/>
    </w:p>
    <w:p w14:paraId="132783C8">
      <w:pPr>
        <w:pStyle w:val="5"/>
        <w:jc w:val="both"/>
        <w:rPr>
          <w:rFonts w:hint="default" w:ascii="Times New Roman" w:hAnsi="Times New Roman" w:cs="Times New Roman"/>
          <w:w w:val="95"/>
          <w:lang w:eastAsia="zh-CN"/>
        </w:rPr>
      </w:pPr>
      <w:bookmarkStart w:id="2" w:name="_TOC_250006"/>
      <w:bookmarkEnd w:id="2"/>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w w:val="95"/>
          <w:lang w:eastAsia="zh-CN"/>
        </w:rPr>
        <w:t xml:space="preserve"> 编制目标</w:t>
      </w:r>
    </w:p>
    <w:p w14:paraId="6DF74D78">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贯彻落实国家建设海绵城市的相关要求，指导三明市海绵城市相关项目设计及技术审查，推动三明市海绵城市建设，提高三明市海绵城市绿地的建设质量，统一设计标准，制定本导则。</w:t>
      </w:r>
    </w:p>
    <w:p w14:paraId="4363EF2D">
      <w:pPr>
        <w:pStyle w:val="5"/>
        <w:jc w:val="both"/>
        <w:rPr>
          <w:rFonts w:hint="default" w:ascii="Times New Roman" w:hAnsi="Times New Roman" w:cs="Times New Roman"/>
          <w:lang w:eastAsia="zh-CN"/>
        </w:rPr>
      </w:pPr>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lang w:eastAsia="zh-CN"/>
        </w:rPr>
        <w:t xml:space="preserve"> 编制思路</w:t>
      </w:r>
    </w:p>
    <w:p w14:paraId="6BDB717A">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遵循海绵城市“滞、蓄、渗、净、用、排”的建设理念，结合三明市地方气候、水文、地形条件，制定适合三明海绵城市建设的绿地布置方式，选择适合三明气候及海绵城市建设需求的植被种类。</w:t>
      </w:r>
    </w:p>
    <w:p w14:paraId="5C9D573F">
      <w:pPr>
        <w:pStyle w:val="5"/>
        <w:jc w:val="both"/>
        <w:rPr>
          <w:rFonts w:hint="default" w:ascii="Times New Roman" w:hAnsi="Times New Roman" w:cs="Times New Roman"/>
          <w:lang w:eastAsia="zh-CN"/>
        </w:rPr>
      </w:pPr>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3</w:t>
      </w:r>
      <w:r>
        <w:rPr>
          <w:rFonts w:hint="default" w:ascii="Times New Roman" w:hAnsi="Times New Roman" w:cs="Times New Roman"/>
          <w:lang w:eastAsia="zh-CN"/>
        </w:rPr>
        <w:t xml:space="preserve"> 适用范围</w:t>
      </w:r>
    </w:p>
    <w:p w14:paraId="1B28E488">
      <w:pPr>
        <w:ind w:firstLine="400"/>
        <w:jc w:val="both"/>
        <w:rPr>
          <w:rFonts w:hint="default" w:ascii="Times New Roman" w:hAnsi="Times New Roman" w:cs="Times New Roman"/>
          <w:spacing w:val="-10"/>
          <w:lang w:eastAsia="zh-CN"/>
        </w:rPr>
      </w:pPr>
      <w:r>
        <w:rPr>
          <w:rFonts w:hint="eastAsia" w:ascii="Times New Roman" w:hAnsi="Times New Roman" w:cs="Times New Roman"/>
          <w:spacing w:val="-10"/>
          <w:lang w:val="en-US" w:eastAsia="zh-CN"/>
        </w:rPr>
        <w:t>本导则适用于三明市域范围内公园绿地、防护绿地、广场用地附属绿地等用地上的新建、</w:t>
      </w:r>
      <w:r>
        <w:rPr>
          <w:rFonts w:hint="default" w:ascii="Times New Roman" w:hAnsi="Times New Roman" w:cs="Times New Roman"/>
          <w:spacing w:val="-10"/>
          <w:lang w:eastAsia="zh-CN"/>
        </w:rPr>
        <w:t>改建、扩建工程的设计。</w:t>
      </w:r>
    </w:p>
    <w:p w14:paraId="0AD3E451">
      <w:pPr>
        <w:pStyle w:val="5"/>
        <w:jc w:val="both"/>
        <w:rPr>
          <w:rFonts w:hint="default" w:ascii="Times New Roman" w:hAnsi="Times New Roman" w:cs="Times New Roman"/>
          <w:lang w:eastAsia="zh-CN"/>
        </w:rPr>
      </w:pPr>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4</w:t>
      </w:r>
      <w:r>
        <w:rPr>
          <w:rFonts w:hint="default" w:ascii="Times New Roman" w:hAnsi="Times New Roman" w:cs="Times New Roman"/>
          <w:lang w:eastAsia="zh-CN"/>
        </w:rPr>
        <w:t xml:space="preserve"> 应用原则</w:t>
      </w:r>
    </w:p>
    <w:p w14:paraId="017313B2">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三明市海绵城市绿地设计可参考本导则，并同时符合海绵城市建设相关国标及省标的规定。</w:t>
      </w:r>
    </w:p>
    <w:p w14:paraId="7DEA9FA9">
      <w:pPr>
        <w:rPr>
          <w:rFonts w:hint="default" w:ascii="Times New Roman" w:hAnsi="Times New Roman" w:cs="Times New Roman"/>
          <w:spacing w:val="-10"/>
          <w:lang w:eastAsia="zh-CN"/>
        </w:rPr>
      </w:pPr>
      <w:r>
        <w:rPr>
          <w:rFonts w:hint="default" w:ascii="Times New Roman" w:hAnsi="Times New Roman" w:cs="Times New Roman"/>
          <w:spacing w:val="-10"/>
          <w:lang w:eastAsia="zh-CN"/>
        </w:rPr>
        <w:br w:type="page"/>
      </w:r>
    </w:p>
    <w:p w14:paraId="553629BC">
      <w:pPr>
        <w:pStyle w:val="3"/>
        <w:ind w:left="576" w:hanging="576" w:hangingChars="205"/>
        <w:rPr>
          <w:rFonts w:hint="default" w:ascii="Times New Roman" w:hAnsi="Times New Roman" w:cs="Times New Roman"/>
          <w:lang w:eastAsia="zh-CN"/>
        </w:rPr>
      </w:pPr>
      <w:bookmarkStart w:id="3" w:name="_Toc134459166"/>
      <w:r>
        <w:rPr>
          <w:rFonts w:hint="default" w:ascii="Times New Roman" w:hAnsi="Times New Roman" w:cs="Times New Roman"/>
          <w:lang w:eastAsia="zh-CN"/>
        </w:rPr>
        <w:t>2 术语和定义</w:t>
      </w:r>
      <w:bookmarkEnd w:id="3"/>
    </w:p>
    <w:p w14:paraId="47D6D820">
      <w:pPr>
        <w:keepNext w:val="0"/>
        <w:keepLines w:val="0"/>
        <w:widowControl/>
        <w:suppressLineNumbers w:val="0"/>
        <w:ind w:left="0" w:leftChars="0" w:firstLine="0" w:firstLineChars="0"/>
        <w:jc w:val="both"/>
        <w:rPr>
          <w:rFonts w:hint="default" w:ascii="Times New Roman" w:hAnsi="Times New Roman" w:cs="Times New Roman"/>
          <w:lang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default" w:ascii="Times New Roman" w:hAnsi="Times New Roman" w:eastAsia="宋体" w:cs="Times New Roman"/>
          <w:b/>
          <w:bCs/>
          <w:w w:val="95"/>
          <w:sz w:val="21"/>
          <w:szCs w:val="28"/>
          <w:lang w:val="en-US" w:eastAsia="zh-CN" w:bidi="ar-SA"/>
        </w:rPr>
        <w:t xml:space="preserve"> </w:t>
      </w:r>
      <w:r>
        <w:rPr>
          <w:rFonts w:hint="default" w:ascii="Times New Roman" w:hAnsi="Times New Roman" w:eastAsia="宋体" w:cs="Times New Roman"/>
          <w:b/>
          <w:bCs/>
          <w:sz w:val="21"/>
          <w:szCs w:val="28"/>
          <w:lang w:val="en-US" w:eastAsia="zh-CN" w:bidi="ar-SA"/>
        </w:rPr>
        <w:t>海绵城市</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sponge city</w:t>
      </w:r>
    </w:p>
    <w:p w14:paraId="182E1A52">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eastAsia="zh-CN"/>
        </w:rPr>
        <w:t>通过加强城市规划建设管理，充分发挥建筑、道路和绿地、水系等生态系统对雨水的吸纳、蓄渗和缓释作用，有效控制雨水径流，实现自然积存、自然渗透、自然净化的城市发展方式。</w:t>
      </w:r>
    </w:p>
    <w:p w14:paraId="7382CEFB">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2</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sz w:val="21"/>
          <w:szCs w:val="28"/>
          <w:lang w:val="en-US" w:eastAsia="zh-CN" w:bidi="ar-SA"/>
        </w:rPr>
        <w:t>低影响开发（</w:t>
      </w:r>
      <w:r>
        <w:rPr>
          <w:rFonts w:hint="default" w:ascii="Times New Roman" w:hAnsi="Times New Roman" w:eastAsia="宋体" w:cs="Times New Roman"/>
          <w:color w:val="000000"/>
          <w:kern w:val="0"/>
          <w:sz w:val="21"/>
          <w:szCs w:val="21"/>
          <w:lang w:val="en-US" w:eastAsia="zh-CN" w:bidi="ar"/>
        </w:rPr>
        <w:t>LID</w:t>
      </w:r>
      <w:r>
        <w:rPr>
          <w:rFonts w:hint="default" w:ascii="Times New Roman" w:hAnsi="Times New Roman" w:eastAsia="宋体" w:cs="Times New Roman"/>
          <w:b/>
          <w:bCs/>
          <w:sz w:val="21"/>
          <w:szCs w:val="28"/>
          <w:lang w:val="en-US" w:eastAsia="zh-CN" w:bidi="ar-SA"/>
        </w:rPr>
        <w:t>）</w:t>
      </w:r>
      <w:r>
        <w:rPr>
          <w:rFonts w:hint="default" w:ascii="Times New Roman" w:hAnsi="Times New Roman" w:eastAsia="宋体" w:cs="Times New Roman"/>
          <w:color w:val="000000"/>
          <w:kern w:val="0"/>
          <w:sz w:val="21"/>
          <w:szCs w:val="21"/>
          <w:lang w:val="en-US" w:eastAsia="zh-CN" w:bidi="ar"/>
        </w:rPr>
        <w:t xml:space="preserve"> </w:t>
      </w:r>
      <w:r>
        <w:rPr>
          <w:rFonts w:hint="default" w:ascii="Times New Roman" w:hAnsi="Times New Roman"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low impact development </w:t>
      </w:r>
    </w:p>
    <w:p w14:paraId="11495D98">
      <w:pPr>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spacing w:val="-10"/>
          <w:lang w:val="en-US" w:eastAsia="zh-CN"/>
        </w:rPr>
        <w:t>在城市开发建设过程中，通过生态化措施，尽可能维持城市开发建设前后水文特征不变，有效缓解不透水面积增加造成的径流总量、径流峰值与径流污染的增加等对环境造成的不利影响。</w:t>
      </w:r>
      <w:r>
        <w:rPr>
          <w:rFonts w:hint="default" w:ascii="Times New Roman" w:hAnsi="Times New Roman" w:eastAsia="宋体" w:cs="Times New Roman"/>
          <w:color w:val="000000"/>
          <w:kern w:val="0"/>
          <w:sz w:val="21"/>
          <w:szCs w:val="21"/>
          <w:lang w:val="en-US" w:eastAsia="zh-CN" w:bidi="ar"/>
        </w:rPr>
        <w:t xml:space="preserve"> </w:t>
      </w:r>
    </w:p>
    <w:p w14:paraId="19D97FED">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 xml:space="preserve">3 </w:t>
      </w:r>
      <w:r>
        <w:rPr>
          <w:rFonts w:hint="default" w:ascii="Times New Roman" w:hAnsi="Times New Roman" w:eastAsia="宋体" w:cs="Times New Roman"/>
          <w:b/>
          <w:bCs/>
          <w:sz w:val="21"/>
          <w:szCs w:val="28"/>
          <w:lang w:val="en-US" w:eastAsia="zh-CN" w:bidi="ar-SA"/>
        </w:rPr>
        <w:t>城市绿地</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urban green space</w:t>
      </w:r>
    </w:p>
    <w:p w14:paraId="15062AE7">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eastAsia="zh-CN"/>
        </w:rPr>
        <w:t>以植被为主要存在形态，用于改善城市生态，保护环境，为居民提供游憩场地和绿地、美化城市的一种城市用地。</w:t>
      </w:r>
    </w:p>
    <w:p w14:paraId="5BCACBE0">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4</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sz w:val="21"/>
          <w:szCs w:val="28"/>
          <w:lang w:val="en-US" w:eastAsia="zh-CN" w:bidi="ar-SA"/>
        </w:rPr>
        <w:t xml:space="preserve">汇水区 </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color w:val="000000"/>
          <w:kern w:val="0"/>
          <w:sz w:val="21"/>
          <w:szCs w:val="21"/>
          <w:lang w:val="en-US" w:eastAsia="zh-CN" w:bidi="ar"/>
        </w:rPr>
        <w:t xml:space="preserve">catchment area </w:t>
      </w:r>
    </w:p>
    <w:p w14:paraId="5D395F00">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val="en-US" w:eastAsia="zh-CN"/>
        </w:rPr>
        <w:t>汇水区，又称集水区，是指地表径流汇聚到一共同的出水口的过程中所流经的地表区域，是一个封闭的区域。城市汇水区是在自然地貌和水文条件的基础上，人为改造沟渠、管网形成的水利控制片、城镇排水系统、农村圩区系统等。</w:t>
      </w:r>
    </w:p>
    <w:p w14:paraId="531E793C">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5</w:t>
      </w:r>
      <w:r>
        <w:rPr>
          <w:rFonts w:hint="default" w:ascii="Times New Roman" w:hAnsi="Times New Roman" w:eastAsia="宋体" w:cs="Times New Roman"/>
          <w:b/>
          <w:bCs/>
          <w:sz w:val="21"/>
          <w:szCs w:val="28"/>
          <w:lang w:val="en-US" w:eastAsia="zh-CN" w:bidi="ar-SA"/>
        </w:rPr>
        <w:t xml:space="preserve"> 设计降雨量</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design rainfall depth</w:t>
      </w:r>
    </w:p>
    <w:p w14:paraId="71B01260">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eastAsia="zh-CN"/>
        </w:rPr>
        <w:t>为实现一定的年径流总量控制率，用于海绵设施设计规模的降雨量控制值，通常用日降雨量（</w:t>
      </w:r>
      <w:r>
        <w:rPr>
          <w:rFonts w:hint="default" w:ascii="Times New Roman" w:hAnsi="Times New Roman" w:eastAsia="宋体" w:cs="Times New Roman"/>
          <w:color w:val="000000"/>
          <w:kern w:val="0"/>
          <w:sz w:val="21"/>
          <w:szCs w:val="21"/>
          <w:lang w:val="en-US" w:eastAsia="zh-CN" w:bidi="ar"/>
        </w:rPr>
        <w:t>mm</w:t>
      </w:r>
      <w:r>
        <w:rPr>
          <w:rFonts w:hint="default" w:ascii="Times New Roman" w:hAnsi="Times New Roman" w:cs="Times New Roman"/>
          <w:spacing w:val="-7"/>
          <w:lang w:eastAsia="zh-CN"/>
        </w:rPr>
        <w:t>）表示。</w:t>
      </w:r>
    </w:p>
    <w:p w14:paraId="5CB29B5F">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6</w:t>
      </w:r>
      <w:r>
        <w:rPr>
          <w:rFonts w:hint="default" w:ascii="Times New Roman" w:hAnsi="Times New Roman" w:eastAsia="宋体" w:cs="Times New Roman"/>
          <w:b/>
          <w:bCs/>
          <w:sz w:val="21"/>
          <w:szCs w:val="28"/>
          <w:lang w:val="en-US" w:eastAsia="zh-CN" w:bidi="ar-SA"/>
        </w:rPr>
        <w:t xml:space="preserve"> 年径流总量控制率</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volume capture ratio of annual rainfall</w:t>
      </w:r>
    </w:p>
    <w:p w14:paraId="340BE0B4">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eastAsia="zh-CN"/>
        </w:rPr>
        <w:t>根据多年日降雨量统计数据分析计算，雨水通过自然和人工强化的入渗、滞蓄、调蓄和收集回用，场地内累计一年得到控制的雨水量占全年总降雨量的比例。</w:t>
      </w:r>
    </w:p>
    <w:p w14:paraId="4083766A">
      <w:pPr>
        <w:keepNext w:val="0"/>
        <w:keepLines w:val="0"/>
        <w:widowControl/>
        <w:suppressLineNumbers w:val="0"/>
        <w:ind w:left="0" w:leftChars="0" w:firstLine="0" w:firstLineChars="0"/>
        <w:jc w:val="both"/>
        <w:rPr>
          <w:rFonts w:hint="default" w:ascii="Times New Roman" w:hAnsi="Times New Roman" w:eastAsia="宋体" w:cs="Times New Roman"/>
          <w:b/>
          <w:bCs/>
          <w:sz w:val="21"/>
          <w:szCs w:val="28"/>
          <w:lang w:val="en-US" w:eastAsia="zh-CN" w:bidi="ar-SA"/>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7</w:t>
      </w:r>
      <w:r>
        <w:rPr>
          <w:rFonts w:hint="default" w:ascii="Times New Roman" w:hAnsi="Times New Roman" w:eastAsia="宋体" w:cs="Times New Roman"/>
          <w:b/>
          <w:bCs/>
          <w:sz w:val="21"/>
          <w:szCs w:val="28"/>
          <w:lang w:val="en-US" w:eastAsia="zh-CN" w:bidi="ar-SA"/>
        </w:rPr>
        <w:t xml:space="preserve"> 年径流污染控制率</w:t>
      </w:r>
    </w:p>
    <w:p w14:paraId="46B81D93">
      <w:pPr>
        <w:keepNext w:val="0"/>
        <w:keepLines w:val="0"/>
        <w:widowControl/>
        <w:suppressLineNumbers w:val="0"/>
        <w:ind w:left="0" w:leftChars="0" w:firstLine="420" w:firstLineChars="200"/>
        <w:jc w:val="both"/>
        <w:rPr>
          <w:rFonts w:hint="default" w:ascii="Times New Roman" w:hAnsi="Times New Roman" w:cs="Times New Roman"/>
          <w:lang w:val="en-US" w:eastAsia="zh-CN"/>
        </w:rPr>
      </w:pPr>
      <w:r>
        <w:rPr>
          <w:rFonts w:hint="default" w:ascii="Times New Roman" w:hAnsi="Times New Roman" w:eastAsia="宋体" w:cs="Times New Roman"/>
          <w:color w:val="000000"/>
          <w:kern w:val="0"/>
          <w:sz w:val="21"/>
          <w:szCs w:val="21"/>
          <w:lang w:val="en-US" w:eastAsia="zh-CN" w:bidi="ar"/>
        </w:rPr>
        <w:t>volume capture ratio of annual urban</w:t>
      </w:r>
      <w:r>
        <w:rPr>
          <w:rFonts w:hint="default" w:ascii="Times New Roman" w:hAnsi="Times New Roman"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diffuse pollution</w:t>
      </w:r>
    </w:p>
    <w:p w14:paraId="2053757C">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eastAsia="zh-CN"/>
        </w:rPr>
        <w:t>等同于年径流污染物总削减率，以固体悬浮物（</w:t>
      </w:r>
      <w:r>
        <w:rPr>
          <w:rFonts w:hint="default" w:ascii="Times New Roman" w:hAnsi="Times New Roman" w:eastAsia="宋体" w:cs="Times New Roman"/>
          <w:color w:val="000000"/>
          <w:kern w:val="0"/>
          <w:sz w:val="21"/>
          <w:szCs w:val="21"/>
          <w:lang w:val="en-US" w:eastAsia="zh-CN" w:bidi="ar"/>
        </w:rPr>
        <w:t>SS</w:t>
      </w:r>
      <w:r>
        <w:rPr>
          <w:rFonts w:hint="default" w:ascii="Times New Roman" w:hAnsi="Times New Roman" w:cs="Times New Roman"/>
          <w:spacing w:val="-7"/>
          <w:lang w:eastAsia="zh-CN"/>
        </w:rPr>
        <w:t>）的削减量来计算。年径流</w:t>
      </w:r>
      <w:r>
        <w:rPr>
          <w:rFonts w:hint="default" w:ascii="Times New Roman" w:hAnsi="Times New Roman" w:eastAsia="宋体" w:cs="Times New Roman"/>
          <w:color w:val="000000"/>
          <w:kern w:val="0"/>
          <w:sz w:val="21"/>
          <w:szCs w:val="21"/>
          <w:lang w:val="en-US" w:eastAsia="zh-CN" w:bidi="ar"/>
        </w:rPr>
        <w:t>SS</w:t>
      </w:r>
      <w:r>
        <w:rPr>
          <w:rFonts w:hint="default" w:ascii="Times New Roman" w:hAnsi="Times New Roman" w:cs="Times New Roman"/>
          <w:spacing w:val="-7"/>
          <w:lang w:eastAsia="zh-CN"/>
        </w:rPr>
        <w:t>削减率等于区域内海绵城市建设设施对</w:t>
      </w:r>
      <w:r>
        <w:rPr>
          <w:rFonts w:hint="default" w:ascii="Times New Roman" w:hAnsi="Times New Roman" w:eastAsia="宋体" w:cs="Times New Roman"/>
          <w:color w:val="000000"/>
          <w:kern w:val="0"/>
          <w:sz w:val="21"/>
          <w:szCs w:val="21"/>
          <w:lang w:val="en-US" w:eastAsia="zh-CN" w:bidi="ar"/>
        </w:rPr>
        <w:t>SS</w:t>
      </w:r>
      <w:r>
        <w:rPr>
          <w:rFonts w:hint="default" w:ascii="Times New Roman" w:hAnsi="Times New Roman" w:cs="Times New Roman"/>
          <w:spacing w:val="-7"/>
          <w:lang w:eastAsia="zh-CN"/>
        </w:rPr>
        <w:t xml:space="preserve">的削减总量占区域年径流 </w:t>
      </w:r>
      <w:r>
        <w:rPr>
          <w:rFonts w:hint="default" w:ascii="Times New Roman" w:hAnsi="Times New Roman" w:eastAsia="宋体" w:cs="Times New Roman"/>
          <w:color w:val="000000"/>
          <w:kern w:val="0"/>
          <w:sz w:val="21"/>
          <w:szCs w:val="21"/>
          <w:lang w:val="en-US" w:eastAsia="zh-CN" w:bidi="ar"/>
        </w:rPr>
        <w:t>SS</w:t>
      </w:r>
      <w:r>
        <w:rPr>
          <w:rFonts w:hint="default" w:ascii="Times New Roman" w:hAnsi="Times New Roman" w:cs="Times New Roman"/>
          <w:spacing w:val="-7"/>
          <w:lang w:eastAsia="zh-CN"/>
        </w:rPr>
        <w:t xml:space="preserve"> 总量的比例。</w:t>
      </w:r>
    </w:p>
    <w:p w14:paraId="71702722">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8</w:t>
      </w:r>
      <w:r>
        <w:rPr>
          <w:rFonts w:hint="default" w:ascii="Times New Roman" w:hAnsi="Times New Roman" w:eastAsia="宋体" w:cs="Times New Roman"/>
          <w:b/>
          <w:bCs/>
          <w:sz w:val="21"/>
          <w:szCs w:val="28"/>
          <w:lang w:val="en-US" w:eastAsia="zh-CN" w:bidi="ar-SA"/>
        </w:rPr>
        <w:t xml:space="preserve"> 土壤改良</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color w:val="000000"/>
          <w:kern w:val="0"/>
          <w:sz w:val="21"/>
          <w:szCs w:val="21"/>
          <w:lang w:val="en-US" w:eastAsia="zh-CN" w:bidi="ar"/>
        </w:rPr>
        <w:t xml:space="preserve"> soil improvement </w:t>
      </w:r>
    </w:p>
    <w:p w14:paraId="3B896CC5">
      <w:pPr>
        <w:keepNext w:val="0"/>
        <w:keepLines w:val="0"/>
        <w:widowControl/>
        <w:suppressLineNumbers w:val="0"/>
        <w:jc w:val="both"/>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 xml:space="preserve">针对土壤的不良质地和结构，采取相应的物理、生物或化学措施，改善土壤性状，提高土壤肥力，增进土壤海绵功能，改善园林植物生长的土壤条件。 </w:t>
      </w:r>
    </w:p>
    <w:p w14:paraId="0042FCEF">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9</w:t>
      </w:r>
      <w:r>
        <w:rPr>
          <w:rFonts w:hint="default" w:ascii="Times New Roman" w:hAnsi="Times New Roman" w:eastAsia="宋体" w:cs="Times New Roman"/>
          <w:b/>
          <w:bCs/>
          <w:sz w:val="21"/>
          <w:szCs w:val="28"/>
          <w:lang w:val="en-US" w:eastAsia="zh-CN" w:bidi="ar-SA"/>
        </w:rPr>
        <w:t xml:space="preserve"> 绿化用有机基质</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color w:val="000000"/>
          <w:kern w:val="0"/>
          <w:sz w:val="21"/>
          <w:szCs w:val="21"/>
          <w:lang w:val="en-US" w:eastAsia="zh-CN" w:bidi="ar"/>
        </w:rPr>
        <w:t xml:space="preserve"> organic media for greening </w:t>
      </w:r>
    </w:p>
    <w:p w14:paraId="01E7DCB4">
      <w:pPr>
        <w:keepNext w:val="0"/>
        <w:keepLines w:val="0"/>
        <w:widowControl/>
        <w:suppressLineNumbers w:val="0"/>
        <w:jc w:val="both"/>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 xml:space="preserve">以农林、餐厨、食品和药品加工等有机废弃物为主要原料，可少量添加自然生成或人工固体物质，能固定植物、保水保肥、透气良好、性质稳定、无毒性、质地轻、离子交换量高、有适宜的碳氮比、pH值易于调节，适合绿化植物生长的固体物质。 </w:t>
      </w:r>
    </w:p>
    <w:p w14:paraId="48769A1C">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绿化用有机基质主要用途作为栽培基质或改良绿化土壤，部分或全部替代泥炭或自然土壤用于绿化植物种植。根据不同的绿化用途，绿化有机基质可分为三种类型：作为土壤改良用的有机改良基质；作为扦插或育苗用基质；作为盆栽、花坛、屋顶、绿地或林地用的栽培基质。</w:t>
      </w:r>
    </w:p>
    <w:p w14:paraId="59192074">
      <w:pPr>
        <w:ind w:left="0" w:leftChars="0" w:firstLine="0" w:firstLineChars="0"/>
        <w:jc w:val="both"/>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28"/>
          <w:lang w:val="en-US" w:eastAsia="zh-CN" w:bidi="ar-SA"/>
        </w:rPr>
        <w:t xml:space="preserve"> 雨水湿地</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b w:val="0"/>
          <w:bCs w:val="0"/>
          <w:color w:val="000000"/>
          <w:kern w:val="0"/>
          <w:sz w:val="21"/>
          <w:szCs w:val="21"/>
          <w:lang w:val="en-US" w:eastAsia="zh-CN" w:bidi="ar"/>
        </w:rPr>
        <w:t>rain-fed wetland</w:t>
      </w:r>
    </w:p>
    <w:p w14:paraId="3F7ED82C">
      <w:pPr>
        <w:ind w:left="0" w:leftChars="0" w:firstLine="392" w:firstLineChars="20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spacing w:val="-7"/>
          <w:lang w:val="en-US" w:eastAsia="zh-CN"/>
        </w:rPr>
        <w:t>雨水湿地是将雨水进行沉淀、过滤、净化、调蓄的湿地系统，同时兼具生态景观功能，通过物理、植物及微生物共同作用达到净化雨水的目标。</w:t>
      </w:r>
    </w:p>
    <w:p w14:paraId="34A4A6FC">
      <w:pPr>
        <w:keepNext w:val="0"/>
        <w:keepLines w:val="0"/>
        <w:widowControl/>
        <w:suppressLineNumbers w:val="0"/>
        <w:ind w:left="0" w:leftChars="0" w:firstLine="0" w:firstLineChars="0"/>
        <w:jc w:val="both"/>
        <w:rPr>
          <w:rFonts w:hint="default" w:ascii="Times New Roman" w:hAnsi="Times New Roman" w:cs="Times New Roma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1</w:t>
      </w:r>
      <w:r>
        <w:rPr>
          <w:rFonts w:hint="default" w:ascii="Times New Roman" w:hAnsi="Times New Roman" w:eastAsia="宋体" w:cs="Times New Roman"/>
          <w:b/>
          <w:bCs/>
          <w:sz w:val="21"/>
          <w:szCs w:val="28"/>
          <w:lang w:val="en-US" w:eastAsia="zh-CN" w:bidi="ar-SA"/>
        </w:rPr>
        <w:t xml:space="preserve"> </w:t>
      </w:r>
      <w:r>
        <w:rPr>
          <w:rFonts w:hint="eastAsia" w:ascii="Times New Roman" w:hAnsi="Times New Roman" w:cs="Times New Roman"/>
          <w:b/>
          <w:bCs/>
          <w:sz w:val="21"/>
          <w:szCs w:val="28"/>
          <w:lang w:val="en-US" w:eastAsia="zh-CN" w:bidi="ar-SA"/>
        </w:rPr>
        <w:t>下沉式绿地</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color w:val="000000"/>
          <w:kern w:val="0"/>
          <w:sz w:val="21"/>
          <w:szCs w:val="21"/>
          <w:lang w:val="en-US" w:eastAsia="zh-CN" w:bidi="ar"/>
        </w:rPr>
        <w:t xml:space="preserve"> landscaped depression </w:t>
      </w:r>
    </w:p>
    <w:p w14:paraId="0F49F250">
      <w:pPr>
        <w:keepNext w:val="0"/>
        <w:keepLines w:val="0"/>
        <w:widowControl/>
        <w:suppressLineNumbers w:val="0"/>
        <w:ind w:left="0" w:leftChars="0" w:firstLine="392" w:firstLineChars="200"/>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具有狭义和广义之分。狭义的</w:t>
      </w:r>
      <w:r>
        <w:rPr>
          <w:rFonts w:hint="eastAsia" w:ascii="Times New Roman" w:hAnsi="Times New Roman" w:cs="Times New Roman"/>
          <w:spacing w:val="-7"/>
          <w:lang w:val="en-US" w:eastAsia="zh-CN"/>
        </w:rPr>
        <w:t>下沉式绿地</w:t>
      </w:r>
      <w:r>
        <w:rPr>
          <w:rFonts w:hint="default" w:ascii="Times New Roman" w:hAnsi="Times New Roman" w:cs="Times New Roman"/>
          <w:spacing w:val="-7"/>
          <w:lang w:val="en-US" w:eastAsia="zh-CN"/>
        </w:rPr>
        <w:t>指低于周边微地形</w:t>
      </w:r>
      <w:r>
        <w:rPr>
          <w:rFonts w:hint="default" w:ascii="Times New Roman" w:hAnsi="Times New Roman" w:eastAsia="宋体" w:cs="Times New Roman"/>
          <w:color w:val="000000"/>
          <w:kern w:val="0"/>
          <w:sz w:val="21"/>
          <w:szCs w:val="21"/>
          <w:lang w:val="en-US" w:eastAsia="zh-CN" w:bidi="ar"/>
        </w:rPr>
        <w:t>200mm</w:t>
      </w:r>
      <w:r>
        <w:rPr>
          <w:rFonts w:hint="default" w:ascii="Times New Roman" w:hAnsi="Times New Roman" w:cs="Times New Roman"/>
          <w:spacing w:val="-7"/>
          <w:lang w:val="en-US" w:eastAsia="zh-CN"/>
        </w:rPr>
        <w:t xml:space="preserve"> 以内的绿地；广义的</w:t>
      </w:r>
      <w:r>
        <w:rPr>
          <w:rFonts w:hint="eastAsia" w:ascii="Times New Roman" w:hAnsi="Times New Roman" w:cs="Times New Roman"/>
          <w:spacing w:val="-7"/>
          <w:lang w:val="en-US" w:eastAsia="zh-CN"/>
        </w:rPr>
        <w:t>下沉式绿地</w:t>
      </w:r>
      <w:r>
        <w:rPr>
          <w:rFonts w:hint="default" w:ascii="Times New Roman" w:hAnsi="Times New Roman" w:cs="Times New Roman"/>
          <w:spacing w:val="-7"/>
          <w:lang w:val="en-US" w:eastAsia="zh-CN"/>
        </w:rPr>
        <w:t>泛指具有一定的调蓄容积，且可用于调蓄和净化径流雨水的绿地，包括生物滞留设施、渗透塘、湿塘等。本导则中使用其狭义概念。</w:t>
      </w:r>
    </w:p>
    <w:p w14:paraId="6CAA0C5E">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2</w:t>
      </w:r>
      <w:r>
        <w:rPr>
          <w:rFonts w:hint="default" w:ascii="Times New Roman" w:hAnsi="Times New Roman" w:eastAsia="宋体" w:cs="Times New Roman"/>
          <w:b/>
          <w:bCs/>
          <w:sz w:val="21"/>
          <w:szCs w:val="28"/>
          <w:lang w:val="en-US" w:eastAsia="zh-CN" w:bidi="ar-SA"/>
        </w:rPr>
        <w:t xml:space="preserve"> 雨水花园</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rain garden</w:t>
      </w:r>
    </w:p>
    <w:p w14:paraId="52A95F78">
      <w:pPr>
        <w:ind w:firstLine="406"/>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自然形成或人工挖掘的绿地，种植灌木、花草，形成小型雨水滞留入渗设施，用于收集来自屋顶或地面的雨水，利用土壤和植物的过滤作用净化雨水，暂时滞留雨水并使之逐渐渗入土壤，是生物滞留设施的一种。</w:t>
      </w:r>
    </w:p>
    <w:p w14:paraId="15390B93">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3</w:t>
      </w:r>
      <w:r>
        <w:rPr>
          <w:rFonts w:hint="default" w:ascii="Times New Roman" w:hAnsi="Times New Roman" w:eastAsia="宋体" w:cs="Times New Roman"/>
          <w:b/>
          <w:bCs/>
          <w:sz w:val="21"/>
          <w:szCs w:val="28"/>
          <w:lang w:val="en-US" w:eastAsia="zh-CN" w:bidi="ar-SA"/>
        </w:rPr>
        <w:t xml:space="preserve"> 生态树池</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ecological tree pool</w:t>
      </w:r>
    </w:p>
    <w:p w14:paraId="1BC15A91">
      <w:pPr>
        <w:ind w:firstLine="406"/>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生态树池是树木生长的地下空间，多采用适合树木生长的专用配方土，底部设置有排水盲管，可消纳其周边铺装地面产生的部分雨水径流，是生物滞留设施的一种。</w:t>
      </w:r>
    </w:p>
    <w:p w14:paraId="60C4EA99">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0.1</w:t>
      </w:r>
      <w:r>
        <w:rPr>
          <w:rFonts w:hint="eastAsia" w:ascii="Times New Roman" w:hAnsi="Times New Roman" w:cs="Times New Roman"/>
          <w:b/>
          <w:bCs/>
          <w:sz w:val="21"/>
          <w:szCs w:val="32"/>
          <w:lang w:val="en-US" w:eastAsia="zh-CN" w:bidi="ar-SA"/>
        </w:rPr>
        <w:t>4</w:t>
      </w:r>
      <w:r>
        <w:rPr>
          <w:rFonts w:hint="default" w:ascii="Times New Roman" w:hAnsi="Times New Roman" w:eastAsia="宋体" w:cs="Times New Roman"/>
          <w:b/>
          <w:bCs/>
          <w:sz w:val="21"/>
          <w:szCs w:val="32"/>
          <w:lang w:val="en-US" w:eastAsia="zh-CN" w:bidi="ar-SA"/>
        </w:rPr>
        <w:t xml:space="preserve"> </w:t>
      </w:r>
      <w:r>
        <w:rPr>
          <w:rFonts w:hint="default" w:ascii="Times New Roman" w:hAnsi="Times New Roman" w:eastAsia="宋体" w:cs="Times New Roman"/>
          <w:b/>
          <w:bCs/>
          <w:sz w:val="21"/>
          <w:szCs w:val="28"/>
          <w:lang w:val="en-US" w:eastAsia="zh-CN" w:bidi="ar-SA"/>
        </w:rPr>
        <w:t>植草沟</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color w:val="000000"/>
          <w:kern w:val="0"/>
          <w:sz w:val="21"/>
          <w:szCs w:val="21"/>
          <w:lang w:val="en-US" w:eastAsia="zh-CN" w:bidi="ar"/>
        </w:rPr>
        <w:t xml:space="preserve"> grass swale</w:t>
      </w:r>
    </w:p>
    <w:p w14:paraId="5E54328E">
      <w:pPr>
        <w:ind w:firstLine="406"/>
        <w:jc w:val="both"/>
        <w:rPr>
          <w:rFonts w:hint="default" w:ascii="Times New Roman" w:hAnsi="Times New Roman" w:cs="Times New Roman"/>
          <w:spacing w:val="-7"/>
          <w:lang w:val="en-US" w:eastAsia="zh-CN"/>
        </w:rPr>
      </w:pPr>
      <w:r>
        <w:rPr>
          <w:rFonts w:hint="default" w:ascii="Times New Roman" w:hAnsi="Times New Roman" w:cs="Times New Roman"/>
          <w:spacing w:val="-7"/>
          <w:lang w:eastAsia="zh-CN"/>
        </w:rPr>
        <w:t>用来收集、输送和净化雨水的表面覆盖植被的明渠，可用于衔接其他海绵城市建设单项设施、城市雨水管渠和超标雨水径流排放系统。主要型式有转输型植草沟、渗透型植草沟。</w:t>
      </w:r>
    </w:p>
    <w:p w14:paraId="597EF189">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5</w:t>
      </w:r>
      <w:r>
        <w:rPr>
          <w:rFonts w:hint="default" w:ascii="Times New Roman" w:hAnsi="Times New Roman" w:eastAsia="宋体" w:cs="Times New Roman"/>
          <w:b/>
          <w:bCs/>
          <w:sz w:val="21"/>
          <w:szCs w:val="28"/>
          <w:lang w:val="en-US" w:eastAsia="zh-CN" w:bidi="ar-SA"/>
        </w:rPr>
        <w:t xml:space="preserve"> 植被缓冲带</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grass buffer</w:t>
      </w:r>
    </w:p>
    <w:p w14:paraId="56DF28F9">
      <w:pPr>
        <w:ind w:firstLine="420"/>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指坡度较缓的植被区，经植被拦截和土壤下渗作用减缓地表径流流速，并去除径流中的污染物。</w:t>
      </w:r>
    </w:p>
    <w:p w14:paraId="46C05908">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6</w:t>
      </w:r>
      <w:r>
        <w:rPr>
          <w:rFonts w:hint="default" w:ascii="Times New Roman" w:hAnsi="Times New Roman" w:eastAsia="宋体" w:cs="Times New Roman"/>
          <w:b/>
          <w:bCs/>
          <w:sz w:val="21"/>
          <w:szCs w:val="28"/>
          <w:lang w:val="en-US" w:eastAsia="zh-CN" w:bidi="ar-SA"/>
        </w:rPr>
        <w:t xml:space="preserve"> 绿色屋面</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green roof</w:t>
      </w:r>
    </w:p>
    <w:p w14:paraId="5C246AF6">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val="en-US" w:eastAsia="zh-CN"/>
        </w:rPr>
        <w:t>又称种植屋面或屋顶绿化，指在高出地面以上，与自然土层不相连接的各类建筑物、构筑物的顶部和天台、露台上由表层植物、覆土层和疏水设施构建的具有一定景观效应的绿化屋面。</w:t>
      </w:r>
    </w:p>
    <w:p w14:paraId="7C283E26">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7</w:t>
      </w:r>
      <w:r>
        <w:rPr>
          <w:rFonts w:hint="default" w:ascii="Times New Roman" w:hAnsi="Times New Roman" w:eastAsia="宋体" w:cs="Times New Roman"/>
          <w:b/>
          <w:bCs/>
          <w:sz w:val="21"/>
          <w:szCs w:val="28"/>
          <w:lang w:val="en-US" w:eastAsia="zh-CN" w:bidi="ar-SA"/>
        </w:rPr>
        <w:t xml:space="preserve"> 生态驳岸</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 xml:space="preserve">ecological slope protection </w:t>
      </w:r>
    </w:p>
    <w:p w14:paraId="2EE52F64">
      <w:pPr>
        <w:ind w:firstLine="406"/>
        <w:jc w:val="both"/>
        <w:rPr>
          <w:rFonts w:hint="default" w:ascii="Times New Roman" w:hAnsi="Times New Roman" w:cs="Times New Roman"/>
          <w:spacing w:val="-7"/>
          <w:lang w:eastAsia="zh-CN"/>
        </w:rPr>
      </w:pPr>
      <w:r>
        <w:rPr>
          <w:rFonts w:hint="default" w:ascii="Times New Roman" w:hAnsi="Times New Roman" w:cs="Times New Roman"/>
          <w:spacing w:val="-7"/>
          <w:lang w:val="en-US" w:eastAsia="zh-CN"/>
        </w:rPr>
        <w:t>生态驳岸是指恢复后的自然河岸或具有自然河岸“可渗透性”的人工驳岸，除具有护堤和防洪的基本功能外，对于改善滨水区景观、恢复生态平衡、调节水源、增强水体自净能力等均有较好的作用。</w:t>
      </w:r>
    </w:p>
    <w:p w14:paraId="2957E546">
      <w:pPr>
        <w:keepNext w:val="0"/>
        <w:keepLines w:val="0"/>
        <w:widowControl/>
        <w:suppressLineNumbers w:val="0"/>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eastAsia" w:ascii="Times New Roman" w:hAnsi="Times New Roman" w:cs="Times New Roman"/>
          <w:b/>
          <w:bCs/>
          <w:sz w:val="21"/>
          <w:szCs w:val="32"/>
          <w:lang w:val="en-US" w:eastAsia="zh-CN" w:bidi="ar-SA"/>
        </w:rPr>
        <w:t>8</w:t>
      </w:r>
      <w:r>
        <w:rPr>
          <w:rFonts w:hint="default" w:ascii="Times New Roman" w:hAnsi="Times New Roman" w:eastAsia="宋体" w:cs="Times New Roman"/>
          <w:b/>
          <w:bCs/>
          <w:sz w:val="21"/>
          <w:szCs w:val="28"/>
          <w:lang w:val="en-US" w:eastAsia="zh-CN" w:bidi="ar-SA"/>
        </w:rPr>
        <w:t xml:space="preserve"> 生态浮岛</w:t>
      </w:r>
      <w:r>
        <w:rPr>
          <w:rFonts w:hint="default" w:ascii="Times New Roman" w:hAnsi="Times New Roman" w:cs="Times New Roman"/>
          <w:b/>
          <w:bCs/>
          <w:sz w:val="21"/>
          <w:szCs w:val="28"/>
          <w:lang w:val="en-US" w:eastAsia="zh-CN" w:bidi="ar-SA"/>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1"/>
          <w:szCs w:val="21"/>
          <w:lang w:val="en-US" w:eastAsia="zh-CN" w:bidi="ar"/>
        </w:rPr>
        <w:t>ecological floating island</w:t>
      </w:r>
    </w:p>
    <w:p w14:paraId="1B919B55">
      <w:pPr>
        <w:ind w:firstLine="406"/>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漂浮或固着于水体上，利用植物的根系吸收水中的污染物质，具有净化水质、创造生物栖息空间、改善景观、消波护岸等功能的人工浮岛。</w:t>
      </w:r>
    </w:p>
    <w:p w14:paraId="2F1C40E9">
      <w:pPr>
        <w:ind w:left="0" w:leftChars="0" w:firstLine="0" w:firstLineChars="0"/>
        <w:jc w:val="both"/>
        <w:rPr>
          <w:rFonts w:hint="default" w:ascii="Times New Roman" w:hAnsi="Times New Roman" w:cs="Times New Roman"/>
          <w:lang w:val="en-US" w:eastAsia="zh-CN"/>
        </w:rPr>
      </w:pPr>
      <w:r>
        <w:rPr>
          <w:rFonts w:hint="default" w:ascii="Times New Roman" w:hAnsi="Times New Roman" w:eastAsia="宋体" w:cs="Times New Roman"/>
          <w:b/>
          <w:bCs/>
          <w:sz w:val="21"/>
          <w:szCs w:val="32"/>
          <w:lang w:val="en-US" w:eastAsia="zh-CN" w:bidi="ar-SA"/>
        </w:rPr>
        <w:t>2.</w:t>
      </w:r>
      <w:r>
        <w:rPr>
          <w:rFonts w:hint="default" w:ascii="Times New Roman" w:hAnsi="Times New Roman" w:cs="Times New Roman"/>
          <w:b/>
          <w:bCs/>
          <w:sz w:val="21"/>
          <w:szCs w:val="32"/>
          <w:lang w:val="en-US" w:eastAsia="zh-CN" w:bidi="ar-SA"/>
        </w:rPr>
        <w:t>0.</w:t>
      </w:r>
      <w:r>
        <w:rPr>
          <w:rFonts w:hint="default" w:ascii="Times New Roman" w:hAnsi="Times New Roman" w:eastAsia="宋体" w:cs="Times New Roman"/>
          <w:b/>
          <w:bCs/>
          <w:sz w:val="21"/>
          <w:szCs w:val="32"/>
          <w:lang w:val="en-US" w:eastAsia="zh-CN" w:bidi="ar-SA"/>
        </w:rPr>
        <w:t>1</w:t>
      </w:r>
      <w:r>
        <w:rPr>
          <w:rFonts w:hint="default" w:ascii="Times New Roman" w:hAnsi="Times New Roman" w:cs="Times New Roman"/>
          <w:b/>
          <w:bCs/>
          <w:sz w:val="21"/>
          <w:szCs w:val="32"/>
          <w:lang w:val="en-US" w:eastAsia="zh-CN" w:bidi="ar-SA"/>
        </w:rPr>
        <w:t>9</w:t>
      </w:r>
      <w:r>
        <w:rPr>
          <w:rFonts w:hint="default" w:ascii="Times New Roman" w:hAnsi="Times New Roman" w:eastAsia="宋体" w:cs="Times New Roman"/>
          <w:b/>
          <w:bCs/>
          <w:sz w:val="21"/>
          <w:szCs w:val="28"/>
          <w:lang w:val="en-US" w:eastAsia="zh-CN" w:bidi="ar-SA"/>
        </w:rPr>
        <w:t xml:space="preserve"> 湿塘</w:t>
      </w:r>
      <w:r>
        <w:rPr>
          <w:rFonts w:hint="default" w:ascii="Times New Roman" w:hAnsi="Times New Roman" w:cs="Times New Roman"/>
          <w:b/>
          <w:bCs/>
          <w:sz w:val="21"/>
          <w:szCs w:val="28"/>
          <w:lang w:val="en-US" w:eastAsia="zh-CN" w:bidi="ar-SA"/>
        </w:rPr>
        <w:t xml:space="preserve">   </w:t>
      </w:r>
      <w:r>
        <w:rPr>
          <w:rFonts w:hint="default" w:ascii="Times New Roman" w:hAnsi="Times New Roman" w:eastAsia="宋体" w:cs="Times New Roman"/>
          <w:b w:val="0"/>
          <w:bCs w:val="0"/>
          <w:color w:val="000000"/>
          <w:kern w:val="0"/>
          <w:sz w:val="21"/>
          <w:szCs w:val="21"/>
          <w:lang w:val="en-US" w:eastAsia="zh-CN" w:bidi="ar"/>
        </w:rPr>
        <w:t>wet pond</w:t>
      </w:r>
    </w:p>
    <w:p w14:paraId="462A26B8">
      <w:pPr>
        <w:ind w:firstLine="406"/>
        <w:jc w:val="both"/>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t>以雨水作为主要补水水源的具有雨水调蓄和净化功能的景观水体。</w:t>
      </w:r>
    </w:p>
    <w:p w14:paraId="09681096">
      <w:pPr>
        <w:rPr>
          <w:rFonts w:hint="default" w:ascii="Times New Roman" w:hAnsi="Times New Roman" w:cs="Times New Roman"/>
          <w:spacing w:val="-7"/>
          <w:lang w:val="en-US" w:eastAsia="zh-CN"/>
        </w:rPr>
      </w:pPr>
      <w:r>
        <w:rPr>
          <w:rFonts w:hint="default" w:ascii="Times New Roman" w:hAnsi="Times New Roman" w:cs="Times New Roman"/>
          <w:spacing w:val="-7"/>
          <w:lang w:val="en-US" w:eastAsia="zh-CN"/>
        </w:rPr>
        <w:br w:type="page"/>
      </w:r>
    </w:p>
    <w:p w14:paraId="5C41246A">
      <w:pPr>
        <w:pStyle w:val="3"/>
        <w:rPr>
          <w:rFonts w:hint="default" w:ascii="Times New Roman" w:hAnsi="Times New Roman" w:cs="Times New Roman"/>
          <w:lang w:eastAsia="zh-CN"/>
        </w:rPr>
      </w:pPr>
      <w:bookmarkStart w:id="4" w:name="_TOC_250005"/>
      <w:bookmarkEnd w:id="4"/>
      <w:bookmarkStart w:id="5" w:name="_Toc134459167"/>
      <w:r>
        <w:rPr>
          <w:rFonts w:hint="default" w:ascii="Times New Roman" w:hAnsi="Times New Roman" w:cs="Times New Roman"/>
          <w:lang w:eastAsia="zh-CN"/>
        </w:rPr>
        <w:t>3 总体设计</w:t>
      </w:r>
      <w:bookmarkEnd w:id="5"/>
    </w:p>
    <w:p w14:paraId="67097881">
      <w:pPr>
        <w:pStyle w:val="4"/>
        <w:jc w:val="left"/>
        <w:rPr>
          <w:rFonts w:hint="default" w:ascii="Times New Roman" w:hAnsi="Times New Roman" w:cs="Times New Roman"/>
          <w:lang w:eastAsia="zh-CN"/>
        </w:rPr>
      </w:pPr>
      <w:bookmarkStart w:id="6" w:name="_Toc134459168"/>
      <w:r>
        <w:rPr>
          <w:rFonts w:hint="default" w:ascii="Times New Roman" w:hAnsi="Times New Roman" w:cs="Times New Roman"/>
          <w:lang w:eastAsia="zh-CN"/>
        </w:rPr>
        <w:t>3.1 设计要求</w:t>
      </w:r>
      <w:bookmarkEnd w:id="6"/>
    </w:p>
    <w:p w14:paraId="36914026">
      <w:pPr>
        <w:pStyle w:val="5"/>
        <w:jc w:val="both"/>
        <w:rPr>
          <w:rFonts w:hint="default" w:ascii="Times New Roman" w:hAnsi="Times New Roman" w:cs="Times New Roman"/>
          <w:lang w:eastAsia="zh-CN"/>
        </w:rPr>
      </w:pPr>
      <w:r>
        <w:rPr>
          <w:rFonts w:hint="default" w:ascii="Times New Roman" w:hAnsi="Times New Roman" w:cs="Times New Roman"/>
          <w:lang w:eastAsia="zh-CN"/>
        </w:rPr>
        <w:t>3.1.1整体设计要求</w:t>
      </w:r>
    </w:p>
    <w:p w14:paraId="2A0BD6C3">
      <w:pPr>
        <w:ind w:firstLine="400"/>
        <w:jc w:val="both"/>
        <w:rPr>
          <w:rFonts w:hint="default" w:ascii="Times New Roman" w:hAnsi="Times New Roman" w:cs="Times New Roman"/>
          <w:spacing w:val="-10"/>
          <w:lang w:eastAsia="zh-CN"/>
        </w:rPr>
      </w:pPr>
      <w:r>
        <w:rPr>
          <w:rFonts w:hint="eastAsia" w:ascii="Times New Roman" w:hAnsi="Times New Roman" w:cs="Times New Roman"/>
          <w:spacing w:val="-10"/>
          <w:lang w:val="en-US" w:eastAsia="zh-CN"/>
        </w:rPr>
        <w:t>三明市海绵城市绿地设计应坚持“生态为本、自然循环、规划引领、统筹推进、政府引导、社会参与”的指导思想，遵循经济、适用、美观原则，建设与周边环境相协调的海绵化城市绿地。</w:t>
      </w:r>
    </w:p>
    <w:p w14:paraId="004FB361">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 xml:space="preserve">3.1.2 </w:t>
      </w:r>
      <w:r>
        <w:rPr>
          <w:rFonts w:hint="default" w:ascii="Times New Roman" w:hAnsi="Times New Roman" w:cs="Times New Roman"/>
          <w:lang w:eastAsia="zh-CN"/>
        </w:rPr>
        <w:t>符合上位规划</w:t>
      </w:r>
    </w:p>
    <w:p w14:paraId="15FA02F0">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三明市海绵城市绿地的总体设计，应以三明国土空间总体规划、三明市中心城区绿地系统规划、三明市中心城区公园体系规划及三明市海绵城市</w:t>
      </w:r>
      <w:r>
        <w:rPr>
          <w:rFonts w:hint="eastAsia" w:ascii="Times New Roman" w:hAnsi="Times New Roman" w:cs="Times New Roman"/>
          <w:spacing w:val="-10"/>
          <w:lang w:val="en-US" w:eastAsia="zh-CN"/>
        </w:rPr>
        <w:t>建设</w:t>
      </w:r>
      <w:r>
        <w:rPr>
          <w:rFonts w:hint="default" w:ascii="Times New Roman" w:hAnsi="Times New Roman" w:cs="Times New Roman"/>
          <w:spacing w:val="-10"/>
          <w:lang w:eastAsia="zh-CN"/>
        </w:rPr>
        <w:t>专项规划等为依据。</w:t>
      </w:r>
    </w:p>
    <w:p w14:paraId="4AE5D785">
      <w:pPr>
        <w:pStyle w:val="5"/>
        <w:jc w:val="both"/>
        <w:rPr>
          <w:rFonts w:hint="default" w:ascii="Times New Roman" w:hAnsi="Times New Roman" w:cs="Times New Roman"/>
          <w:lang w:eastAsia="zh-CN"/>
        </w:rPr>
      </w:pPr>
      <w:r>
        <w:rPr>
          <w:rFonts w:hint="default" w:ascii="Times New Roman" w:hAnsi="Times New Roman" w:cs="Times New Roman"/>
          <w:lang w:eastAsia="zh-CN"/>
        </w:rPr>
        <w:t>3.</w:t>
      </w:r>
      <w:r>
        <w:rPr>
          <w:rFonts w:hint="default" w:ascii="Times New Roman" w:hAnsi="Times New Roman" w:cs="Times New Roman"/>
          <w:w w:val="95"/>
          <w:lang w:eastAsia="zh-CN"/>
        </w:rPr>
        <w:t>1.</w:t>
      </w:r>
      <w:r>
        <w:rPr>
          <w:rFonts w:hint="default" w:ascii="Times New Roman" w:hAnsi="Times New Roman" w:cs="Times New Roman"/>
          <w:lang w:eastAsia="zh-CN"/>
        </w:rPr>
        <w:t>3 符合城市建设要求</w:t>
      </w:r>
    </w:p>
    <w:p w14:paraId="6310FE05">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三明市海绵城市绿地建设应根据绿地类型和功能设计相应的低影响开发雨水系统，并</w:t>
      </w:r>
      <w:r>
        <w:rPr>
          <w:rFonts w:hint="eastAsia" w:ascii="Times New Roman" w:hAnsi="Times New Roman" w:cs="Times New Roman"/>
          <w:spacing w:val="-10"/>
          <w:lang w:val="en-US" w:eastAsia="zh-CN"/>
        </w:rPr>
        <w:t>因地制宜</w:t>
      </w:r>
      <w:r>
        <w:rPr>
          <w:rFonts w:hint="default" w:ascii="Times New Roman" w:hAnsi="Times New Roman" w:cs="Times New Roman"/>
          <w:spacing w:val="-10"/>
          <w:lang w:eastAsia="zh-CN"/>
        </w:rPr>
        <w:t>合理设置植草沟、</w:t>
      </w:r>
      <w:r>
        <w:rPr>
          <w:rFonts w:hint="eastAsia" w:ascii="Times New Roman" w:hAnsi="Times New Roman" w:cs="Times New Roman"/>
          <w:spacing w:val="-10"/>
          <w:lang w:eastAsia="zh-CN"/>
        </w:rPr>
        <w:t>下沉式绿地</w:t>
      </w:r>
      <w:r>
        <w:rPr>
          <w:rFonts w:hint="default" w:ascii="Times New Roman" w:hAnsi="Times New Roman" w:cs="Times New Roman"/>
          <w:spacing w:val="-10"/>
          <w:lang w:eastAsia="zh-CN"/>
        </w:rPr>
        <w:t>、雨水花园、湿塘、海绵滞蓄池、高位花坛、生态树池等海绵设施。</w:t>
      </w:r>
    </w:p>
    <w:p w14:paraId="7C7E4F68">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 1.4 设计指标符合相关标准</w:t>
      </w:r>
    </w:p>
    <w:p w14:paraId="382C1A4F">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三明市海绵城市绿地设计应参照《三明市海绵城市建设技术标准》要求进行相应指标计算。若附属于主体工程，应以主体工程要求的上位总体指标体系为依据进行核算，必要时可反向要求以保证绿地海绵设计的合理性。</w:t>
      </w:r>
    </w:p>
    <w:p w14:paraId="28B99C42">
      <w:pPr>
        <w:pStyle w:val="4"/>
        <w:jc w:val="left"/>
        <w:rPr>
          <w:rFonts w:hint="default" w:ascii="Times New Roman" w:hAnsi="Times New Roman" w:cs="Times New Roman"/>
          <w:lang w:eastAsia="zh-CN"/>
        </w:rPr>
      </w:pPr>
      <w:bookmarkStart w:id="7" w:name="_Toc134459169"/>
      <w:r>
        <w:rPr>
          <w:rFonts w:hint="default" w:ascii="Times New Roman" w:hAnsi="Times New Roman" w:cs="Times New Roman"/>
          <w:lang w:eastAsia="zh-CN"/>
        </w:rPr>
        <w:t>3.2 设计成果</w:t>
      </w:r>
      <w:bookmarkEnd w:id="7"/>
    </w:p>
    <w:p w14:paraId="27A49A84">
      <w:pPr>
        <w:pStyle w:val="5"/>
        <w:rPr>
          <w:rFonts w:hint="default" w:ascii="Times New Roman" w:hAnsi="Times New Roman" w:cs="Times New Roman"/>
          <w:lang w:eastAsia="zh-CN"/>
        </w:rPr>
      </w:pPr>
      <w:r>
        <w:rPr>
          <w:rFonts w:hint="default" w:ascii="Times New Roman" w:hAnsi="Times New Roman" w:cs="Times New Roman"/>
          <w:lang w:eastAsia="zh-CN"/>
        </w:rPr>
        <w:t>3.2.1 一般规定</w:t>
      </w:r>
    </w:p>
    <w:p w14:paraId="1632C364">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海绵城市绿地设计成果应符合《风景园林制图标准》（</w:t>
      </w:r>
      <w:r>
        <w:rPr>
          <w:rFonts w:hint="default" w:ascii="Times New Roman" w:hAnsi="Times New Roman" w:eastAsia="宋体" w:cs="Times New Roman"/>
          <w:b w:val="0"/>
          <w:bCs w:val="0"/>
          <w:color w:val="000000"/>
          <w:kern w:val="0"/>
          <w:sz w:val="21"/>
          <w:szCs w:val="21"/>
          <w:lang w:val="en-US" w:eastAsia="zh-CN" w:bidi="ar"/>
        </w:rPr>
        <w:t>CJJ/T 67</w:t>
      </w:r>
      <w:r>
        <w:rPr>
          <w:rFonts w:hint="default" w:ascii="Times New Roman" w:hAnsi="Times New Roman" w:cs="Times New Roman"/>
          <w:spacing w:val="-10"/>
          <w:lang w:eastAsia="zh-CN"/>
        </w:rPr>
        <w:t>）、《三明市城市园林绿化管理条例》、《三明市园林绿化导则（试行）》、《三明市海绵城市建设施工图设计导则》、《三明市海绵城市建设施工图审查要点》等国家及地方现行相关标准的要求。海绵城市绿地设计应根据上位规划指标确定，设计文件应包含设计说明，道路交通工程、雨水工程及绿化景观工程等分项工程设计内容及工程投资，并须附设计单位资质证书、加盖设计单位图章等。</w:t>
      </w:r>
    </w:p>
    <w:p w14:paraId="011D81F2">
      <w:pPr>
        <w:pStyle w:val="5"/>
        <w:jc w:val="both"/>
        <w:rPr>
          <w:rFonts w:hint="default" w:ascii="Times New Roman" w:hAnsi="Times New Roman" w:cs="Times New Roman"/>
          <w:w w:val="95"/>
          <w:lang w:eastAsia="zh-CN"/>
        </w:rPr>
      </w:pPr>
      <w:r>
        <w:rPr>
          <w:rFonts w:hint="default" w:ascii="Times New Roman" w:hAnsi="Times New Roman" w:cs="Times New Roman"/>
          <w:lang w:eastAsia="zh-CN"/>
        </w:rPr>
        <w:t>3.2</w:t>
      </w:r>
      <w:r>
        <w:rPr>
          <w:rFonts w:hint="default" w:ascii="Times New Roman" w:hAnsi="Times New Roman" w:cs="Times New Roman"/>
          <w:w w:val="95"/>
          <w:lang w:eastAsia="zh-CN"/>
        </w:rPr>
        <w:t>.2 方案设计出图</w:t>
      </w:r>
    </w:p>
    <w:p w14:paraId="60545E80">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应依据海绵城市建设目标，充分分析项目区域的具体建设指标，并提供合理的低影响开发措施和构造技术。为准确表达设计意图，可根据需要绘制效果图。本导则所列图纸名录依据具体项目类型进行选择。</w:t>
      </w:r>
    </w:p>
    <w:p w14:paraId="6C1B3240">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1 ） 设计说明应包含道路交通工程、雨水工程、绿化景观工程等所有分项工程。其中，雨水工程应概述海绵设施设计的指导思想和遵循的各项原则；说明海绵设施的设计理念和构思；列出设计所采用的主要依据及标准；详细分析项目现状；阐述控制目标，在雨水排水设计的基础上进行海绵设施的计算并体现计算成果。</w:t>
      </w:r>
    </w:p>
    <w:p w14:paraId="7C39AEF9">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2） 区位图：标明用地在城市中的位置以及与周边地区的关系。</w:t>
      </w:r>
    </w:p>
    <w:p w14:paraId="634838B8">
      <w:pPr>
        <w:keepNext w:val="0"/>
        <w:keepLines w:val="0"/>
        <w:widowControl/>
        <w:suppressLineNumbers w:val="0"/>
        <w:jc w:val="left"/>
        <w:rPr>
          <w:rFonts w:hint="default" w:ascii="Times New Roman" w:hAnsi="Times New Roman" w:cs="Times New Roman"/>
          <w:spacing w:val="-10"/>
          <w:lang w:eastAsia="zh-CN"/>
        </w:rPr>
      </w:pPr>
      <w:r>
        <w:rPr>
          <w:rFonts w:hint="default" w:ascii="Times New Roman" w:hAnsi="Times New Roman" w:cs="Times New Roman"/>
          <w:spacing w:val="-10"/>
          <w:lang w:eastAsia="zh-CN"/>
        </w:rPr>
        <w:t>3）现状分析图：分析用地范围内地形地势、植被、建（构）筑物、水体、市政设施</w:t>
      </w:r>
      <w:r>
        <w:rPr>
          <w:rFonts w:hint="eastAsia" w:ascii="Times New Roman" w:hAnsi="Times New Roman" w:cs="Times New Roman"/>
          <w:spacing w:val="-10"/>
          <w:lang w:eastAsia="zh-CN"/>
        </w:rPr>
        <w:t>、</w:t>
      </w:r>
      <w:r>
        <w:rPr>
          <w:rFonts w:hint="eastAsia" w:ascii="Times New Roman" w:hAnsi="Times New Roman" w:cs="Times New Roman"/>
          <w:spacing w:val="-10"/>
          <w:lang w:val="en-US" w:eastAsia="zh-CN"/>
        </w:rPr>
        <w:t>地下水位标高、土壤渗透系数</w:t>
      </w:r>
      <w:r>
        <w:rPr>
          <w:rFonts w:hint="default" w:ascii="Times New Roman" w:hAnsi="Times New Roman" w:cs="Times New Roman"/>
          <w:spacing w:val="-10"/>
          <w:lang w:eastAsia="zh-CN"/>
        </w:rPr>
        <w:t>及周边用地等现状情况。</w:t>
      </w:r>
    </w:p>
    <w:p w14:paraId="2274B6C6">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4）总平面图：绿地的总体平面布置图。</w:t>
      </w:r>
    </w:p>
    <w:p w14:paraId="0FD84381">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5）竖向设计图：明确用地范围及周边毗邻场地原地形等高线及设计等高线；标明用地范围内的主要控制点（含水体）高程。</w:t>
      </w:r>
    </w:p>
    <w:p w14:paraId="681511C5">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6）汇水分区平面图：含汇水分区线、径流组织、场地基本标高、雨水排水口布置等。</w:t>
      </w:r>
    </w:p>
    <w:p w14:paraId="7552E94E">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7）海绵设施总平面图：标明用地范围内海绵设施分布及排水组织。</w:t>
      </w:r>
    </w:p>
    <w:p w14:paraId="527BA912">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8）降雨组织图：体现降雨在用地范围内的消纳、组织及排放过程。</w:t>
      </w:r>
    </w:p>
    <w:p w14:paraId="5DF21448">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9）给排水设计图：标明给排水管线布置走向、管（沟）断面尺寸、长度、坡度等技术参数。</w:t>
      </w:r>
    </w:p>
    <w:p w14:paraId="3D909339">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10）园路交通设计图：分析园路功能与交通组织。</w:t>
      </w:r>
    </w:p>
    <w:p w14:paraId="118085C9">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11）种植设计图：标明海绵设施影响区域的植物种类，其他设计参照一般绿地的种植设计要求。</w:t>
      </w:r>
    </w:p>
    <w:p w14:paraId="40D0CE93">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12）节点详图：视项目情况绘制节点详图。</w:t>
      </w:r>
    </w:p>
    <w:p w14:paraId="087A98E4">
      <w:pPr>
        <w:ind w:left="0" w:leftChars="0" w:firstLine="0" w:firstLineChars="0"/>
        <w:jc w:val="both"/>
        <w:rPr>
          <w:rFonts w:hint="default" w:ascii="Times New Roman" w:hAnsi="Times New Roman" w:cs="Times New Roman"/>
          <w:b/>
          <w:bCs/>
          <w:szCs w:val="28"/>
          <w:lang w:eastAsia="zh-CN"/>
        </w:rPr>
      </w:pPr>
      <w:r>
        <w:rPr>
          <w:rFonts w:hint="default" w:ascii="Times New Roman" w:hAnsi="Times New Roman" w:cs="Times New Roman"/>
          <w:b/>
          <w:bCs/>
          <w:szCs w:val="28"/>
          <w:lang w:eastAsia="zh-CN"/>
        </w:rPr>
        <w:t>3.2.3 初步设计出图</w:t>
      </w:r>
    </w:p>
    <w:p w14:paraId="17AFD963">
      <w:pPr>
        <w:ind w:firstLine="400"/>
        <w:jc w:val="both"/>
        <w:rPr>
          <w:rFonts w:hint="default" w:ascii="Times New Roman" w:hAnsi="Times New Roman" w:cs="Times New Roman"/>
          <w:b/>
          <w:bCs/>
          <w:szCs w:val="28"/>
          <w:lang w:eastAsia="zh-CN"/>
        </w:rPr>
      </w:pPr>
      <w:r>
        <w:rPr>
          <w:rFonts w:hint="default" w:ascii="Times New Roman" w:hAnsi="Times New Roman" w:cs="Times New Roman"/>
          <w:spacing w:val="-10"/>
          <w:lang w:eastAsia="zh-CN"/>
        </w:rPr>
        <w:t>主要内容含</w:t>
      </w:r>
      <w:bookmarkStart w:id="8" w:name="_Hlk133481018"/>
      <w:r>
        <w:rPr>
          <w:rFonts w:hint="default" w:ascii="Times New Roman" w:hAnsi="Times New Roman" w:cs="Times New Roman"/>
          <w:spacing w:val="-10"/>
          <w:lang w:eastAsia="zh-CN"/>
        </w:rPr>
        <w:t>设计说明、平图设计、断面设计、竖向设计、海绵设施设计、种植设计、</w:t>
      </w:r>
      <w:bookmarkEnd w:id="8"/>
      <w:r>
        <w:rPr>
          <w:rFonts w:hint="default" w:ascii="Times New Roman" w:hAnsi="Times New Roman" w:cs="Times New Roman"/>
          <w:spacing w:val="-10"/>
          <w:lang w:eastAsia="zh-CN"/>
        </w:rPr>
        <w:t>园路场地及园林小品设计、给排水设计、重要设施大样图及工程概算等。</w:t>
      </w:r>
    </w:p>
    <w:p w14:paraId="0CB83377">
      <w:pPr>
        <w:ind w:left="0" w:leftChars="0" w:firstLine="0" w:firstLineChars="0"/>
        <w:jc w:val="both"/>
        <w:rPr>
          <w:rFonts w:hint="default" w:ascii="Times New Roman" w:hAnsi="Times New Roman" w:cs="Times New Roman"/>
          <w:b/>
          <w:bCs/>
          <w:szCs w:val="28"/>
          <w:lang w:eastAsia="zh-CN"/>
        </w:rPr>
      </w:pPr>
      <w:r>
        <w:rPr>
          <w:rFonts w:hint="default" w:ascii="Times New Roman" w:hAnsi="Times New Roman" w:cs="Times New Roman"/>
          <w:b/>
          <w:bCs/>
          <w:szCs w:val="28"/>
          <w:lang w:eastAsia="zh-CN"/>
        </w:rPr>
        <w:t>3.2.4 施工图设计出图</w:t>
      </w:r>
    </w:p>
    <w:p w14:paraId="23FF9C0B">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在初步设计基础上，进一步完善设计说明、总图设计、竖向设计、海绵设施设计、种植设计，完善各节点设计、结构设计等。</w:t>
      </w:r>
    </w:p>
    <w:p w14:paraId="5807E318">
      <w:pPr>
        <w:pStyle w:val="4"/>
        <w:jc w:val="left"/>
        <w:rPr>
          <w:rFonts w:hint="default" w:ascii="Times New Roman" w:hAnsi="Times New Roman" w:cs="Times New Roman"/>
          <w:lang w:eastAsia="zh-CN"/>
        </w:rPr>
      </w:pPr>
      <w:bookmarkStart w:id="9" w:name="_Toc134459170"/>
      <w:r>
        <w:rPr>
          <w:rFonts w:hint="default" w:ascii="Times New Roman" w:hAnsi="Times New Roman" w:cs="Times New Roman"/>
          <w:lang w:eastAsia="zh-CN"/>
        </w:rPr>
        <w:t>3.3 设计流程</w:t>
      </w:r>
      <w:bookmarkEnd w:id="9"/>
    </w:p>
    <w:p w14:paraId="320A30FE">
      <w:pPr>
        <w:ind w:firstLine="400"/>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设计应在重新开展现状调研的基础上，结合上位规划要求，制定合理的设计目标，开展方案、初设及施工图设计。设计过程应由风景园林、城市规划、给排水、道路、建筑、结构、电气等专业相互融合完成，在设计过程中，各专业需密切配合，相互协商，共同制定设计方案。</w:t>
      </w:r>
    </w:p>
    <w:p w14:paraId="5CC2FCB8">
      <w:pPr>
        <w:ind w:firstLine="0" w:firstLineChars="0"/>
        <w:jc w:val="center"/>
        <w:rPr>
          <w:rFonts w:hint="default" w:ascii="Times New Roman" w:hAnsi="Times New Roman" w:cs="Times New Roman"/>
          <w:spacing w:val="-10"/>
          <w:lang w:eastAsia="zh-CN"/>
        </w:rPr>
      </w:pPr>
      <w:r>
        <w:rPr>
          <w:rFonts w:hint="default" w:ascii="Times New Roman" w:hAnsi="Times New Roman" w:cs="Times New Roman"/>
          <w:spacing w:val="-10"/>
          <w:lang w:eastAsia="zh-CN"/>
        </w:rPr>
        <w:drawing>
          <wp:inline distT="0" distB="0" distL="0" distR="0">
            <wp:extent cx="3643630" cy="3150235"/>
            <wp:effectExtent l="0" t="0" r="0" b="0"/>
            <wp:docPr id="1" name="图片 1" descr="C:\Users\Administrator\Documents\WeChat Files\wxid_8633336333312\FileStorage\Temp\168799398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8633336333312\FileStorage\Temp\1687993980354.png"/>
                    <pic:cNvPicPr>
                      <a:picLocks noChangeAspect="1" noChangeArrowheads="1"/>
                    </pic:cNvPicPr>
                  </pic:nvPicPr>
                  <pic:blipFill>
                    <a:blip r:embed="rId13">
                      <a:extLst>
                        <a:ext uri="{28A0092B-C50C-407E-A947-70E740481C1C}">
                          <a14:useLocalDpi xmlns:a14="http://schemas.microsoft.com/office/drawing/2010/main" val="0"/>
                        </a:ext>
                      </a:extLst>
                    </a:blip>
                    <a:srcRect l="1289" t="1179" r="1391" b="1356"/>
                    <a:stretch>
                      <a:fillRect/>
                    </a:stretch>
                  </pic:blipFill>
                  <pic:spPr>
                    <a:xfrm>
                      <a:off x="0" y="0"/>
                      <a:ext cx="3643630" cy="3150235"/>
                    </a:xfrm>
                    <a:prstGeom prst="rect">
                      <a:avLst/>
                    </a:prstGeom>
                    <a:noFill/>
                    <a:ln>
                      <a:noFill/>
                    </a:ln>
                  </pic:spPr>
                </pic:pic>
              </a:graphicData>
            </a:graphic>
          </wp:inline>
        </w:drawing>
      </w:r>
    </w:p>
    <w:p w14:paraId="3F2C4ADD">
      <w:pPr>
        <w:pStyle w:val="5"/>
        <w:jc w:val="center"/>
        <w:rPr>
          <w:rFonts w:hint="default" w:ascii="Times New Roman" w:hAnsi="Times New Roman" w:eastAsia="黑体" w:cs="Times New Roman"/>
          <w:w w:val="95"/>
          <w:sz w:val="18"/>
          <w:szCs w:val="18"/>
          <w:lang w:eastAsia="zh-CN"/>
        </w:rPr>
      </w:pPr>
      <w:r>
        <w:rPr>
          <w:rFonts w:hint="default" w:ascii="Times New Roman" w:hAnsi="Times New Roman" w:eastAsia="黑体" w:cs="Times New Roman"/>
          <w:b w:val="0"/>
          <w:bCs w:val="0"/>
          <w:sz w:val="18"/>
          <w:szCs w:val="18"/>
          <w:lang w:val="en-US" w:eastAsia="zh-CN" w:bidi="ar-SA"/>
        </w:rPr>
        <w:t>图3.1 设计流程图</w:t>
      </w:r>
    </w:p>
    <w:p w14:paraId="5C2B85C9">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3.3.1 资料收集</w:t>
      </w:r>
    </w:p>
    <w:p w14:paraId="0DBF207E">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收集工程上位规划及其他相关图纸（如现状地形图、现状综合管线图等）、本底资料及主要材料来源等。</w:t>
      </w:r>
    </w:p>
    <w:p w14:paraId="35E638F0">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3.3.2 现场调查及分析</w:t>
      </w:r>
    </w:p>
    <w:p w14:paraId="5BC28213">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调研场地的区域环境、径流现状、地勘情况、土壤特征、植物现状、污染物含量等本底情况，确定场地的径流流向和汇水面积等，对现状场地的径流系数及径流量进行核算。</w:t>
      </w:r>
    </w:p>
    <w:p w14:paraId="3DA8A4BE">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3.3.3 控制目标确认</w:t>
      </w:r>
    </w:p>
    <w:p w14:paraId="6289E15C">
      <w:pPr>
        <w:ind w:firstLine="420"/>
        <w:jc w:val="both"/>
        <w:rPr>
          <w:rFonts w:hint="default" w:ascii="Times New Roman" w:hAnsi="Times New Roman" w:cs="Times New Roman"/>
          <w:spacing w:val="-10"/>
          <w:lang w:eastAsia="zh-CN"/>
        </w:rPr>
      </w:pPr>
      <w:r>
        <w:rPr>
          <w:rFonts w:hint="default" w:ascii="Times New Roman" w:hAnsi="Times New Roman" w:cs="Times New Roman"/>
          <w:lang w:eastAsia="zh-CN"/>
        </w:rPr>
        <w:t>依据三明市已经颁布的海绵城市相关规划确定控制目标，并在方案设计中落实。若在落实过程中，建设目标与规划目标存在差距时，需向相关部门进行反馈、</w:t>
      </w:r>
      <w:r>
        <w:rPr>
          <w:rFonts w:hint="default" w:ascii="Times New Roman" w:hAnsi="Times New Roman" w:cs="Times New Roman"/>
          <w:spacing w:val="-10"/>
          <w:lang w:eastAsia="zh-CN"/>
        </w:rPr>
        <w:t>协调。</w:t>
      </w:r>
    </w:p>
    <w:p w14:paraId="02D8D405">
      <w:pPr>
        <w:pStyle w:val="5"/>
        <w:jc w:val="both"/>
        <w:rPr>
          <w:rFonts w:hint="default" w:ascii="Times New Roman" w:hAnsi="Times New Roman" w:cs="Times New Roman"/>
          <w:lang w:eastAsia="zh-CN"/>
        </w:rPr>
      </w:pPr>
      <w:r>
        <w:rPr>
          <w:rFonts w:hint="default" w:ascii="Times New Roman" w:hAnsi="Times New Roman" w:cs="Times New Roman"/>
          <w:w w:val="95"/>
          <w:lang w:eastAsia="zh-CN"/>
        </w:rPr>
        <w:t>3.3.</w:t>
      </w:r>
      <w:r>
        <w:rPr>
          <w:rFonts w:hint="default" w:ascii="Times New Roman" w:hAnsi="Times New Roman" w:cs="Times New Roman"/>
          <w:lang w:eastAsia="zh-CN"/>
        </w:rPr>
        <w:t>4 方案设计</w:t>
      </w:r>
    </w:p>
    <w:p w14:paraId="2AA4BC15">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根据总体布局、竖向设计等条件进行汇水区划分，在各汇水区内分别结合建设条件选择适宜的海绵设施，确定设施规模和数量，核算年径流总量控制率、年径流污染控制率等指标。根据海绵设施平面布置进行种植设计等其他相关设计，确定设计方案。</w:t>
      </w:r>
    </w:p>
    <w:p w14:paraId="04EE9F63">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3.3.5 初步设计</w:t>
      </w:r>
    </w:p>
    <w:p w14:paraId="65B73FD4">
      <w:pPr>
        <w:ind w:firstLine="420"/>
        <w:jc w:val="both"/>
        <w:rPr>
          <w:rFonts w:hint="default" w:ascii="Times New Roman" w:hAnsi="Times New Roman" w:cs="Times New Roman"/>
          <w:lang w:eastAsia="zh-CN"/>
        </w:rPr>
      </w:pPr>
      <w:r>
        <w:rPr>
          <w:rFonts w:hint="default" w:ascii="Times New Roman" w:hAnsi="Times New Roman" w:cs="Times New Roman"/>
          <w:lang w:eastAsia="zh-CN"/>
        </w:rPr>
        <w:t>根据专业机构审查或评估通过的海绵城市建设方案，细化平面布置，进行设施布局，确定设施选型，进行初步结构设计，编制项目概算。</w:t>
      </w:r>
    </w:p>
    <w:p w14:paraId="50A4B813">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3.3.5 施工图设计</w:t>
      </w:r>
    </w:p>
    <w:p w14:paraId="3C589BE6">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在初步设计的基础上，深化图纸设计，图纸应满足国家及地方现行相关施工图文件编制规范要求。</w:t>
      </w:r>
    </w:p>
    <w:p w14:paraId="5EF694C3">
      <w:pPr>
        <w:pStyle w:val="4"/>
        <w:jc w:val="both"/>
        <w:rPr>
          <w:rFonts w:hint="default" w:ascii="Times New Roman" w:hAnsi="Times New Roman" w:cs="Times New Roman"/>
          <w:lang w:eastAsia="zh-CN"/>
        </w:rPr>
      </w:pPr>
      <w:bookmarkStart w:id="10" w:name="_Toc134459171"/>
      <w:r>
        <w:rPr>
          <w:rFonts w:hint="default" w:ascii="Times New Roman" w:hAnsi="Times New Roman" w:cs="Times New Roman"/>
          <w:lang w:eastAsia="zh-CN"/>
        </w:rPr>
        <w:t>3.4 竖向设计</w:t>
      </w:r>
      <w:bookmarkEnd w:id="10"/>
    </w:p>
    <w:p w14:paraId="598A2FE9">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3.4.1 符合上位规划</w:t>
      </w:r>
    </w:p>
    <w:p w14:paraId="147858DC">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海绵城市绿地竖向设计应与城市总体规划及片区控制性规划一致，当与上位规划冲突时，应与规划主管部门对接并征得同意后方可实施。</w:t>
      </w:r>
    </w:p>
    <w:p w14:paraId="4695DF06">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3.4.2 符合相关规范要求</w:t>
      </w:r>
    </w:p>
    <w:p w14:paraId="7BE58B69">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应符合《城市绿地设计规范》（</w:t>
      </w:r>
      <w:r>
        <w:rPr>
          <w:rFonts w:hint="default" w:ascii="Times New Roman" w:hAnsi="Times New Roman" w:eastAsia="宋体" w:cs="Times New Roman"/>
          <w:b w:val="0"/>
          <w:bCs w:val="0"/>
          <w:color w:val="000000"/>
          <w:kern w:val="0"/>
          <w:sz w:val="21"/>
          <w:szCs w:val="21"/>
          <w:lang w:val="en-US" w:eastAsia="zh-CN" w:bidi="ar"/>
        </w:rPr>
        <w:t>GB 50420</w:t>
      </w:r>
      <w:r>
        <w:rPr>
          <w:rFonts w:hint="default" w:ascii="Times New Roman" w:hAnsi="Times New Roman" w:cs="Times New Roman"/>
          <w:spacing w:val="-10"/>
          <w:lang w:eastAsia="zh-CN"/>
        </w:rPr>
        <w:t>）、《城乡建设用地竖向规划规范》（</w:t>
      </w:r>
      <w:r>
        <w:rPr>
          <w:rFonts w:hint="default" w:ascii="Times New Roman" w:hAnsi="Times New Roman" w:eastAsia="宋体" w:cs="Times New Roman"/>
          <w:b w:val="0"/>
          <w:bCs w:val="0"/>
          <w:color w:val="000000"/>
          <w:kern w:val="0"/>
          <w:sz w:val="21"/>
          <w:szCs w:val="21"/>
          <w:lang w:val="en-US" w:eastAsia="zh-CN" w:bidi="ar"/>
        </w:rPr>
        <w:t>CJJ83</w:t>
      </w:r>
      <w:r>
        <w:rPr>
          <w:rFonts w:hint="default" w:ascii="Times New Roman" w:hAnsi="Times New Roman" w:cs="Times New Roman"/>
          <w:spacing w:val="-10"/>
          <w:lang w:eastAsia="zh-CN"/>
        </w:rPr>
        <w:t>）及现行相关标准的规定。</w:t>
      </w:r>
    </w:p>
    <w:p w14:paraId="33B01510">
      <w:pPr>
        <w:pStyle w:val="5"/>
        <w:jc w:val="both"/>
        <w:rPr>
          <w:rFonts w:hint="default" w:ascii="Times New Roman" w:hAnsi="Times New Roman" w:cs="Times New Roman"/>
          <w:lang w:eastAsia="zh-CN"/>
        </w:rPr>
      </w:pPr>
      <w:r>
        <w:rPr>
          <w:rFonts w:hint="default" w:ascii="Times New Roman" w:hAnsi="Times New Roman" w:cs="Times New Roman"/>
          <w:w w:val="95"/>
          <w:lang w:eastAsia="zh-CN"/>
        </w:rPr>
        <w:t>3.4</w:t>
      </w:r>
      <w:r>
        <w:rPr>
          <w:rFonts w:hint="default" w:ascii="Times New Roman" w:hAnsi="Times New Roman" w:cs="Times New Roman"/>
          <w:lang w:eastAsia="zh-CN"/>
        </w:rPr>
        <w:t>.3 结合地形条件</w:t>
      </w:r>
    </w:p>
    <w:p w14:paraId="19EA2DA9">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海绵城市绿地竖向设计应结合地形、地质、水文条件及降水量等因素，重视与海绵设施和超标雨水溢流排放设施相结合，并与竖向设计总体方案相适应。</w:t>
      </w:r>
    </w:p>
    <w:p w14:paraId="15A1C52A">
      <w:pPr>
        <w:pStyle w:val="5"/>
        <w:jc w:val="both"/>
        <w:rPr>
          <w:rFonts w:hint="default" w:ascii="Times New Roman" w:hAnsi="Times New Roman" w:cs="Times New Roman"/>
          <w:lang w:eastAsia="zh-CN"/>
        </w:rPr>
      </w:pPr>
      <w:r>
        <w:rPr>
          <w:rFonts w:hint="default" w:ascii="Times New Roman" w:hAnsi="Times New Roman" w:cs="Times New Roman"/>
          <w:w w:val="95"/>
          <w:lang w:eastAsia="zh-CN"/>
        </w:rPr>
        <w:t>3.4</w:t>
      </w:r>
      <w:r>
        <w:rPr>
          <w:rFonts w:hint="default" w:ascii="Times New Roman" w:hAnsi="Times New Roman" w:cs="Times New Roman"/>
          <w:lang w:eastAsia="zh-CN"/>
        </w:rPr>
        <w:t>.4 避免次生灾害</w:t>
      </w:r>
    </w:p>
    <w:p w14:paraId="073AFFD2">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海绵城市绿地竖向设计应避免次生地质灾害的发生；严禁在地质灾害高、中、易发区进行深挖高填。</w:t>
      </w:r>
    </w:p>
    <w:p w14:paraId="6EEA869A">
      <w:pPr>
        <w:pStyle w:val="5"/>
        <w:jc w:val="both"/>
        <w:rPr>
          <w:rFonts w:hint="default" w:ascii="Times New Roman" w:hAnsi="Times New Roman" w:cs="Times New Roman"/>
          <w:lang w:eastAsia="zh-CN"/>
        </w:rPr>
      </w:pPr>
      <w:r>
        <w:rPr>
          <w:rFonts w:hint="default" w:ascii="Times New Roman" w:hAnsi="Times New Roman" w:cs="Times New Roman"/>
          <w:w w:val="95"/>
          <w:lang w:eastAsia="zh-CN"/>
        </w:rPr>
        <w:t>3.4</w:t>
      </w:r>
      <w:r>
        <w:rPr>
          <w:rFonts w:hint="default" w:ascii="Times New Roman" w:hAnsi="Times New Roman" w:cs="Times New Roman"/>
          <w:lang w:eastAsia="zh-CN"/>
        </w:rPr>
        <w:t>.5 保证排水安全</w:t>
      </w:r>
    </w:p>
    <w:p w14:paraId="1645EFF7">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海绵城市绿地竖向设计应以总体设计布局及控制高程为依据，考虑地表雨水的汇集、调蓄利用与安全排放，营造有利于雨水就地消纳的地形并应与相邻用地标高相协调，有利于相邻用地的排水。</w:t>
      </w:r>
    </w:p>
    <w:p w14:paraId="34CE04F7">
      <w:pPr>
        <w:pStyle w:val="5"/>
        <w:jc w:val="both"/>
        <w:rPr>
          <w:rFonts w:hint="default" w:ascii="Times New Roman" w:hAnsi="Times New Roman" w:cs="Times New Roman"/>
          <w:lang w:eastAsia="zh-CN"/>
        </w:rPr>
      </w:pPr>
      <w:r>
        <w:rPr>
          <w:rFonts w:hint="default" w:ascii="Times New Roman" w:hAnsi="Times New Roman" w:cs="Times New Roman"/>
          <w:w w:val="95"/>
          <w:lang w:eastAsia="zh-CN"/>
        </w:rPr>
        <w:t>3.4</w:t>
      </w:r>
      <w:r>
        <w:rPr>
          <w:rFonts w:hint="default" w:ascii="Times New Roman" w:hAnsi="Times New Roman" w:cs="Times New Roman"/>
          <w:lang w:eastAsia="zh-CN"/>
        </w:rPr>
        <w:t>.6 合理组织雨水径流</w:t>
      </w:r>
    </w:p>
    <w:p w14:paraId="5C6E1FA8">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海绵城市绿地设计应结合场地的竖向设计进行汇水区划分。竖向设计应保证汇水区硬化地表雨水径流能有效汇集至海绵设施。低影响开发溢流设施宜设置在其所在汇水区下游或高程低点。</w:t>
      </w:r>
    </w:p>
    <w:p w14:paraId="157D5226">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3.4.7 营造景观效果</w:t>
      </w:r>
    </w:p>
    <w:p w14:paraId="3FE8C19C">
      <w:pPr>
        <w:ind w:firstLine="400"/>
        <w:jc w:val="both"/>
        <w:rPr>
          <w:rFonts w:hint="default" w:ascii="Times New Roman" w:hAnsi="Times New Roman" w:cs="Times New Roman"/>
          <w:lang w:eastAsia="zh-CN"/>
        </w:rPr>
      </w:pPr>
      <w:r>
        <w:rPr>
          <w:rFonts w:hint="default" w:ascii="Times New Roman" w:hAnsi="Times New Roman" w:cs="Times New Roman"/>
          <w:spacing w:val="-10"/>
          <w:lang w:eastAsia="zh-CN"/>
        </w:rPr>
        <w:t>海绵城市绿地宜设置有利于雨水收集、滞蓄和渗透的微地形。在确保地质安全的前提下，山体公园或坡度较大的城市绿地宜采用适宜的竖向设计手法，营造丰富地形空间景观。</w:t>
      </w:r>
    </w:p>
    <w:p w14:paraId="4C2FE7AD">
      <w:pPr>
        <w:pStyle w:val="4"/>
        <w:jc w:val="both"/>
        <w:rPr>
          <w:rFonts w:hint="default" w:ascii="Times New Roman" w:hAnsi="Times New Roman" w:cs="Times New Roman"/>
          <w:lang w:eastAsia="zh-CN"/>
        </w:rPr>
      </w:pPr>
      <w:bookmarkStart w:id="11" w:name="_Toc134459172"/>
      <w:r>
        <w:rPr>
          <w:rFonts w:hint="default" w:ascii="Times New Roman" w:hAnsi="Times New Roman" w:cs="Times New Roman"/>
          <w:lang w:eastAsia="zh-CN"/>
        </w:rPr>
        <w:t>3.5 种植设计</w:t>
      </w:r>
      <w:bookmarkEnd w:id="11"/>
    </w:p>
    <w:p w14:paraId="5EF9F262">
      <w:pPr>
        <w:pStyle w:val="5"/>
        <w:jc w:val="both"/>
        <w:rPr>
          <w:rFonts w:hint="default" w:ascii="Times New Roman" w:hAnsi="Times New Roman" w:cs="Times New Roman"/>
          <w:lang w:eastAsia="zh-CN"/>
        </w:rPr>
      </w:pPr>
      <w:r>
        <w:rPr>
          <w:rFonts w:hint="default" w:ascii="Times New Roman" w:hAnsi="Times New Roman" w:cs="Times New Roman"/>
          <w:lang w:eastAsia="zh-CN"/>
        </w:rPr>
        <w:t>3.5.1 一般规定</w:t>
      </w:r>
    </w:p>
    <w:p w14:paraId="47D9D640">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1）海绵城市绿地种植设计应符合《城市绿地设计规范》（</w:t>
      </w:r>
      <w:r>
        <w:rPr>
          <w:rFonts w:hint="default" w:ascii="Times New Roman" w:hAnsi="Times New Roman" w:eastAsia="宋体" w:cs="Times New Roman"/>
          <w:b w:val="0"/>
          <w:bCs w:val="0"/>
          <w:color w:val="000000"/>
          <w:kern w:val="0"/>
          <w:sz w:val="21"/>
          <w:szCs w:val="21"/>
          <w:lang w:val="en-US" w:eastAsia="zh-CN" w:bidi="ar"/>
        </w:rPr>
        <w:t>GB50420</w:t>
      </w:r>
      <w:r>
        <w:rPr>
          <w:rFonts w:hint="default" w:ascii="Times New Roman" w:hAnsi="Times New Roman" w:cs="Times New Roman"/>
          <w:spacing w:val="-10"/>
          <w:lang w:eastAsia="zh-CN"/>
        </w:rPr>
        <w:t>）</w:t>
      </w:r>
      <w:r>
        <w:rPr>
          <w:rFonts w:hint="default" w:ascii="Times New Roman" w:hAnsi="Times New Roman" w:eastAsia="宋体" w:cs="Times New Roman"/>
          <w:b w:val="0"/>
          <w:bCs w:val="0"/>
          <w:color w:val="000000"/>
          <w:kern w:val="0"/>
          <w:sz w:val="21"/>
          <w:szCs w:val="21"/>
          <w:lang w:val="en-US" w:eastAsia="zh-CN" w:bidi="ar"/>
        </w:rPr>
        <w:t>2016</w:t>
      </w:r>
      <w:r>
        <w:rPr>
          <w:rFonts w:hint="eastAsia" w:ascii="Times New Roman" w:hAnsi="Times New Roman" w:cs="Times New Roman"/>
          <w:spacing w:val="-10"/>
          <w:lang w:val="en-US" w:eastAsia="zh-CN"/>
        </w:rPr>
        <w:t>版</w:t>
      </w:r>
      <w:r>
        <w:rPr>
          <w:rFonts w:hint="default" w:ascii="Times New Roman" w:hAnsi="Times New Roman" w:cs="Times New Roman"/>
          <w:spacing w:val="-10"/>
          <w:lang w:eastAsia="zh-CN"/>
        </w:rPr>
        <w:t>、《城市园林植物种植技术规程》（</w:t>
      </w:r>
      <w:r>
        <w:rPr>
          <w:rFonts w:hint="default" w:ascii="Times New Roman" w:hAnsi="Times New Roman" w:eastAsia="宋体" w:cs="Times New Roman"/>
          <w:b w:val="0"/>
          <w:bCs w:val="0"/>
          <w:color w:val="000000"/>
          <w:kern w:val="0"/>
          <w:sz w:val="21"/>
          <w:szCs w:val="21"/>
          <w:lang w:val="en-US" w:eastAsia="zh-CN" w:bidi="ar"/>
        </w:rPr>
        <w:t>DBJ/T13-148</w:t>
      </w:r>
      <w:r>
        <w:rPr>
          <w:rFonts w:hint="default" w:ascii="Times New Roman" w:hAnsi="Times New Roman" w:cs="Times New Roman"/>
          <w:spacing w:val="-10"/>
          <w:lang w:eastAsia="zh-CN"/>
        </w:rPr>
        <w:t>）及现行相关标准的规定。</w:t>
      </w:r>
    </w:p>
    <w:p w14:paraId="28F76AD4">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2）海绵城市绿地设计设计应创造适宜植物生长的环境条件，植物选择与配置应充分发挥植物的观赏、净化、滞留、促渗等作用，且进入绿地的雨水停留时间不得大于植物的最长耐淹时间。</w:t>
      </w:r>
    </w:p>
    <w:p w14:paraId="69EECA12">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3）海绵城市绿地种植设计应根据区域</w:t>
      </w:r>
      <w:r>
        <w:rPr>
          <w:rFonts w:hint="eastAsia" w:ascii="Times New Roman" w:hAnsi="Times New Roman" w:cs="Times New Roman"/>
          <w:spacing w:val="-10"/>
          <w:lang w:val="en-US" w:eastAsia="zh-CN"/>
        </w:rPr>
        <w:t>用</w:t>
      </w:r>
      <w:r>
        <w:rPr>
          <w:rFonts w:hint="default" w:ascii="Times New Roman" w:hAnsi="Times New Roman" w:cs="Times New Roman"/>
          <w:spacing w:val="-10"/>
          <w:lang w:eastAsia="zh-CN"/>
        </w:rPr>
        <w:t>地条件及景观需求，因地制宜地选择植物种类及配置模式。</w:t>
      </w:r>
    </w:p>
    <w:p w14:paraId="0E25B92D">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4）土壤应满足种植及雨水渗透的要求，不满足要求的应进行土壤改良。</w:t>
      </w:r>
    </w:p>
    <w:p w14:paraId="2ED9964F">
      <w:pPr>
        <w:pStyle w:val="5"/>
        <w:jc w:val="both"/>
        <w:rPr>
          <w:rFonts w:hint="default" w:ascii="Times New Roman" w:hAnsi="Times New Roman" w:cs="Times New Roman"/>
          <w:lang w:eastAsia="zh-CN"/>
        </w:rPr>
      </w:pPr>
      <w:r>
        <w:rPr>
          <w:rFonts w:hint="default" w:ascii="Times New Roman" w:hAnsi="Times New Roman" w:cs="Times New Roman"/>
          <w:lang w:eastAsia="zh-CN"/>
        </w:rPr>
        <w:t>3.5.2 植物选择原则</w:t>
      </w:r>
    </w:p>
    <w:p w14:paraId="4948A8D3">
      <w:pPr>
        <w:keepNext w:val="0"/>
        <w:keepLines w:val="0"/>
        <w:pageBreakBefore w:val="0"/>
        <w:widowControl w:val="0"/>
        <w:kinsoku/>
        <w:wordWrap/>
        <w:overflowPunct/>
        <w:topLinePunct w:val="0"/>
        <w:autoSpaceDE/>
        <w:autoSpaceDN/>
        <w:bidi w:val="0"/>
        <w:adjustRightInd/>
        <w:snapToGrid/>
        <w:ind w:firstLine="380" w:firstLineChars="200"/>
        <w:jc w:val="both"/>
        <w:textAlignment w:val="auto"/>
        <w:rPr>
          <w:rFonts w:hint="default" w:ascii="Times New Roman" w:hAnsi="Times New Roman" w:cs="Times New Roman"/>
          <w:spacing w:val="-10"/>
          <w:lang w:eastAsia="zh-CN"/>
        </w:rPr>
      </w:pPr>
      <w:r>
        <w:rPr>
          <w:rFonts w:hint="default" w:ascii="Times New Roman" w:hAnsi="Times New Roman" w:cs="Times New Roman"/>
          <w:spacing w:val="-10"/>
          <w:lang w:eastAsia="zh-CN"/>
        </w:rPr>
        <w:t>1）乡土性原则：应优先选择三明市乡土植物，不应选择外来有害入侵植物，慎选自繁能力较强的植物种类。</w:t>
      </w:r>
    </w:p>
    <w:p w14:paraId="5E8C4077">
      <w:pPr>
        <w:keepNext w:val="0"/>
        <w:keepLines w:val="0"/>
        <w:pageBreakBefore w:val="0"/>
        <w:widowControl w:val="0"/>
        <w:kinsoku/>
        <w:wordWrap/>
        <w:overflowPunct/>
        <w:topLinePunct w:val="0"/>
        <w:autoSpaceDE/>
        <w:autoSpaceDN/>
        <w:bidi w:val="0"/>
        <w:adjustRightInd/>
        <w:snapToGrid/>
        <w:ind w:firstLine="380" w:firstLineChars="200"/>
        <w:jc w:val="both"/>
        <w:textAlignment w:val="auto"/>
        <w:rPr>
          <w:rFonts w:hint="default" w:ascii="Times New Roman" w:hAnsi="Times New Roman" w:cs="Times New Roman"/>
          <w:spacing w:val="-10"/>
          <w:lang w:eastAsia="zh-CN"/>
        </w:rPr>
      </w:pPr>
      <w:r>
        <w:rPr>
          <w:rFonts w:hint="default" w:ascii="Times New Roman" w:hAnsi="Times New Roman" w:cs="Times New Roman"/>
          <w:spacing w:val="-10"/>
          <w:lang w:eastAsia="zh-CN"/>
        </w:rPr>
        <w:t>2）适地适树原则：海绵城市绿地海绵设施植物选择应根据地下水位、日照条件、种植土厚度、滞水深度、雨水渗透时间、水污染物负荷等因素，有针对性地选择耐短期水淹、耐旱、耐贫瘠、耐污染、抗风等适应不同环境条件的植物种类，做到因地制宜、适地适树。</w:t>
      </w:r>
    </w:p>
    <w:p w14:paraId="40DD6F8A">
      <w:pPr>
        <w:keepNext w:val="0"/>
        <w:keepLines w:val="0"/>
        <w:pageBreakBefore w:val="0"/>
        <w:widowControl w:val="0"/>
        <w:kinsoku/>
        <w:wordWrap/>
        <w:overflowPunct/>
        <w:topLinePunct w:val="0"/>
        <w:autoSpaceDE/>
        <w:autoSpaceDN/>
        <w:bidi w:val="0"/>
        <w:adjustRightInd/>
        <w:snapToGrid/>
        <w:ind w:firstLine="380" w:firstLineChars="200"/>
        <w:jc w:val="both"/>
        <w:textAlignment w:val="auto"/>
        <w:rPr>
          <w:rFonts w:hint="default" w:ascii="Times New Roman" w:hAnsi="Times New Roman" w:cs="Times New Roman"/>
          <w:spacing w:val="-10"/>
          <w:lang w:eastAsia="zh-CN"/>
        </w:rPr>
      </w:pPr>
      <w:r>
        <w:rPr>
          <w:rFonts w:hint="default" w:ascii="Times New Roman" w:hAnsi="Times New Roman" w:cs="Times New Roman"/>
          <w:spacing w:val="-10"/>
          <w:lang w:eastAsia="zh-CN"/>
        </w:rPr>
        <w:t>3）功能性原则：应兼顾植物的生态、美学与环境景观价值，根据植物在海绵城市绿地雨水控制中的作用，突显植物的观赏、净化、滞留、促渗、固土等功能特性。</w:t>
      </w:r>
    </w:p>
    <w:p w14:paraId="50DC1D5B">
      <w:pPr>
        <w:keepNext w:val="0"/>
        <w:keepLines w:val="0"/>
        <w:pageBreakBefore w:val="0"/>
        <w:widowControl w:val="0"/>
        <w:kinsoku/>
        <w:wordWrap/>
        <w:overflowPunct/>
        <w:topLinePunct w:val="0"/>
        <w:autoSpaceDE/>
        <w:autoSpaceDN/>
        <w:bidi w:val="0"/>
        <w:adjustRightInd/>
        <w:snapToGrid/>
        <w:ind w:firstLine="380" w:firstLineChars="200"/>
        <w:jc w:val="both"/>
        <w:textAlignment w:val="auto"/>
        <w:rPr>
          <w:rFonts w:hint="default" w:ascii="Times New Roman" w:hAnsi="Times New Roman" w:cs="Times New Roman"/>
          <w:lang w:eastAsia="zh-CN"/>
        </w:rPr>
      </w:pPr>
      <w:r>
        <w:rPr>
          <w:rFonts w:hint="default" w:ascii="Times New Roman" w:hAnsi="Times New Roman" w:cs="Times New Roman"/>
          <w:spacing w:val="-10"/>
          <w:lang w:eastAsia="zh-CN"/>
        </w:rPr>
        <w:t>4）低维护原则：根据绿地类型及环境条件，宜选择抗逆性强、适于粗放管理的植物</w:t>
      </w:r>
      <w:r>
        <w:rPr>
          <w:rFonts w:hint="default" w:ascii="Times New Roman" w:hAnsi="Times New Roman" w:cs="Times New Roman"/>
          <w:lang w:eastAsia="zh-CN"/>
        </w:rPr>
        <w:t>种类。</w:t>
      </w:r>
    </w:p>
    <w:p w14:paraId="73C047D3">
      <w:pPr>
        <w:keepNext w:val="0"/>
        <w:keepLines w:val="0"/>
        <w:pageBreakBefore w:val="0"/>
        <w:widowControl w:val="0"/>
        <w:kinsoku/>
        <w:wordWrap/>
        <w:overflowPunct/>
        <w:topLinePunct w:val="0"/>
        <w:autoSpaceDE/>
        <w:autoSpaceDN/>
        <w:bidi w:val="0"/>
        <w:adjustRightInd/>
        <w:snapToGrid/>
        <w:ind w:firstLine="380" w:firstLineChars="200"/>
        <w:jc w:val="both"/>
        <w:textAlignment w:val="auto"/>
        <w:rPr>
          <w:rFonts w:hint="default" w:ascii="Times New Roman" w:hAnsi="Times New Roman" w:cs="Times New Roman"/>
          <w:spacing w:val="-10"/>
          <w:lang w:eastAsia="zh-CN"/>
        </w:rPr>
      </w:pPr>
      <w:r>
        <w:rPr>
          <w:rFonts w:hint="default" w:ascii="Times New Roman" w:hAnsi="Times New Roman" w:cs="Times New Roman"/>
          <w:spacing w:val="-10"/>
          <w:lang w:eastAsia="zh-CN"/>
        </w:rPr>
        <w:t>5）海绵城市绿地植物配置应与总体布置协调统一，在满足一般绿地植物配置原则的前提下，还应遵循以下原则：（1）应满足海绵设施的功能要求，并根据海绵设施内部微环境进行合理布置。（2）应充分考虑植物的生物学特性，营造结构多样和季相变化丰富的植物群落，并兼顾旱季雨季的景观效果。（3）应充分考虑植物的观赏特性，构建地带性植物群落。通过平面布局及垂直层次的合理配置，使海绵城市绿地植物群落具有良好的景观和生态效益。</w:t>
      </w:r>
      <w:bookmarkStart w:id="12" w:name="_TOC_250004"/>
      <w:bookmarkEnd w:id="12"/>
    </w:p>
    <w:p w14:paraId="2F0C1AD9">
      <w:pPr>
        <w:rPr>
          <w:rFonts w:hint="default" w:ascii="Times New Roman" w:hAnsi="Times New Roman" w:cs="Times New Roman"/>
          <w:spacing w:val="-10"/>
          <w:lang w:eastAsia="zh-CN"/>
        </w:rPr>
      </w:pPr>
      <w:r>
        <w:rPr>
          <w:rFonts w:hint="default" w:ascii="Times New Roman" w:hAnsi="Times New Roman" w:cs="Times New Roman"/>
          <w:spacing w:val="-10"/>
          <w:lang w:eastAsia="zh-CN"/>
        </w:rPr>
        <w:br w:type="page"/>
      </w:r>
    </w:p>
    <w:p w14:paraId="5C288170">
      <w:pPr>
        <w:pStyle w:val="3"/>
        <w:jc w:val="center"/>
        <w:rPr>
          <w:rFonts w:hint="default" w:ascii="Times New Roman" w:hAnsi="Times New Roman" w:cs="Times New Roman"/>
          <w:lang w:eastAsia="zh-CN"/>
        </w:rPr>
      </w:pPr>
      <w:bookmarkStart w:id="13" w:name="_Toc134459173"/>
      <w:r>
        <w:rPr>
          <w:rFonts w:hint="default" w:ascii="Times New Roman" w:hAnsi="Times New Roman" w:cs="Times New Roman"/>
          <w:lang w:eastAsia="zh-CN"/>
        </w:rPr>
        <w:t>4 建筑与小区绿地设计</w:t>
      </w:r>
      <w:bookmarkEnd w:id="13"/>
    </w:p>
    <w:p w14:paraId="0E2F416C">
      <w:pPr>
        <w:pStyle w:val="5"/>
        <w:rPr>
          <w:rFonts w:hint="default" w:ascii="Times New Roman" w:hAnsi="Times New Roman" w:cs="Times New Roman"/>
          <w:lang w:eastAsia="zh-CN"/>
        </w:rPr>
      </w:pPr>
      <w:r>
        <w:rPr>
          <w:rFonts w:hint="default" w:ascii="Times New Roman" w:hAnsi="Times New Roman" w:cs="Times New Roman"/>
          <w:lang w:eastAsia="zh-CN"/>
        </w:rPr>
        <w:t>4.1 一般规定</w:t>
      </w:r>
    </w:p>
    <w:p w14:paraId="5D4E22B9">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4.1.1</w:t>
      </w:r>
      <w:r>
        <w:rPr>
          <w:rFonts w:hint="default" w:ascii="Times New Roman" w:hAnsi="Times New Roman" w:cs="Times New Roman"/>
          <w:spacing w:val="-10"/>
          <w:lang w:eastAsia="zh-CN"/>
        </w:rPr>
        <w:t>建筑与小区绿地设计应符合《城市居住区规划设计规范》（</w:t>
      </w:r>
      <w:r>
        <w:rPr>
          <w:rFonts w:hint="default" w:ascii="Times New Roman" w:hAnsi="Times New Roman" w:eastAsia="宋体" w:cs="Times New Roman"/>
          <w:b w:val="0"/>
          <w:bCs w:val="0"/>
          <w:color w:val="000000"/>
          <w:kern w:val="0"/>
          <w:sz w:val="21"/>
          <w:szCs w:val="21"/>
          <w:lang w:val="en-US" w:eastAsia="zh-CN" w:bidi="ar"/>
        </w:rPr>
        <w:t>GB50180</w:t>
      </w:r>
      <w:r>
        <w:rPr>
          <w:rFonts w:hint="default" w:ascii="Times New Roman" w:hAnsi="Times New Roman" w:cs="Times New Roman"/>
          <w:spacing w:val="-10"/>
          <w:lang w:eastAsia="zh-CN"/>
        </w:rPr>
        <w:t>）和《建筑与小区雨水控制和利用工程技术规范》（</w:t>
      </w:r>
      <w:r>
        <w:rPr>
          <w:rFonts w:hint="default" w:ascii="Times New Roman" w:hAnsi="Times New Roman" w:eastAsia="宋体" w:cs="Times New Roman"/>
          <w:b w:val="0"/>
          <w:bCs w:val="0"/>
          <w:color w:val="000000"/>
          <w:kern w:val="0"/>
          <w:sz w:val="21"/>
          <w:szCs w:val="21"/>
          <w:lang w:val="en-US" w:eastAsia="zh-CN" w:bidi="ar"/>
        </w:rPr>
        <w:t>GB50400</w:t>
      </w:r>
      <w:r>
        <w:rPr>
          <w:rFonts w:hint="default" w:ascii="Times New Roman" w:hAnsi="Times New Roman" w:cs="Times New Roman"/>
          <w:spacing w:val="-10"/>
          <w:lang w:eastAsia="zh-CN"/>
        </w:rPr>
        <w:t>）的相关规定。</w:t>
      </w:r>
    </w:p>
    <w:p w14:paraId="14A5853A">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4.1.2</w:t>
      </w:r>
      <w:r>
        <w:rPr>
          <w:rFonts w:hint="default" w:ascii="Times New Roman" w:hAnsi="Times New Roman" w:cs="Times New Roman"/>
          <w:spacing w:val="-10"/>
          <w:lang w:eastAsia="zh-CN"/>
        </w:rPr>
        <w:t>新建小区海绵城市绿地设计应与居住区总体规划同步进行；已建小区宜结合小区有机更新、植物维护、景观提升等途径，实施海绵城市绿地建设。</w:t>
      </w:r>
    </w:p>
    <w:p w14:paraId="43128CE1">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4.1.3</w:t>
      </w:r>
      <w:r>
        <w:rPr>
          <w:rFonts w:hint="default" w:ascii="Times New Roman" w:hAnsi="Times New Roman" w:cs="Times New Roman"/>
          <w:spacing w:val="-10"/>
          <w:lang w:eastAsia="zh-CN"/>
        </w:rPr>
        <w:t>雨水径流集中进入绿地内的海绵设施前，应利用沉淀池、前置塘等对进入绿地内的雨水径流进行预处理，防止对绿地环境造成破坏。</w:t>
      </w:r>
    </w:p>
    <w:p w14:paraId="0448F76A">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4.1.4</w:t>
      </w:r>
      <w:r>
        <w:rPr>
          <w:rFonts w:hint="default" w:ascii="Times New Roman" w:hAnsi="Times New Roman" w:cs="Times New Roman"/>
          <w:spacing w:val="-10"/>
          <w:lang w:eastAsia="zh-CN"/>
        </w:rPr>
        <w:t>建筑与小区绿地建设宜配备完善的绿地灌溉系统，净化、收集后的雨水可结合绿地灌溉系统进行回用。</w:t>
      </w:r>
    </w:p>
    <w:p w14:paraId="30077B7E">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4.2 小区绿地</w:t>
      </w:r>
    </w:p>
    <w:p w14:paraId="1A4AE718">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小区绿地做下沉处理时的有效</w:t>
      </w:r>
      <w:r>
        <w:rPr>
          <w:rFonts w:hint="eastAsia" w:ascii="Times New Roman" w:hAnsi="Times New Roman" w:cs="Times New Roman"/>
          <w:spacing w:val="-10"/>
          <w:lang w:val="en-US" w:eastAsia="zh-CN"/>
        </w:rPr>
        <w:t>蓄</w:t>
      </w:r>
      <w:r>
        <w:rPr>
          <w:rFonts w:hint="eastAsia" w:ascii="Times New Roman" w:hAnsi="Times New Roman" w:cs="Times New Roman"/>
          <w:color w:val="auto"/>
          <w:spacing w:val="-10"/>
          <w:lang w:val="en-US" w:eastAsia="zh-CN"/>
        </w:rPr>
        <w:t>水深度</w:t>
      </w:r>
      <w:r>
        <w:rPr>
          <w:rFonts w:hint="default" w:ascii="Times New Roman" w:hAnsi="Times New Roman" w:cs="Times New Roman"/>
          <w:color w:val="auto"/>
          <w:spacing w:val="-10"/>
          <w:lang w:eastAsia="zh-CN"/>
        </w:rPr>
        <w:t>不宜</w:t>
      </w:r>
      <w:r>
        <w:rPr>
          <w:rFonts w:hint="eastAsia" w:ascii="Times New Roman" w:hAnsi="Times New Roman" w:cs="Times New Roman"/>
          <w:color w:val="auto"/>
          <w:spacing w:val="-10"/>
          <w:lang w:val="en-US" w:eastAsia="zh-CN"/>
        </w:rPr>
        <w:t>超过30cm</w:t>
      </w:r>
      <w:r>
        <w:rPr>
          <w:rFonts w:hint="default" w:ascii="Times New Roman" w:hAnsi="Times New Roman" w:cs="Times New Roman"/>
          <w:spacing w:val="-10"/>
          <w:lang w:eastAsia="zh-CN"/>
        </w:rPr>
        <w:t>，需保证设施安全、美观；小区绿地内景观水体可作为雨水调蓄设施并与景观协调一致；植物选择应考虑土壤条件、地下水位、景观等因素，宜选用耐旱、耐污染、耐短期水淹的植物，确保植物正常生长，充分发挥其景观特性。</w:t>
      </w:r>
    </w:p>
    <w:p w14:paraId="7422C801">
      <w:pPr>
        <w:pStyle w:val="5"/>
        <w:jc w:val="both"/>
        <w:rPr>
          <w:rFonts w:hint="default" w:ascii="Times New Roman" w:hAnsi="Times New Roman" w:cs="Times New Roman"/>
          <w:lang w:eastAsia="zh-CN"/>
        </w:rPr>
      </w:pPr>
      <w:r>
        <w:rPr>
          <w:rFonts w:hint="default" w:ascii="Times New Roman" w:hAnsi="Times New Roman" w:cs="Times New Roman"/>
          <w:lang w:eastAsia="zh-CN"/>
        </w:rPr>
        <w:t xml:space="preserve">4.3 </w:t>
      </w:r>
      <w:r>
        <w:rPr>
          <w:rFonts w:hint="eastAsia" w:ascii="Times New Roman" w:hAnsi="Times New Roman" w:cs="Times New Roman"/>
          <w:lang w:val="en-US" w:eastAsia="zh-CN"/>
        </w:rPr>
        <w:t>绿色屋面</w:t>
      </w:r>
    </w:p>
    <w:p w14:paraId="2F2A8D0A">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4.3.1</w:t>
      </w:r>
      <w:r>
        <w:rPr>
          <w:rFonts w:hint="eastAsia" w:ascii="Times New Roman" w:hAnsi="Times New Roman" w:cs="Times New Roman"/>
          <w:spacing w:val="-10"/>
          <w:lang w:val="en-US" w:eastAsia="zh-CN"/>
        </w:rPr>
        <w:t>绿色屋面</w:t>
      </w:r>
      <w:r>
        <w:rPr>
          <w:rFonts w:hint="default" w:ascii="Times New Roman" w:hAnsi="Times New Roman" w:cs="Times New Roman"/>
          <w:spacing w:val="-10"/>
          <w:lang w:eastAsia="zh-CN"/>
        </w:rPr>
        <w:t>应以雨水的滞留和净化为主，并统筹协调屋顶结构荷载、植物种植的关系。</w:t>
      </w:r>
    </w:p>
    <w:p w14:paraId="627343E9">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4.3.2</w:t>
      </w:r>
      <w:r>
        <w:rPr>
          <w:rFonts w:hint="eastAsia" w:ascii="Times New Roman" w:hAnsi="Times New Roman" w:cs="Times New Roman"/>
          <w:spacing w:val="-10"/>
          <w:lang w:val="en-US" w:eastAsia="zh-CN"/>
        </w:rPr>
        <w:t>绿色屋面</w:t>
      </w:r>
      <w:r>
        <w:rPr>
          <w:rFonts w:hint="default" w:ascii="Times New Roman" w:hAnsi="Times New Roman" w:cs="Times New Roman"/>
          <w:spacing w:val="-10"/>
          <w:lang w:eastAsia="zh-CN"/>
        </w:rPr>
        <w:t>植物宜选择抗逆性、抗旱性、抗风性较强的植物， 宜选用小乔木、灌木或草本植物。</w:t>
      </w:r>
    </w:p>
    <w:p w14:paraId="47CC303F">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4.3.3</w:t>
      </w:r>
      <w:r>
        <w:rPr>
          <w:rFonts w:hint="eastAsia" w:ascii="Times New Roman" w:hAnsi="Times New Roman" w:cs="Times New Roman"/>
          <w:spacing w:val="-10"/>
          <w:lang w:val="en-US" w:eastAsia="zh-CN"/>
        </w:rPr>
        <w:t>绿色屋面</w:t>
      </w:r>
      <w:r>
        <w:rPr>
          <w:rFonts w:hint="default" w:ascii="Times New Roman" w:hAnsi="Times New Roman" w:cs="Times New Roman"/>
          <w:spacing w:val="-10"/>
          <w:lang w:eastAsia="zh-CN"/>
        </w:rPr>
        <w:t>种植土厚度要求如表</w:t>
      </w:r>
      <w:r>
        <w:rPr>
          <w:rFonts w:hint="default" w:ascii="Times New Roman" w:hAnsi="Times New Roman" w:eastAsia="宋体" w:cs="Times New Roman"/>
          <w:b w:val="0"/>
          <w:bCs w:val="0"/>
          <w:color w:val="000000"/>
          <w:kern w:val="0"/>
          <w:sz w:val="21"/>
          <w:szCs w:val="21"/>
          <w:lang w:val="en-US" w:eastAsia="zh-CN" w:bidi="ar"/>
        </w:rPr>
        <w:t>4.1</w:t>
      </w:r>
      <w:r>
        <w:rPr>
          <w:rFonts w:hint="default" w:ascii="Times New Roman" w:hAnsi="Times New Roman" w:cs="Times New Roman"/>
          <w:spacing w:val="-10"/>
          <w:lang w:eastAsia="zh-CN"/>
        </w:rPr>
        <w:t>所示。</w:t>
      </w:r>
    </w:p>
    <w:p w14:paraId="73F5FE8C">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表4.1  屋顶绿化种植土厚度要求</w:t>
      </w:r>
    </w:p>
    <w:tbl>
      <w:tblPr>
        <w:tblStyle w:val="30"/>
        <w:tblW w:w="6092" w:type="dxa"/>
        <w:tblInd w:w="23"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020"/>
        <w:gridCol w:w="1020"/>
        <w:gridCol w:w="1020"/>
        <w:gridCol w:w="1020"/>
        <w:gridCol w:w="1020"/>
        <w:gridCol w:w="992"/>
      </w:tblGrid>
      <w:tr w14:paraId="1E6FB36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04" w:hRule="atLeast"/>
        </w:trPr>
        <w:tc>
          <w:tcPr>
            <w:tcW w:w="1020" w:type="dxa"/>
            <w:tcBorders>
              <w:bottom w:val="single" w:color="000000" w:sz="6" w:space="0"/>
              <w:right w:val="single" w:color="000000" w:sz="6" w:space="0"/>
            </w:tcBorders>
            <w:vAlign w:val="center"/>
          </w:tcPr>
          <w:p w14:paraId="3DA30CD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植物种类</w:t>
            </w:r>
          </w:p>
        </w:tc>
        <w:tc>
          <w:tcPr>
            <w:tcW w:w="1020" w:type="dxa"/>
            <w:tcBorders>
              <w:left w:val="single" w:color="000000" w:sz="6" w:space="0"/>
              <w:bottom w:val="single" w:color="000000" w:sz="6" w:space="0"/>
              <w:right w:val="single" w:color="000000" w:sz="6" w:space="0"/>
            </w:tcBorders>
            <w:vAlign w:val="center"/>
          </w:tcPr>
          <w:p w14:paraId="0E26371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草坪、地被</w:t>
            </w:r>
          </w:p>
        </w:tc>
        <w:tc>
          <w:tcPr>
            <w:tcW w:w="1020" w:type="dxa"/>
            <w:tcBorders>
              <w:left w:val="single" w:color="000000" w:sz="6" w:space="0"/>
              <w:bottom w:val="single" w:color="000000" w:sz="6" w:space="0"/>
              <w:right w:val="single" w:color="000000" w:sz="6" w:space="0"/>
            </w:tcBorders>
            <w:vAlign w:val="center"/>
          </w:tcPr>
          <w:p w14:paraId="3583426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小灌木</w:t>
            </w:r>
          </w:p>
        </w:tc>
        <w:tc>
          <w:tcPr>
            <w:tcW w:w="1020" w:type="dxa"/>
            <w:tcBorders>
              <w:left w:val="single" w:color="000000" w:sz="6" w:space="0"/>
              <w:bottom w:val="single" w:color="000000" w:sz="6" w:space="0"/>
              <w:right w:val="single" w:color="000000" w:sz="6" w:space="0"/>
            </w:tcBorders>
            <w:vAlign w:val="center"/>
          </w:tcPr>
          <w:p w14:paraId="4B1145C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大灌木</w:t>
            </w:r>
          </w:p>
        </w:tc>
        <w:tc>
          <w:tcPr>
            <w:tcW w:w="1020" w:type="dxa"/>
            <w:tcBorders>
              <w:left w:val="single" w:color="000000" w:sz="6" w:space="0"/>
              <w:bottom w:val="single" w:color="000000" w:sz="6" w:space="0"/>
              <w:right w:val="single" w:color="000000" w:sz="6" w:space="0"/>
            </w:tcBorders>
            <w:vAlign w:val="center"/>
          </w:tcPr>
          <w:p w14:paraId="284B4CFA">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小乔木</w:t>
            </w:r>
          </w:p>
        </w:tc>
        <w:tc>
          <w:tcPr>
            <w:tcW w:w="992" w:type="dxa"/>
            <w:tcBorders>
              <w:left w:val="single" w:color="000000" w:sz="6" w:space="0"/>
              <w:bottom w:val="single" w:color="000000" w:sz="6" w:space="0"/>
            </w:tcBorders>
            <w:vAlign w:val="center"/>
          </w:tcPr>
          <w:p w14:paraId="4006F40B">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大乔木</w:t>
            </w:r>
          </w:p>
        </w:tc>
      </w:tr>
      <w:tr w14:paraId="4AAF8D9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30" w:hRule="atLeast"/>
        </w:trPr>
        <w:tc>
          <w:tcPr>
            <w:tcW w:w="1020" w:type="dxa"/>
            <w:tcBorders>
              <w:top w:val="single" w:color="000000" w:sz="6" w:space="0"/>
              <w:right w:val="single" w:color="000000" w:sz="6" w:space="0"/>
            </w:tcBorders>
            <w:vAlign w:val="center"/>
          </w:tcPr>
          <w:p w14:paraId="135CE9D5">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种植土厚度（mm）</w:t>
            </w:r>
          </w:p>
        </w:tc>
        <w:tc>
          <w:tcPr>
            <w:tcW w:w="1020" w:type="dxa"/>
            <w:tcBorders>
              <w:top w:val="single" w:color="000000" w:sz="6" w:space="0"/>
              <w:left w:val="single" w:color="000000" w:sz="6" w:space="0"/>
              <w:right w:val="single" w:color="000000" w:sz="6" w:space="0"/>
            </w:tcBorders>
            <w:vAlign w:val="center"/>
          </w:tcPr>
          <w:p w14:paraId="59BEDFB1">
            <w:pPr>
              <w:spacing w:line="240" w:lineRule="auto"/>
              <w:ind w:firstLine="136" w:firstLineChars="76"/>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eastAsia="zh-CN"/>
              </w:rPr>
              <w:t>2</w:t>
            </w:r>
            <w:r>
              <w:rPr>
                <w:rFonts w:hint="default" w:ascii="Times New Roman" w:hAnsi="Times New Roman" w:cs="Times New Roman"/>
                <w:sz w:val="18"/>
                <w:szCs w:val="18"/>
              </w:rPr>
              <w:t>00</w:t>
            </w:r>
          </w:p>
        </w:tc>
        <w:tc>
          <w:tcPr>
            <w:tcW w:w="1020" w:type="dxa"/>
            <w:tcBorders>
              <w:top w:val="single" w:color="000000" w:sz="6" w:space="0"/>
              <w:left w:val="single" w:color="000000" w:sz="6" w:space="0"/>
              <w:right w:val="single" w:color="000000" w:sz="6" w:space="0"/>
            </w:tcBorders>
            <w:vAlign w:val="center"/>
          </w:tcPr>
          <w:p w14:paraId="5BCEB7C3">
            <w:pPr>
              <w:spacing w:line="240" w:lineRule="auto"/>
              <w:ind w:firstLine="136" w:firstLineChars="76"/>
              <w:jc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1020" w:type="dxa"/>
            <w:tcBorders>
              <w:top w:val="single" w:color="000000" w:sz="6" w:space="0"/>
              <w:left w:val="single" w:color="000000" w:sz="6" w:space="0"/>
              <w:right w:val="single" w:color="000000" w:sz="6" w:space="0"/>
            </w:tcBorders>
            <w:vAlign w:val="center"/>
          </w:tcPr>
          <w:p w14:paraId="56C90200">
            <w:pPr>
              <w:spacing w:line="240" w:lineRule="auto"/>
              <w:ind w:firstLine="136" w:firstLineChars="76"/>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eastAsia="zh-CN"/>
              </w:rPr>
              <w:t>6</w:t>
            </w:r>
            <w:r>
              <w:rPr>
                <w:rFonts w:hint="default" w:ascii="Times New Roman" w:hAnsi="Times New Roman" w:cs="Times New Roman"/>
                <w:sz w:val="18"/>
                <w:szCs w:val="18"/>
              </w:rPr>
              <w:t>00</w:t>
            </w:r>
          </w:p>
        </w:tc>
        <w:tc>
          <w:tcPr>
            <w:tcW w:w="1020" w:type="dxa"/>
            <w:tcBorders>
              <w:top w:val="single" w:color="000000" w:sz="6" w:space="0"/>
              <w:left w:val="single" w:color="000000" w:sz="6" w:space="0"/>
              <w:right w:val="single" w:color="000000" w:sz="6" w:space="0"/>
            </w:tcBorders>
            <w:vAlign w:val="center"/>
          </w:tcPr>
          <w:p w14:paraId="4D38F9DA">
            <w:pPr>
              <w:spacing w:line="240" w:lineRule="auto"/>
              <w:ind w:firstLine="136" w:firstLineChars="76"/>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eastAsia="zh-CN"/>
              </w:rPr>
              <w:t>6</w:t>
            </w:r>
            <w:r>
              <w:rPr>
                <w:rFonts w:hint="default" w:ascii="Times New Roman" w:hAnsi="Times New Roman" w:cs="Times New Roman"/>
                <w:sz w:val="18"/>
                <w:szCs w:val="18"/>
              </w:rPr>
              <w:t>00</w:t>
            </w:r>
          </w:p>
        </w:tc>
        <w:tc>
          <w:tcPr>
            <w:tcW w:w="992" w:type="dxa"/>
            <w:tcBorders>
              <w:top w:val="single" w:color="000000" w:sz="6" w:space="0"/>
              <w:left w:val="single" w:color="000000" w:sz="6" w:space="0"/>
            </w:tcBorders>
            <w:vAlign w:val="center"/>
          </w:tcPr>
          <w:p w14:paraId="0E2AFCBA">
            <w:pPr>
              <w:spacing w:line="240" w:lineRule="auto"/>
              <w:ind w:firstLine="136" w:firstLineChars="76"/>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eastAsia="zh-CN"/>
              </w:rPr>
              <w:t>9</w:t>
            </w:r>
            <w:r>
              <w:rPr>
                <w:rFonts w:hint="default" w:ascii="Times New Roman" w:hAnsi="Times New Roman" w:cs="Times New Roman"/>
                <w:sz w:val="18"/>
                <w:szCs w:val="18"/>
              </w:rPr>
              <w:t>00</w:t>
            </w:r>
          </w:p>
        </w:tc>
      </w:tr>
    </w:tbl>
    <w:p w14:paraId="257C8303">
      <w:pPr>
        <w:pStyle w:val="5"/>
        <w:jc w:val="both"/>
        <w:rPr>
          <w:rFonts w:hint="default" w:ascii="Times New Roman" w:hAnsi="Times New Roman" w:cs="Times New Roman"/>
          <w:lang w:eastAsia="zh-CN"/>
        </w:rPr>
      </w:pPr>
      <w:r>
        <w:rPr>
          <w:rFonts w:hint="default" w:ascii="Times New Roman" w:hAnsi="Times New Roman" w:cs="Times New Roman"/>
          <w:lang w:eastAsia="zh-CN"/>
        </w:rPr>
        <w:t>4.4 地下室顶板绿化</w:t>
      </w:r>
    </w:p>
    <w:p w14:paraId="701A3D63">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地下室顶板（含设施顶面）绿地应根据不同覆土厚度，选择适用的海绵措施；覆土厚度应结合地下室建筑结构荷载要求、低影响开发建设方案、种植需求等综合考虑，应在覆土层底部设置导水、排水设施，并可利用地下空间开发设置雨水收集利用系统。</w:t>
      </w:r>
    </w:p>
    <w:p w14:paraId="0BA8D204">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表4.2  地下室顶板绿化种植土厚度要求</w:t>
      </w:r>
    </w:p>
    <w:tbl>
      <w:tblPr>
        <w:tblStyle w:val="30"/>
        <w:tblW w:w="5942" w:type="dxa"/>
        <w:tblInd w:w="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334"/>
        <w:gridCol w:w="1130"/>
        <w:gridCol w:w="725"/>
        <w:gridCol w:w="869"/>
        <w:gridCol w:w="870"/>
        <w:gridCol w:w="1014"/>
      </w:tblGrid>
      <w:tr w14:paraId="49E2775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46" w:hRule="atLeast"/>
        </w:trPr>
        <w:tc>
          <w:tcPr>
            <w:tcW w:w="1334" w:type="dxa"/>
            <w:tcBorders>
              <w:bottom w:val="single" w:color="000000" w:sz="6" w:space="0"/>
              <w:right w:val="single" w:color="000000" w:sz="6" w:space="0"/>
            </w:tcBorders>
            <w:vAlign w:val="center"/>
          </w:tcPr>
          <w:p w14:paraId="220ACED4">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植物种类</w:t>
            </w:r>
          </w:p>
        </w:tc>
        <w:tc>
          <w:tcPr>
            <w:tcW w:w="1130" w:type="dxa"/>
            <w:tcBorders>
              <w:left w:val="single" w:color="000000" w:sz="6" w:space="0"/>
              <w:bottom w:val="single" w:color="000000" w:sz="6" w:space="0"/>
              <w:right w:val="single" w:color="000000" w:sz="6" w:space="0"/>
            </w:tcBorders>
            <w:vAlign w:val="center"/>
          </w:tcPr>
          <w:p w14:paraId="5301636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草坪</w:t>
            </w:r>
            <w:r>
              <w:rPr>
                <w:rFonts w:hint="default" w:ascii="Times New Roman" w:hAnsi="Times New Roman" w:cs="Times New Roman"/>
                <w:sz w:val="18"/>
                <w:szCs w:val="18"/>
                <w:lang w:eastAsia="zh-CN"/>
              </w:rPr>
              <w:t>、</w:t>
            </w:r>
            <w:r>
              <w:rPr>
                <w:rFonts w:hint="default" w:ascii="Times New Roman" w:hAnsi="Times New Roman" w:cs="Times New Roman"/>
                <w:sz w:val="18"/>
                <w:szCs w:val="18"/>
              </w:rPr>
              <w:t>地被</w:t>
            </w:r>
          </w:p>
        </w:tc>
        <w:tc>
          <w:tcPr>
            <w:tcW w:w="725" w:type="dxa"/>
            <w:tcBorders>
              <w:left w:val="single" w:color="000000" w:sz="6" w:space="0"/>
              <w:bottom w:val="single" w:color="000000" w:sz="6" w:space="0"/>
              <w:right w:val="single" w:color="000000" w:sz="6" w:space="0"/>
            </w:tcBorders>
            <w:vAlign w:val="center"/>
          </w:tcPr>
          <w:p w14:paraId="5A43C18B">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小灌木</w:t>
            </w:r>
          </w:p>
        </w:tc>
        <w:tc>
          <w:tcPr>
            <w:tcW w:w="869" w:type="dxa"/>
            <w:tcBorders>
              <w:left w:val="single" w:color="000000" w:sz="6" w:space="0"/>
              <w:bottom w:val="single" w:color="000000" w:sz="6" w:space="0"/>
              <w:right w:val="single" w:color="000000" w:sz="6" w:space="0"/>
            </w:tcBorders>
            <w:vAlign w:val="center"/>
          </w:tcPr>
          <w:p w14:paraId="14A8C11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大灌木</w:t>
            </w:r>
          </w:p>
        </w:tc>
        <w:tc>
          <w:tcPr>
            <w:tcW w:w="870" w:type="dxa"/>
            <w:tcBorders>
              <w:left w:val="single" w:color="000000" w:sz="6" w:space="0"/>
              <w:bottom w:val="single" w:color="000000" w:sz="6" w:space="0"/>
              <w:right w:val="single" w:color="000000" w:sz="6" w:space="0"/>
            </w:tcBorders>
            <w:vAlign w:val="center"/>
          </w:tcPr>
          <w:p w14:paraId="7F57BBD1">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浅根乔木</w:t>
            </w:r>
          </w:p>
        </w:tc>
        <w:tc>
          <w:tcPr>
            <w:tcW w:w="1014" w:type="dxa"/>
            <w:tcBorders>
              <w:left w:val="single" w:color="000000" w:sz="6" w:space="0"/>
              <w:bottom w:val="single" w:color="000000" w:sz="6" w:space="0"/>
            </w:tcBorders>
            <w:vAlign w:val="center"/>
          </w:tcPr>
          <w:p w14:paraId="6B52E5C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深根乔木</w:t>
            </w:r>
          </w:p>
        </w:tc>
      </w:tr>
      <w:tr w14:paraId="4C41647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26" w:hRule="atLeast"/>
        </w:trPr>
        <w:tc>
          <w:tcPr>
            <w:tcW w:w="1334" w:type="dxa"/>
            <w:tcBorders>
              <w:top w:val="single" w:color="000000" w:sz="6" w:space="0"/>
              <w:right w:val="single" w:color="000000" w:sz="6" w:space="0"/>
            </w:tcBorders>
            <w:vAlign w:val="center"/>
          </w:tcPr>
          <w:p w14:paraId="097F6B14">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种植土厚度（mm）</w:t>
            </w:r>
          </w:p>
        </w:tc>
        <w:tc>
          <w:tcPr>
            <w:tcW w:w="1130" w:type="dxa"/>
            <w:tcBorders>
              <w:top w:val="single" w:color="000000" w:sz="6" w:space="0"/>
              <w:left w:val="single" w:color="000000" w:sz="6" w:space="0"/>
              <w:right w:val="single" w:color="000000" w:sz="6" w:space="0"/>
            </w:tcBorders>
            <w:vAlign w:val="center"/>
          </w:tcPr>
          <w:p w14:paraId="3A8FEC5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z w:val="18"/>
                <w:szCs w:val="18"/>
                <w:lang w:eastAsia="zh-CN"/>
              </w:rPr>
              <w:t>0</w:t>
            </w:r>
            <w:r>
              <w:rPr>
                <w:rFonts w:hint="default" w:ascii="Times New Roman" w:hAnsi="Times New Roman" w:cs="Times New Roman"/>
                <w:sz w:val="18"/>
                <w:szCs w:val="18"/>
              </w:rPr>
              <w:t>0</w:t>
            </w:r>
          </w:p>
        </w:tc>
        <w:tc>
          <w:tcPr>
            <w:tcW w:w="725" w:type="dxa"/>
            <w:tcBorders>
              <w:top w:val="single" w:color="000000" w:sz="6" w:space="0"/>
              <w:left w:val="single" w:color="000000" w:sz="6" w:space="0"/>
              <w:right w:val="single" w:color="000000" w:sz="6" w:space="0"/>
            </w:tcBorders>
            <w:vAlign w:val="center"/>
          </w:tcPr>
          <w:p w14:paraId="2BF52DB9">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w:t>
            </w:r>
            <w:r>
              <w:rPr>
                <w:rFonts w:hint="default" w:ascii="Times New Roman" w:hAnsi="Times New Roman" w:cs="Times New Roman"/>
                <w:sz w:val="18"/>
                <w:szCs w:val="18"/>
                <w:lang w:eastAsia="zh-CN"/>
              </w:rPr>
              <w:t>5</w:t>
            </w:r>
            <w:r>
              <w:rPr>
                <w:rFonts w:hint="default" w:ascii="Times New Roman" w:hAnsi="Times New Roman" w:cs="Times New Roman"/>
                <w:sz w:val="18"/>
                <w:szCs w:val="18"/>
              </w:rPr>
              <w:t>0</w:t>
            </w:r>
          </w:p>
        </w:tc>
        <w:tc>
          <w:tcPr>
            <w:tcW w:w="869" w:type="dxa"/>
            <w:tcBorders>
              <w:top w:val="single" w:color="000000" w:sz="6" w:space="0"/>
              <w:left w:val="single" w:color="000000" w:sz="6" w:space="0"/>
              <w:right w:val="single" w:color="000000" w:sz="6" w:space="0"/>
            </w:tcBorders>
            <w:vAlign w:val="center"/>
          </w:tcPr>
          <w:p w14:paraId="77B6039C">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r>
              <w:rPr>
                <w:rFonts w:hint="default" w:ascii="Times New Roman" w:hAnsi="Times New Roman" w:cs="Times New Roman"/>
                <w:sz w:val="18"/>
                <w:szCs w:val="18"/>
                <w:lang w:eastAsia="zh-CN"/>
              </w:rPr>
              <w:t>65</w:t>
            </w:r>
            <w:r>
              <w:rPr>
                <w:rFonts w:hint="default" w:ascii="Times New Roman" w:hAnsi="Times New Roman" w:cs="Times New Roman"/>
                <w:sz w:val="18"/>
                <w:szCs w:val="18"/>
              </w:rPr>
              <w:t>0</w:t>
            </w:r>
          </w:p>
        </w:tc>
        <w:tc>
          <w:tcPr>
            <w:tcW w:w="870" w:type="dxa"/>
            <w:tcBorders>
              <w:top w:val="single" w:color="000000" w:sz="6" w:space="0"/>
              <w:left w:val="single" w:color="000000" w:sz="6" w:space="0"/>
              <w:right w:val="single" w:color="000000" w:sz="6" w:space="0"/>
            </w:tcBorders>
            <w:vAlign w:val="center"/>
          </w:tcPr>
          <w:p w14:paraId="57D77334">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≥1000</w:t>
            </w:r>
          </w:p>
        </w:tc>
        <w:tc>
          <w:tcPr>
            <w:tcW w:w="1014" w:type="dxa"/>
            <w:tcBorders>
              <w:top w:val="single" w:color="000000" w:sz="6" w:space="0"/>
              <w:left w:val="single" w:color="000000" w:sz="6" w:space="0"/>
            </w:tcBorders>
            <w:vAlign w:val="center"/>
          </w:tcPr>
          <w:p w14:paraId="4840B732">
            <w:pPr>
              <w:spacing w:line="240" w:lineRule="auto"/>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≥1500</w:t>
            </w:r>
          </w:p>
        </w:tc>
      </w:tr>
    </w:tbl>
    <w:p w14:paraId="41454BF7">
      <w:pPr>
        <w:rPr>
          <w:rFonts w:hint="default" w:ascii="Times New Roman" w:hAnsi="Times New Roman" w:cs="Times New Roman"/>
          <w:sz w:val="27"/>
          <w:lang w:eastAsia="zh-CN"/>
        </w:rPr>
      </w:pPr>
      <w:r>
        <w:rPr>
          <w:rFonts w:hint="default" w:ascii="Times New Roman" w:hAnsi="Times New Roman" w:cs="Times New Roman"/>
          <w:sz w:val="27"/>
          <w:lang w:eastAsia="zh-CN"/>
        </w:rPr>
        <w:br w:type="page"/>
      </w:r>
    </w:p>
    <w:p w14:paraId="0B85CD86">
      <w:pPr>
        <w:pStyle w:val="3"/>
        <w:jc w:val="center"/>
        <w:rPr>
          <w:rFonts w:hint="default" w:ascii="Times New Roman" w:hAnsi="Times New Roman" w:cs="Times New Roman"/>
          <w:lang w:eastAsia="zh-CN"/>
        </w:rPr>
      </w:pPr>
      <w:bookmarkStart w:id="14" w:name="_Toc134459174"/>
      <w:r>
        <w:rPr>
          <w:rFonts w:hint="default" w:ascii="Times New Roman" w:hAnsi="Times New Roman" w:cs="Times New Roman"/>
          <w:lang w:eastAsia="zh-CN"/>
        </w:rPr>
        <w:t>5 城市道路绿地设计</w:t>
      </w:r>
      <w:bookmarkEnd w:id="14"/>
    </w:p>
    <w:p w14:paraId="0596AB77">
      <w:pPr>
        <w:pStyle w:val="5"/>
        <w:jc w:val="both"/>
        <w:rPr>
          <w:rFonts w:hint="default" w:ascii="Times New Roman" w:hAnsi="Times New Roman" w:cs="Times New Roman"/>
          <w:lang w:eastAsia="zh-CN"/>
        </w:rPr>
      </w:pPr>
      <w:r>
        <w:rPr>
          <w:rFonts w:hint="default" w:ascii="Times New Roman" w:hAnsi="Times New Roman" w:cs="Times New Roman"/>
          <w:lang w:eastAsia="zh-CN"/>
        </w:rPr>
        <w:t>5.1 一般规定</w:t>
      </w:r>
    </w:p>
    <w:p w14:paraId="3323ACA6">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5.1.1</w:t>
      </w:r>
      <w:r>
        <w:rPr>
          <w:rFonts w:hint="default" w:ascii="Times New Roman" w:hAnsi="Times New Roman" w:cs="Times New Roman"/>
          <w:spacing w:val="-10"/>
          <w:lang w:eastAsia="zh-CN"/>
        </w:rPr>
        <w:t>城市道路绿地海绵设施的设计应符合《城市道路工程设计规范》（</w:t>
      </w:r>
      <w:r>
        <w:rPr>
          <w:rFonts w:hint="default" w:ascii="Times New Roman" w:hAnsi="Times New Roman" w:eastAsia="宋体" w:cs="Times New Roman"/>
          <w:b w:val="0"/>
          <w:bCs w:val="0"/>
          <w:color w:val="000000"/>
          <w:kern w:val="0"/>
          <w:sz w:val="21"/>
          <w:szCs w:val="21"/>
          <w:lang w:val="en-US" w:eastAsia="zh-CN" w:bidi="ar"/>
        </w:rPr>
        <w:t>CJJ37</w:t>
      </w:r>
      <w:r>
        <w:rPr>
          <w:rFonts w:hint="default" w:ascii="Times New Roman" w:hAnsi="Times New Roman" w:cs="Times New Roman"/>
          <w:spacing w:val="-10"/>
          <w:lang w:eastAsia="zh-CN"/>
        </w:rPr>
        <w:t>）、《城市道路绿化设计标准》及其他现行相关标准规定。</w:t>
      </w:r>
    </w:p>
    <w:p w14:paraId="69CC21DA">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5.1.2</w:t>
      </w:r>
      <w:r>
        <w:rPr>
          <w:rFonts w:hint="default" w:ascii="Times New Roman" w:hAnsi="Times New Roman" w:cs="Times New Roman"/>
          <w:spacing w:val="-10"/>
          <w:lang w:eastAsia="zh-CN"/>
        </w:rPr>
        <w:t>城市道路绿地应在满足改善城市生态环境、丰富城市景观、 避免绿化影响交通安全、保证植物生长环境的前提下进行低影响开发设计。</w:t>
      </w:r>
    </w:p>
    <w:p w14:paraId="0C135BD8">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5.1.3</w:t>
      </w:r>
      <w:r>
        <w:rPr>
          <w:rFonts w:hint="default" w:ascii="Times New Roman" w:hAnsi="Times New Roman" w:cs="Times New Roman"/>
          <w:spacing w:val="-10"/>
          <w:lang w:eastAsia="zh-CN"/>
        </w:rPr>
        <w:t>城市道路绿地海绵设施设计应遵循削减地表径流及污染为主、雨水收集利用为辅的原则；道路雨水径流应通过有组织的汇流和转输排入绿地，当雨水径流集中进入绿地时应进行消能、沉淀等预处理后方可排入。</w:t>
      </w:r>
    </w:p>
    <w:p w14:paraId="59EE572C">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5.1.4</w:t>
      </w:r>
      <w:r>
        <w:rPr>
          <w:rFonts w:hint="default" w:ascii="Times New Roman" w:hAnsi="Times New Roman" w:cs="Times New Roman"/>
          <w:spacing w:val="-10"/>
          <w:lang w:eastAsia="zh-CN"/>
        </w:rPr>
        <w:t>城市道路绿地建设应充分考虑道路管线布局、地下水位、土壤情况、植物种类、施工条件及后期管理等因素，合理设置海绵设施；应充分协调道路绿地内附属设施与海绵设施的布局关系，如路灯、路牌、广告栏、检查井等设施及基础，确保绿地内海绵设施正常运行，营造自然、协调的绿地景观；道路绿地中植物与有关设施距离关系应符合《城市道路绿化设计标准》及《城市园林植物种植技术规程》（</w:t>
      </w:r>
      <w:r>
        <w:rPr>
          <w:rFonts w:hint="default" w:ascii="Times New Roman" w:hAnsi="Times New Roman" w:eastAsia="宋体" w:cs="Times New Roman"/>
          <w:b w:val="0"/>
          <w:bCs w:val="0"/>
          <w:color w:val="000000"/>
          <w:kern w:val="0"/>
          <w:sz w:val="21"/>
          <w:szCs w:val="21"/>
          <w:lang w:val="en-US" w:eastAsia="zh-CN" w:bidi="ar"/>
        </w:rPr>
        <w:t>DBJ/T 13-148</w:t>
      </w:r>
      <w:r>
        <w:rPr>
          <w:rFonts w:hint="default" w:ascii="Times New Roman" w:hAnsi="Times New Roman" w:cs="Times New Roman"/>
          <w:spacing w:val="-10"/>
          <w:lang w:eastAsia="zh-CN"/>
        </w:rPr>
        <w:t>）的相关规定。</w:t>
      </w:r>
    </w:p>
    <w:p w14:paraId="3573FCBA">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表5.1  植物与地下管线最小水平距离要求</w:t>
      </w:r>
    </w:p>
    <w:tbl>
      <w:tblPr>
        <w:tblStyle w:val="30"/>
        <w:tblW w:w="5942" w:type="dxa"/>
        <w:jc w:val="center"/>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2350"/>
        <w:gridCol w:w="1382"/>
        <w:gridCol w:w="2210"/>
      </w:tblGrid>
      <w:tr w14:paraId="6572C2E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bottom w:val="single" w:color="000000" w:sz="6" w:space="0"/>
              <w:right w:val="single" w:color="000000" w:sz="6" w:space="0"/>
            </w:tcBorders>
            <w:vAlign w:val="center"/>
          </w:tcPr>
          <w:p w14:paraId="1B64C3B3">
            <w:pPr>
              <w:pStyle w:val="39"/>
              <w:spacing w:before="102"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名称</w:t>
            </w:r>
          </w:p>
        </w:tc>
        <w:tc>
          <w:tcPr>
            <w:tcW w:w="1382" w:type="dxa"/>
            <w:tcBorders>
              <w:left w:val="single" w:color="000000" w:sz="6" w:space="0"/>
              <w:bottom w:val="single" w:color="000000" w:sz="6" w:space="0"/>
              <w:right w:val="single" w:color="000000" w:sz="6" w:space="0"/>
            </w:tcBorders>
            <w:vAlign w:val="center"/>
          </w:tcPr>
          <w:p w14:paraId="71E03342">
            <w:pPr>
              <w:pStyle w:val="39"/>
              <w:spacing w:before="102" w:line="240" w:lineRule="auto"/>
              <w:ind w:right="406"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乔木（m）</w:t>
            </w:r>
          </w:p>
        </w:tc>
        <w:tc>
          <w:tcPr>
            <w:tcW w:w="2210" w:type="dxa"/>
            <w:tcBorders>
              <w:left w:val="single" w:color="000000" w:sz="6" w:space="0"/>
              <w:bottom w:val="single" w:color="000000" w:sz="6" w:space="0"/>
            </w:tcBorders>
            <w:vAlign w:val="center"/>
          </w:tcPr>
          <w:p w14:paraId="70C8021E">
            <w:pPr>
              <w:pStyle w:val="39"/>
              <w:spacing w:before="102" w:line="240" w:lineRule="auto"/>
              <w:ind w:left="258" w:right="199"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灌木或绿篱外缘（m）</w:t>
            </w:r>
          </w:p>
        </w:tc>
      </w:tr>
      <w:tr w14:paraId="044398E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303CCD03">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电力电缆</w:t>
            </w:r>
          </w:p>
        </w:tc>
        <w:tc>
          <w:tcPr>
            <w:tcW w:w="1382" w:type="dxa"/>
            <w:tcBorders>
              <w:top w:val="single" w:color="000000" w:sz="6" w:space="0"/>
              <w:left w:val="single" w:color="000000" w:sz="6" w:space="0"/>
              <w:bottom w:val="single" w:color="000000" w:sz="6" w:space="0"/>
              <w:right w:val="single" w:color="000000" w:sz="6" w:space="0"/>
            </w:tcBorders>
            <w:vAlign w:val="center"/>
          </w:tcPr>
          <w:p w14:paraId="77BB74B6">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210" w:type="dxa"/>
            <w:tcBorders>
              <w:top w:val="single" w:color="000000" w:sz="6" w:space="0"/>
              <w:left w:val="single" w:color="000000" w:sz="6" w:space="0"/>
              <w:bottom w:val="single" w:color="000000" w:sz="6" w:space="0"/>
            </w:tcBorders>
            <w:vAlign w:val="center"/>
          </w:tcPr>
          <w:p w14:paraId="7328DFC1">
            <w:pPr>
              <w:pStyle w:val="39"/>
              <w:spacing w:before="55" w:line="240" w:lineRule="auto"/>
              <w:ind w:right="197"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r>
      <w:tr w14:paraId="33E24D8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7C6E7021">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弱电电缆</w:t>
            </w:r>
          </w:p>
        </w:tc>
        <w:tc>
          <w:tcPr>
            <w:tcW w:w="1382" w:type="dxa"/>
            <w:tcBorders>
              <w:top w:val="single" w:color="000000" w:sz="6" w:space="0"/>
              <w:left w:val="single" w:color="000000" w:sz="6" w:space="0"/>
              <w:bottom w:val="single" w:color="000000" w:sz="6" w:space="0"/>
              <w:right w:val="single" w:color="000000" w:sz="6" w:space="0"/>
            </w:tcBorders>
            <w:vAlign w:val="center"/>
          </w:tcPr>
          <w:p w14:paraId="18C7A0ED">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210" w:type="dxa"/>
            <w:tcBorders>
              <w:top w:val="single" w:color="000000" w:sz="6" w:space="0"/>
              <w:left w:val="single" w:color="000000" w:sz="6" w:space="0"/>
              <w:bottom w:val="single" w:color="000000" w:sz="6" w:space="0"/>
            </w:tcBorders>
            <w:vAlign w:val="center"/>
          </w:tcPr>
          <w:p w14:paraId="26EB7826">
            <w:pPr>
              <w:pStyle w:val="39"/>
              <w:spacing w:before="55" w:line="240" w:lineRule="auto"/>
              <w:ind w:right="197"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0.5</w:t>
            </w:r>
          </w:p>
        </w:tc>
      </w:tr>
      <w:tr w14:paraId="1E3CE87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3288A11D">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给水管</w:t>
            </w:r>
          </w:p>
        </w:tc>
        <w:tc>
          <w:tcPr>
            <w:tcW w:w="1382" w:type="dxa"/>
            <w:tcBorders>
              <w:top w:val="single" w:color="000000" w:sz="6" w:space="0"/>
              <w:left w:val="single" w:color="000000" w:sz="6" w:space="0"/>
              <w:bottom w:val="single" w:color="000000" w:sz="6" w:space="0"/>
              <w:right w:val="single" w:color="000000" w:sz="6" w:space="0"/>
            </w:tcBorders>
            <w:vAlign w:val="center"/>
          </w:tcPr>
          <w:p w14:paraId="12F51628">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210" w:type="dxa"/>
            <w:tcBorders>
              <w:top w:val="single" w:color="000000" w:sz="6" w:space="0"/>
              <w:left w:val="single" w:color="000000" w:sz="6" w:space="0"/>
              <w:bottom w:val="single" w:color="000000" w:sz="6" w:space="0"/>
            </w:tcBorders>
            <w:vAlign w:val="center"/>
          </w:tcPr>
          <w:p w14:paraId="4175391E">
            <w:pPr>
              <w:pStyle w:val="39"/>
              <w:spacing w:before="55" w:line="240" w:lineRule="auto"/>
              <w:ind w:firstLine="137"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w w:val="101"/>
                <w:sz w:val="18"/>
                <w:szCs w:val="18"/>
              </w:rPr>
              <w:t>—</w:t>
            </w:r>
          </w:p>
        </w:tc>
      </w:tr>
      <w:tr w14:paraId="31D9174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6104C2FA">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排水管</w:t>
            </w:r>
          </w:p>
        </w:tc>
        <w:tc>
          <w:tcPr>
            <w:tcW w:w="1382" w:type="dxa"/>
            <w:tcBorders>
              <w:top w:val="single" w:color="000000" w:sz="6" w:space="0"/>
              <w:left w:val="single" w:color="000000" w:sz="6" w:space="0"/>
              <w:bottom w:val="single" w:color="000000" w:sz="6" w:space="0"/>
              <w:right w:val="single" w:color="000000" w:sz="6" w:space="0"/>
            </w:tcBorders>
            <w:vAlign w:val="center"/>
          </w:tcPr>
          <w:p w14:paraId="6CFE7DB2">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210" w:type="dxa"/>
            <w:tcBorders>
              <w:top w:val="single" w:color="000000" w:sz="6" w:space="0"/>
              <w:left w:val="single" w:color="000000" w:sz="6" w:space="0"/>
              <w:bottom w:val="single" w:color="000000" w:sz="6" w:space="0"/>
            </w:tcBorders>
            <w:vAlign w:val="center"/>
          </w:tcPr>
          <w:p w14:paraId="6E4664A3">
            <w:pPr>
              <w:pStyle w:val="39"/>
              <w:spacing w:before="55" w:line="240" w:lineRule="auto"/>
              <w:ind w:firstLine="137"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w w:val="101"/>
                <w:sz w:val="18"/>
                <w:szCs w:val="18"/>
              </w:rPr>
              <w:t>—</w:t>
            </w:r>
          </w:p>
        </w:tc>
      </w:tr>
      <w:tr w14:paraId="0150CE3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75F9AD1F">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排水盲管（沟）</w:t>
            </w:r>
          </w:p>
        </w:tc>
        <w:tc>
          <w:tcPr>
            <w:tcW w:w="1382" w:type="dxa"/>
            <w:tcBorders>
              <w:top w:val="single" w:color="000000" w:sz="6" w:space="0"/>
              <w:left w:val="single" w:color="000000" w:sz="6" w:space="0"/>
              <w:bottom w:val="single" w:color="000000" w:sz="6" w:space="0"/>
              <w:right w:val="single" w:color="000000" w:sz="6" w:space="0"/>
            </w:tcBorders>
            <w:vAlign w:val="center"/>
          </w:tcPr>
          <w:p w14:paraId="29D5EF42">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210" w:type="dxa"/>
            <w:tcBorders>
              <w:top w:val="single" w:color="000000" w:sz="6" w:space="0"/>
              <w:left w:val="single" w:color="000000" w:sz="6" w:space="0"/>
              <w:bottom w:val="single" w:color="000000" w:sz="6" w:space="0"/>
            </w:tcBorders>
            <w:vAlign w:val="center"/>
          </w:tcPr>
          <w:p w14:paraId="36660360">
            <w:pPr>
              <w:pStyle w:val="39"/>
              <w:spacing w:before="55" w:line="240" w:lineRule="auto"/>
              <w:ind w:firstLine="137"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w w:val="101"/>
                <w:sz w:val="18"/>
                <w:szCs w:val="18"/>
              </w:rPr>
              <w:t>—</w:t>
            </w:r>
          </w:p>
        </w:tc>
      </w:tr>
      <w:tr w14:paraId="6AF391D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56B84E49">
            <w:pPr>
              <w:pStyle w:val="39"/>
              <w:spacing w:before="55" w:line="240" w:lineRule="auto"/>
              <w:ind w:right="394"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室外消火栓及水泵接合器</w:t>
            </w:r>
          </w:p>
        </w:tc>
        <w:tc>
          <w:tcPr>
            <w:tcW w:w="1382" w:type="dxa"/>
            <w:tcBorders>
              <w:top w:val="single" w:color="000000" w:sz="6" w:space="0"/>
              <w:left w:val="single" w:color="000000" w:sz="6" w:space="0"/>
              <w:bottom w:val="single" w:color="000000" w:sz="6" w:space="0"/>
              <w:right w:val="single" w:color="000000" w:sz="6" w:space="0"/>
            </w:tcBorders>
            <w:vAlign w:val="center"/>
          </w:tcPr>
          <w:p w14:paraId="20C6082D">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2210" w:type="dxa"/>
            <w:tcBorders>
              <w:top w:val="single" w:color="000000" w:sz="6" w:space="0"/>
              <w:left w:val="single" w:color="000000" w:sz="6" w:space="0"/>
              <w:bottom w:val="single" w:color="000000" w:sz="6" w:space="0"/>
            </w:tcBorders>
            <w:vAlign w:val="center"/>
          </w:tcPr>
          <w:p w14:paraId="71A7CAD9">
            <w:pPr>
              <w:pStyle w:val="39"/>
              <w:spacing w:before="55" w:line="240" w:lineRule="auto"/>
              <w:ind w:right="197"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14:paraId="77D4EE9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bottom w:val="single" w:color="000000" w:sz="6" w:space="0"/>
              <w:right w:val="single" w:color="000000" w:sz="6" w:space="0"/>
            </w:tcBorders>
            <w:vAlign w:val="center"/>
          </w:tcPr>
          <w:p w14:paraId="1C6D8C57">
            <w:pPr>
              <w:pStyle w:val="39"/>
              <w:spacing w:before="55" w:line="240" w:lineRule="auto"/>
              <w:ind w:right="394" w:firstLine="180" w:firstLineChars="10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燃气管道（低中压）</w:t>
            </w:r>
          </w:p>
        </w:tc>
        <w:tc>
          <w:tcPr>
            <w:tcW w:w="1382" w:type="dxa"/>
            <w:tcBorders>
              <w:top w:val="single" w:color="000000" w:sz="6" w:space="0"/>
              <w:left w:val="single" w:color="000000" w:sz="6" w:space="0"/>
              <w:bottom w:val="single" w:color="000000" w:sz="6" w:space="0"/>
              <w:right w:val="single" w:color="000000" w:sz="6" w:space="0"/>
            </w:tcBorders>
            <w:vAlign w:val="center"/>
          </w:tcPr>
          <w:p w14:paraId="3CDEE0B4">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2210" w:type="dxa"/>
            <w:tcBorders>
              <w:top w:val="single" w:color="000000" w:sz="6" w:space="0"/>
              <w:left w:val="single" w:color="000000" w:sz="6" w:space="0"/>
              <w:bottom w:val="single" w:color="000000" w:sz="6" w:space="0"/>
            </w:tcBorders>
            <w:vAlign w:val="center"/>
          </w:tcPr>
          <w:p w14:paraId="331A1197">
            <w:pPr>
              <w:pStyle w:val="39"/>
              <w:spacing w:before="55" w:line="240" w:lineRule="auto"/>
              <w:ind w:right="197"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r>
      <w:tr w14:paraId="1E62540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0" w:hRule="atLeast"/>
          <w:jc w:val="center"/>
        </w:trPr>
        <w:tc>
          <w:tcPr>
            <w:tcW w:w="2350" w:type="dxa"/>
            <w:tcBorders>
              <w:top w:val="single" w:color="000000" w:sz="6" w:space="0"/>
              <w:right w:val="single" w:color="000000" w:sz="6" w:space="0"/>
            </w:tcBorders>
            <w:vAlign w:val="center"/>
          </w:tcPr>
          <w:p w14:paraId="5EF81824">
            <w:pPr>
              <w:pStyle w:val="39"/>
              <w:spacing w:before="55" w:line="240" w:lineRule="auto"/>
              <w:ind w:right="394"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热力管</w:t>
            </w:r>
          </w:p>
        </w:tc>
        <w:tc>
          <w:tcPr>
            <w:tcW w:w="1382" w:type="dxa"/>
            <w:tcBorders>
              <w:top w:val="single" w:color="000000" w:sz="6" w:space="0"/>
              <w:left w:val="single" w:color="000000" w:sz="6" w:space="0"/>
              <w:right w:val="single" w:color="000000" w:sz="6" w:space="0"/>
            </w:tcBorders>
            <w:vAlign w:val="center"/>
          </w:tcPr>
          <w:p w14:paraId="0A8C1260">
            <w:pPr>
              <w:pStyle w:val="39"/>
              <w:spacing w:before="55" w:line="240" w:lineRule="auto"/>
              <w:ind w:right="406"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2210" w:type="dxa"/>
            <w:tcBorders>
              <w:top w:val="single" w:color="000000" w:sz="6" w:space="0"/>
              <w:left w:val="single" w:color="000000" w:sz="6" w:space="0"/>
            </w:tcBorders>
            <w:vAlign w:val="center"/>
          </w:tcPr>
          <w:p w14:paraId="0AEF4ED0">
            <w:pPr>
              <w:pStyle w:val="39"/>
              <w:spacing w:before="55" w:line="240" w:lineRule="auto"/>
              <w:ind w:right="197" w:firstLine="136" w:firstLineChars="76"/>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r>
    </w:tbl>
    <w:p w14:paraId="67B4F4F5">
      <w:pPr>
        <w:ind w:firstLine="360"/>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注：乔木与地下管线的距离是指乔木树干基部的外缘与管线外缘的净距离，灌木或绿篱与地下管线的距离是指地表处分孽枝干中最外的枝干基部的外缘与管线外缘的净距离。</w:t>
      </w:r>
    </w:p>
    <w:p w14:paraId="7BA03886">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5</w:t>
      </w:r>
      <w:r>
        <w:rPr>
          <w:rFonts w:hint="default" w:ascii="Times New Roman" w:hAnsi="Times New Roman" w:cs="Times New Roman"/>
          <w:spacing w:val="-10"/>
          <w:lang w:val="en-US" w:eastAsia="zh-CN"/>
        </w:rPr>
        <w:t>.1.5</w:t>
      </w:r>
      <w:r>
        <w:rPr>
          <w:rFonts w:hint="default" w:ascii="Times New Roman" w:hAnsi="Times New Roman" w:cs="Times New Roman"/>
          <w:spacing w:val="-10"/>
          <w:lang w:eastAsia="zh-CN"/>
        </w:rPr>
        <w:t>植物选择应考虑土壤条件、地下水位、景观等因素，宜选用耐旱、耐污染、耐短期水淹的植物，确保植物正常生长，充分发挥其观赏特性。</w:t>
      </w:r>
    </w:p>
    <w:p w14:paraId="36A09FF2">
      <w:pPr>
        <w:ind w:firstLine="0" w:firstLineChars="0"/>
        <w:jc w:val="both"/>
        <w:rPr>
          <w:rFonts w:hint="default" w:ascii="Times New Roman" w:hAnsi="Times New Roman" w:cs="Times New Roman"/>
          <w:spacing w:val="-10"/>
          <w:lang w:eastAsia="zh-CN"/>
        </w:rPr>
      </w:pPr>
      <w:r>
        <w:rPr>
          <w:rFonts w:hint="default" w:ascii="Times New Roman" w:hAnsi="Times New Roman" w:cs="Times New Roman"/>
          <w:spacing w:val="-10"/>
          <w:lang w:val="en-US" w:eastAsia="zh-CN"/>
        </w:rPr>
        <w:t>5.1.6</w:t>
      </w:r>
      <w:r>
        <w:rPr>
          <w:rFonts w:hint="default" w:ascii="Times New Roman" w:hAnsi="Times New Roman" w:cs="Times New Roman"/>
          <w:spacing w:val="-10"/>
          <w:lang w:eastAsia="zh-CN"/>
        </w:rPr>
        <w:t>植物的配置应协调空间层次、树形树姿、色彩搭配和季相变化的关系，塑造良好的道路绿地景观。</w:t>
      </w:r>
    </w:p>
    <w:p w14:paraId="42EEE175">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 xml:space="preserve">5.2 </w:t>
      </w:r>
      <w:r>
        <w:rPr>
          <w:rFonts w:hint="eastAsia" w:ascii="Times New Roman" w:hAnsi="Times New Roman" w:cs="Times New Roman"/>
          <w:w w:val="95"/>
          <w:lang w:eastAsia="zh-CN"/>
        </w:rPr>
        <w:t>下沉式绿地</w:t>
      </w:r>
      <w:r>
        <w:rPr>
          <w:rFonts w:hint="default" w:ascii="Times New Roman" w:hAnsi="Times New Roman" w:cs="Times New Roman"/>
          <w:w w:val="95"/>
          <w:lang w:eastAsia="zh-CN"/>
        </w:rPr>
        <w:t>设置要求</w:t>
      </w:r>
    </w:p>
    <w:p w14:paraId="29B19510">
      <w:pPr>
        <w:ind w:firstLine="400"/>
        <w:jc w:val="both"/>
        <w:rPr>
          <w:rFonts w:hint="default" w:ascii="Times New Roman" w:hAnsi="Times New Roman" w:cs="Times New Roman"/>
          <w:spacing w:val="-10"/>
          <w:lang w:eastAsia="zh-CN"/>
        </w:rPr>
      </w:pPr>
      <w:r>
        <w:rPr>
          <w:rFonts w:hint="default" w:ascii="Times New Roman" w:hAnsi="Times New Roman" w:cs="Times New Roman"/>
          <w:spacing w:val="-10"/>
          <w:lang w:eastAsia="zh-CN"/>
        </w:rPr>
        <w:t>设置海绵设施的侧分带、绿化带绿地宽度不宜小于</w:t>
      </w:r>
      <w:r>
        <w:rPr>
          <w:rFonts w:hint="default" w:ascii="Times New Roman" w:hAnsi="Times New Roman" w:eastAsia="宋体" w:cs="Times New Roman"/>
          <w:b w:val="0"/>
          <w:bCs w:val="0"/>
          <w:color w:val="000000"/>
          <w:kern w:val="0"/>
          <w:sz w:val="21"/>
          <w:szCs w:val="21"/>
          <w:lang w:val="en-US" w:eastAsia="zh-CN" w:bidi="ar"/>
        </w:rPr>
        <w:t>2.5m，</w:t>
      </w:r>
      <w:r>
        <w:rPr>
          <w:rFonts w:hint="default" w:ascii="Times New Roman" w:hAnsi="Times New Roman" w:cs="Times New Roman"/>
          <w:spacing w:val="-10"/>
          <w:lang w:eastAsia="zh-CN"/>
        </w:rPr>
        <w:t>最小不得小于</w:t>
      </w:r>
      <w:r>
        <w:rPr>
          <w:rFonts w:hint="default" w:ascii="Times New Roman" w:hAnsi="Times New Roman" w:eastAsia="宋体" w:cs="Times New Roman"/>
          <w:b w:val="0"/>
          <w:bCs w:val="0"/>
          <w:color w:val="000000"/>
          <w:kern w:val="0"/>
          <w:sz w:val="21"/>
          <w:szCs w:val="21"/>
          <w:lang w:val="en-US" w:eastAsia="zh-CN" w:bidi="ar"/>
        </w:rPr>
        <w:t>2.0m。</w:t>
      </w:r>
      <w:r>
        <w:rPr>
          <w:rFonts w:hint="default" w:ascii="Times New Roman" w:hAnsi="Times New Roman" w:cs="Times New Roman"/>
          <w:spacing w:val="-10"/>
          <w:lang w:eastAsia="zh-CN"/>
        </w:rPr>
        <w:t>绿化带宜形成连续的带状绿地，提升其对雨水的蓄渗和消纳能力。</w:t>
      </w:r>
    </w:p>
    <w:p w14:paraId="0638FCD6">
      <w:pPr>
        <w:ind w:firstLine="0" w:firstLineChars="0"/>
        <w:jc w:val="both"/>
        <w:rPr>
          <w:rFonts w:hint="default" w:ascii="Times New Roman" w:hAnsi="Times New Roman" w:cs="Times New Roman"/>
          <w:sz w:val="30"/>
          <w:lang w:eastAsia="zh-CN"/>
        </w:rPr>
      </w:pPr>
      <w:r>
        <w:rPr>
          <w:rFonts w:hint="default" w:ascii="Times New Roman" w:hAnsi="Times New Roman" w:cs="Times New Roman"/>
          <w:lang w:eastAsia="zh-CN"/>
        </w:rPr>
        <w:drawing>
          <wp:inline distT="0" distB="0" distL="0" distR="0">
            <wp:extent cx="3744595" cy="2530475"/>
            <wp:effectExtent l="0" t="0" r="8255" b="317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4" cstate="print">
                      <a:extLst>
                        <a:ext uri="{28A0092B-C50C-407E-A947-70E740481C1C}">
                          <a14:useLocalDpi xmlns:a14="http://schemas.microsoft.com/office/drawing/2010/main" val="0"/>
                        </a:ext>
                      </a:extLst>
                    </a:blip>
                    <a:srcRect l="7993" r="9352"/>
                    <a:stretch>
                      <a:fillRect/>
                    </a:stretch>
                  </pic:blipFill>
                  <pic:spPr>
                    <a:xfrm>
                      <a:off x="0" y="0"/>
                      <a:ext cx="3760377" cy="2541078"/>
                    </a:xfrm>
                    <a:prstGeom prst="rect">
                      <a:avLst/>
                    </a:prstGeom>
                    <a:ln>
                      <a:noFill/>
                    </a:ln>
                  </pic:spPr>
                </pic:pic>
              </a:graphicData>
            </a:graphic>
          </wp:inline>
        </w:drawing>
      </w:r>
    </w:p>
    <w:p w14:paraId="77D69BCB">
      <w:pPr>
        <w:ind w:firstLine="0" w:firstLineChars="0"/>
        <w:jc w:val="center"/>
        <w:rPr>
          <w:rFonts w:hint="default" w:ascii="Times New Roman" w:hAnsi="Times New Roman" w:cs="Times New Roman"/>
          <w:sz w:val="18"/>
          <w:szCs w:val="18"/>
          <w:lang w:eastAsia="zh-CN"/>
        </w:rPr>
      </w:pPr>
      <w:r>
        <w:rPr>
          <w:rFonts w:hint="default" w:ascii="Times New Roman" w:hAnsi="Times New Roman" w:eastAsia="黑体" w:cs="Times New Roman"/>
          <w:b w:val="0"/>
          <w:bCs w:val="0"/>
          <w:sz w:val="18"/>
          <w:szCs w:val="18"/>
          <w:lang w:val="en-US" w:eastAsia="zh-CN" w:bidi="ar-SA"/>
        </w:rPr>
        <w:t>图5.1典型道路一：双幅路双向四车道</w:t>
      </w:r>
      <w:r>
        <w:rPr>
          <w:rFonts w:hint="eastAsia" w:ascii="Times New Roman" w:hAnsi="Times New Roman" w:eastAsia="黑体" w:cs="Times New Roman"/>
          <w:b w:val="0"/>
          <w:bCs w:val="0"/>
          <w:sz w:val="18"/>
          <w:szCs w:val="18"/>
          <w:lang w:val="en-US" w:eastAsia="zh-CN" w:bidi="ar-SA"/>
        </w:rPr>
        <w:t>海绵城市</w:t>
      </w:r>
      <w:r>
        <w:rPr>
          <w:rFonts w:hint="default" w:ascii="Times New Roman" w:hAnsi="Times New Roman" w:eastAsia="黑体" w:cs="Times New Roman"/>
          <w:b w:val="0"/>
          <w:bCs w:val="0"/>
          <w:sz w:val="18"/>
          <w:szCs w:val="18"/>
          <w:lang w:val="en-US" w:eastAsia="zh-CN" w:bidi="ar-SA"/>
        </w:rPr>
        <w:t>示意图</w:t>
      </w:r>
      <w:r>
        <w:rPr>
          <w:rFonts w:hint="default" w:ascii="Times New Roman" w:hAnsi="Times New Roman" w:cs="Times New Roman"/>
          <w:sz w:val="18"/>
          <w:szCs w:val="18"/>
          <w:lang w:eastAsia="zh-CN"/>
        </w:rPr>
        <w:drawing>
          <wp:inline distT="0" distB="0" distL="0" distR="0">
            <wp:extent cx="3674110" cy="2795905"/>
            <wp:effectExtent l="0" t="0" r="2540" b="444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5" cstate="print"/>
                    <a:stretch>
                      <a:fillRect/>
                    </a:stretch>
                  </pic:blipFill>
                  <pic:spPr>
                    <a:xfrm>
                      <a:off x="0" y="0"/>
                      <a:ext cx="3681672" cy="2801798"/>
                    </a:xfrm>
                    <a:prstGeom prst="rect">
                      <a:avLst/>
                    </a:prstGeom>
                  </pic:spPr>
                </pic:pic>
              </a:graphicData>
            </a:graphic>
          </wp:inline>
        </w:drawing>
      </w:r>
    </w:p>
    <w:p w14:paraId="1398DE5D">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图5.2  典型道路二：三幅路双向六车道</w:t>
      </w:r>
      <w:r>
        <w:rPr>
          <w:rFonts w:hint="eastAsia" w:ascii="Times New Roman" w:hAnsi="Times New Roman" w:eastAsia="黑体" w:cs="Times New Roman"/>
          <w:b w:val="0"/>
          <w:bCs w:val="0"/>
          <w:sz w:val="18"/>
          <w:szCs w:val="18"/>
          <w:lang w:val="en-US" w:eastAsia="zh-CN" w:bidi="ar-SA"/>
        </w:rPr>
        <w:t>海绵城市</w:t>
      </w:r>
      <w:r>
        <w:rPr>
          <w:rFonts w:hint="default" w:ascii="Times New Roman" w:hAnsi="Times New Roman" w:eastAsia="黑体" w:cs="Times New Roman"/>
          <w:b w:val="0"/>
          <w:bCs w:val="0"/>
          <w:sz w:val="18"/>
          <w:szCs w:val="18"/>
          <w:lang w:val="en-US" w:eastAsia="zh-CN" w:bidi="ar-SA"/>
        </w:rPr>
        <w:t>示意图</w:t>
      </w:r>
    </w:p>
    <w:p w14:paraId="39968FE3">
      <w:pPr>
        <w:ind w:firstLine="0" w:firstLineChars="0"/>
        <w:jc w:val="both"/>
        <w:rPr>
          <w:rFonts w:hint="default" w:ascii="Times New Roman" w:hAnsi="Times New Roman" w:cs="Times New Roman"/>
          <w:sz w:val="18"/>
          <w:szCs w:val="18"/>
        </w:rPr>
      </w:pPr>
      <w:r>
        <w:rPr>
          <w:rFonts w:hint="default" w:ascii="Times New Roman" w:hAnsi="Times New Roman" w:cs="Times New Roman"/>
          <w:sz w:val="18"/>
          <w:szCs w:val="18"/>
          <w:lang w:eastAsia="zh-CN"/>
        </w:rPr>
        <w:drawing>
          <wp:inline distT="0" distB="0" distL="0" distR="0">
            <wp:extent cx="3755390" cy="299783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6" cstate="print"/>
                    <a:stretch>
                      <a:fillRect/>
                    </a:stretch>
                  </pic:blipFill>
                  <pic:spPr>
                    <a:xfrm>
                      <a:off x="0" y="0"/>
                      <a:ext cx="3767722" cy="3007534"/>
                    </a:xfrm>
                    <a:prstGeom prst="rect">
                      <a:avLst/>
                    </a:prstGeom>
                  </pic:spPr>
                </pic:pic>
              </a:graphicData>
            </a:graphic>
          </wp:inline>
        </w:drawing>
      </w:r>
    </w:p>
    <w:p w14:paraId="1CF1526C">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图5.3  典型道路三：四幅路双向六车道</w:t>
      </w:r>
      <w:r>
        <w:rPr>
          <w:rFonts w:hint="eastAsia" w:ascii="Times New Roman" w:hAnsi="Times New Roman" w:eastAsia="黑体" w:cs="Times New Roman"/>
          <w:b w:val="0"/>
          <w:bCs w:val="0"/>
          <w:sz w:val="18"/>
          <w:szCs w:val="18"/>
          <w:lang w:val="en-US" w:eastAsia="zh-CN" w:bidi="ar-SA"/>
        </w:rPr>
        <w:t>海绵城市</w:t>
      </w:r>
      <w:r>
        <w:rPr>
          <w:rFonts w:hint="default" w:ascii="Times New Roman" w:hAnsi="Times New Roman" w:eastAsia="黑体" w:cs="Times New Roman"/>
          <w:b w:val="0"/>
          <w:bCs w:val="0"/>
          <w:sz w:val="18"/>
          <w:szCs w:val="18"/>
          <w:lang w:val="en-US" w:eastAsia="zh-CN" w:bidi="ar-SA"/>
        </w:rPr>
        <w:t>示意图</w:t>
      </w:r>
    </w:p>
    <w:p w14:paraId="6F283DC3">
      <w:pPr>
        <w:ind w:firstLine="360"/>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备注：（1）三幅路、四幅路的双向六车道、双向八车道均有辅道。（2）设置海绵设施的侧分带、绿化带绿地宽度不宜小于 2.5m，最小不得小于 2.0m。（3）旧路进行海绵城市改造时，若现状横断面难以调整，绿化带宽度有限，道路本身无法完成相应指标，需根据实际情况进行指标核算，确认本次设计可达到的指标，未完成指标可由周边退线、地块等承担。（4）i</w:t>
      </w:r>
      <w:r>
        <w:rPr>
          <w:rFonts w:hint="default" w:ascii="Times New Roman" w:hAnsi="Times New Roman" w:cs="Times New Roman"/>
          <w:sz w:val="18"/>
          <w:szCs w:val="18"/>
          <w:vertAlign w:val="subscript"/>
          <w:lang w:eastAsia="zh-CN"/>
        </w:rPr>
        <w:t>1</w:t>
      </w:r>
      <w:r>
        <w:rPr>
          <w:rFonts w:hint="default" w:ascii="Times New Roman" w:hAnsi="Times New Roman" w:cs="Times New Roman"/>
          <w:sz w:val="18"/>
          <w:szCs w:val="18"/>
          <w:lang w:eastAsia="zh-CN"/>
        </w:rPr>
        <w:t xml:space="preserve"> 为机动车道横坡，i</w:t>
      </w:r>
      <w:r>
        <w:rPr>
          <w:rFonts w:hint="default" w:ascii="Times New Roman" w:hAnsi="Times New Roman" w:cs="Times New Roman"/>
          <w:sz w:val="18"/>
          <w:szCs w:val="18"/>
          <w:vertAlign w:val="subscript"/>
          <w:lang w:eastAsia="zh-CN"/>
        </w:rPr>
        <w:t>1</w:t>
      </w:r>
      <w:r>
        <w:rPr>
          <w:rFonts w:hint="default" w:ascii="Times New Roman" w:hAnsi="Times New Roman" w:cs="Times New Roman"/>
          <w:sz w:val="18"/>
          <w:szCs w:val="18"/>
          <w:lang w:eastAsia="zh-CN"/>
        </w:rPr>
        <w:t xml:space="preserve"> 一般为 1.5%或 2.0%，当单向车道数≥3 时，i</w:t>
      </w:r>
      <w:r>
        <w:rPr>
          <w:rFonts w:hint="default" w:ascii="Times New Roman" w:hAnsi="Times New Roman" w:cs="Times New Roman"/>
          <w:sz w:val="18"/>
          <w:szCs w:val="18"/>
          <w:vertAlign w:val="subscript"/>
          <w:lang w:eastAsia="zh-CN"/>
        </w:rPr>
        <w:t>1</w:t>
      </w:r>
      <w:r>
        <w:rPr>
          <w:rFonts w:hint="default" w:ascii="Times New Roman" w:hAnsi="Times New Roman" w:cs="Times New Roman"/>
          <w:sz w:val="18"/>
          <w:szCs w:val="18"/>
          <w:lang w:eastAsia="zh-CN"/>
        </w:rPr>
        <w:t xml:space="preserve"> 宜取大值。i</w:t>
      </w:r>
      <w:r>
        <w:rPr>
          <w:rFonts w:hint="default" w:ascii="Times New Roman" w:hAnsi="Times New Roman" w:cs="Times New Roman"/>
          <w:sz w:val="18"/>
          <w:szCs w:val="18"/>
          <w:vertAlign w:val="subscript"/>
          <w:lang w:eastAsia="zh-CN"/>
        </w:rPr>
        <w:t>2</w:t>
      </w:r>
      <w:r>
        <w:rPr>
          <w:rFonts w:hint="default" w:ascii="Times New Roman" w:hAnsi="Times New Roman" w:cs="Times New Roman"/>
          <w:sz w:val="18"/>
          <w:szCs w:val="18"/>
          <w:lang w:eastAsia="zh-CN"/>
        </w:rPr>
        <w:t xml:space="preserve"> 为慢行道路面横坡，采用透水铺装时，宜取 1.0%～1.5%。（5）溢流式雨水口间距L 应根据路面汇水量、雨水口排水能力计算确定； 路缘石开口间距d 应结合路面汇水量、路缘石开口收水能力计算确定。（6）穿孔排水管设置在排水单元下游并接至溢流式雨水口，长度结合道路纵坡大小考虑。</w:t>
      </w:r>
    </w:p>
    <w:p w14:paraId="62CFAE95">
      <w:pPr>
        <w:pStyle w:val="5"/>
        <w:jc w:val="both"/>
        <w:rPr>
          <w:rFonts w:hint="default" w:ascii="Times New Roman" w:hAnsi="Times New Roman" w:cs="Times New Roman"/>
          <w:w w:val="95"/>
          <w:lang w:eastAsia="zh-CN"/>
        </w:rPr>
      </w:pPr>
      <w:r>
        <w:rPr>
          <w:rFonts w:hint="default" w:ascii="Times New Roman" w:hAnsi="Times New Roman" w:cs="Times New Roman"/>
          <w:w w:val="95"/>
          <w:lang w:eastAsia="zh-CN"/>
        </w:rPr>
        <w:t>5.3 交通岛绿地设置</w:t>
      </w:r>
    </w:p>
    <w:p w14:paraId="21C311D2">
      <w:pPr>
        <w:ind w:firstLine="420"/>
        <w:jc w:val="both"/>
        <w:rPr>
          <w:rFonts w:hint="default" w:ascii="Times New Roman" w:hAnsi="Times New Roman" w:cs="Times New Roman"/>
          <w:lang w:eastAsia="zh-CN"/>
        </w:rPr>
      </w:pPr>
      <w:r>
        <w:rPr>
          <w:rFonts w:hint="default" w:ascii="Times New Roman" w:hAnsi="Times New Roman" w:cs="Times New Roman"/>
          <w:lang w:eastAsia="zh-CN"/>
        </w:rPr>
        <w:t>交通岛绿地应结合道路竖向及排水组织设计合理采用</w:t>
      </w:r>
      <w:r>
        <w:rPr>
          <w:rFonts w:hint="eastAsia" w:ascii="Times New Roman" w:hAnsi="Times New Roman" w:cs="Times New Roman"/>
          <w:lang w:eastAsia="zh-CN"/>
        </w:rPr>
        <w:t>下沉式绿地</w:t>
      </w:r>
      <w:r>
        <w:rPr>
          <w:rFonts w:hint="default" w:ascii="Times New Roman" w:hAnsi="Times New Roman" w:cs="Times New Roman"/>
          <w:lang w:eastAsia="zh-CN"/>
        </w:rPr>
        <w:t>、雨水花园、植草沟等海绵设施。</w:t>
      </w:r>
    </w:p>
    <w:p w14:paraId="113D67AC">
      <w:pPr>
        <w:pStyle w:val="5"/>
        <w:jc w:val="both"/>
        <w:rPr>
          <w:rFonts w:hint="default" w:ascii="Times New Roman" w:hAnsi="Times New Roman" w:cs="Times New Roman"/>
          <w:lang w:eastAsia="zh-CN"/>
        </w:rPr>
      </w:pPr>
      <w:r>
        <w:rPr>
          <w:rFonts w:hint="default" w:ascii="Times New Roman" w:hAnsi="Times New Roman" w:cs="Times New Roman"/>
          <w:lang w:eastAsia="zh-CN"/>
        </w:rPr>
        <w:t>5.4 高架桥绿地设置</w:t>
      </w:r>
    </w:p>
    <w:p w14:paraId="4A870607">
      <w:pPr>
        <w:ind w:firstLine="420"/>
        <w:jc w:val="both"/>
        <w:rPr>
          <w:rFonts w:hint="default" w:ascii="Times New Roman" w:hAnsi="Times New Roman" w:cs="Times New Roman"/>
          <w:lang w:eastAsia="zh-CN"/>
        </w:rPr>
      </w:pPr>
      <w:r>
        <w:rPr>
          <w:rFonts w:hint="default" w:ascii="Times New Roman" w:hAnsi="Times New Roman" w:cs="Times New Roman"/>
          <w:lang w:eastAsia="zh-CN"/>
        </w:rPr>
        <w:t>高架桥（含立交桥、互通）桥下绿地宜设置</w:t>
      </w:r>
      <w:r>
        <w:rPr>
          <w:rFonts w:hint="eastAsia" w:ascii="Times New Roman" w:hAnsi="Times New Roman" w:cs="Times New Roman"/>
          <w:lang w:eastAsia="zh-CN"/>
        </w:rPr>
        <w:t>下沉式绿地</w:t>
      </w:r>
      <w:r>
        <w:rPr>
          <w:rFonts w:hint="default" w:ascii="Times New Roman" w:hAnsi="Times New Roman" w:cs="Times New Roman"/>
          <w:lang w:eastAsia="zh-CN"/>
        </w:rPr>
        <w:t>、雨水花园等海绵设施收纳预处理后的地表径流；坡度较大区域 宜设置植被缓冲带，以减缓地表径流。</w:t>
      </w:r>
    </w:p>
    <w:p w14:paraId="51F151DF">
      <w:pPr>
        <w:pStyle w:val="5"/>
        <w:jc w:val="both"/>
        <w:rPr>
          <w:rFonts w:hint="default" w:ascii="Times New Roman" w:hAnsi="Times New Roman" w:cs="Times New Roman"/>
          <w:lang w:eastAsia="zh-CN"/>
        </w:rPr>
      </w:pPr>
      <w:r>
        <w:rPr>
          <w:rFonts w:hint="default" w:ascii="Times New Roman" w:hAnsi="Times New Roman" w:cs="Times New Roman"/>
          <w:lang w:eastAsia="zh-CN"/>
        </w:rPr>
        <w:t>5.5 雨水净化</w:t>
      </w:r>
    </w:p>
    <w:p w14:paraId="3EFFA619">
      <w:pPr>
        <w:ind w:firstLine="420"/>
        <w:jc w:val="both"/>
        <w:rPr>
          <w:rFonts w:hint="default" w:ascii="Times New Roman" w:hAnsi="Times New Roman" w:cs="Times New Roman"/>
          <w:lang w:eastAsia="zh-CN"/>
        </w:rPr>
      </w:pPr>
      <w:r>
        <w:rPr>
          <w:rFonts w:hint="default" w:ascii="Times New Roman" w:hAnsi="Times New Roman" w:cs="Times New Roman"/>
          <w:lang w:eastAsia="zh-CN"/>
        </w:rPr>
        <w:t>城市道路绿地内海绵设施进水口处宜采用碎石粗砂过滤带净化、过滤雨水；溢流井设施宜配置截污挂篮。</w:t>
      </w:r>
    </w:p>
    <w:p w14:paraId="37F256FF">
      <w:pPr>
        <w:pStyle w:val="5"/>
        <w:jc w:val="both"/>
        <w:rPr>
          <w:rFonts w:hint="default" w:ascii="Times New Roman" w:hAnsi="Times New Roman" w:cs="Times New Roman"/>
          <w:lang w:eastAsia="zh-CN"/>
        </w:rPr>
      </w:pPr>
      <w:r>
        <w:rPr>
          <w:rFonts w:hint="default" w:ascii="Times New Roman" w:hAnsi="Times New Roman" w:cs="Times New Roman"/>
          <w:lang w:eastAsia="zh-CN"/>
        </w:rPr>
        <w:t>5.6 绿化浇灌要求</w:t>
      </w:r>
    </w:p>
    <w:p w14:paraId="5E9D1F32">
      <w:pPr>
        <w:ind w:firstLine="420"/>
        <w:jc w:val="both"/>
        <w:rPr>
          <w:rFonts w:hint="default" w:ascii="Times New Roman" w:hAnsi="Times New Roman" w:cs="Times New Roman"/>
          <w:lang w:eastAsia="zh-CN"/>
        </w:rPr>
      </w:pPr>
      <w:r>
        <w:rPr>
          <w:rFonts w:hint="default" w:ascii="Times New Roman" w:hAnsi="Times New Roman" w:cs="Times New Roman"/>
          <w:lang w:eastAsia="zh-CN"/>
        </w:rPr>
        <w:t>道路绿地宜配备灌溉系统，保证旱季绿地内海绵设施植物的正常生长。</w:t>
      </w:r>
    </w:p>
    <w:p w14:paraId="5DD92077">
      <w:pPr>
        <w:pStyle w:val="5"/>
        <w:jc w:val="both"/>
        <w:rPr>
          <w:rFonts w:hint="default" w:ascii="Times New Roman" w:hAnsi="Times New Roman" w:cs="Times New Roman"/>
          <w:lang w:eastAsia="zh-CN"/>
        </w:rPr>
      </w:pPr>
      <w:r>
        <w:rPr>
          <w:rFonts w:hint="default" w:ascii="Times New Roman" w:hAnsi="Times New Roman" w:cs="Times New Roman"/>
          <w:lang w:eastAsia="zh-CN"/>
        </w:rPr>
        <w:t>5.7 植被保护要求</w:t>
      </w:r>
    </w:p>
    <w:p w14:paraId="19C8A377">
      <w:pPr>
        <w:ind w:firstLine="420"/>
        <w:jc w:val="both"/>
        <w:rPr>
          <w:rFonts w:hint="default" w:ascii="Times New Roman" w:hAnsi="Times New Roman" w:cs="Times New Roman"/>
          <w:lang w:eastAsia="zh-CN"/>
        </w:rPr>
      </w:pPr>
      <w:r>
        <w:rPr>
          <w:rFonts w:hint="default" w:ascii="Times New Roman" w:hAnsi="Times New Roman" w:cs="Times New Roman"/>
          <w:lang w:eastAsia="zh-CN"/>
        </w:rPr>
        <w:t>乔木支撑形式应根据海绵设施的土壤、地形及乔木规格等情况设置。在设施宽度较大的情况下可采用四脚支撑；在设施宽度较小的情况下宜采用三脚支撑或其他支撑方式；在土壤松软区域，乔木支撑应加固处理；支撑材料宜采用杉木支撑。</w:t>
      </w:r>
    </w:p>
    <w:p w14:paraId="0A2B3C69">
      <w:pPr>
        <w:rPr>
          <w:rFonts w:hint="default" w:ascii="Times New Roman" w:hAnsi="Times New Roman" w:cs="Times New Roman"/>
          <w:lang w:eastAsia="zh-CN"/>
        </w:rPr>
      </w:pPr>
      <w:r>
        <w:rPr>
          <w:rFonts w:hint="default" w:ascii="Times New Roman" w:hAnsi="Times New Roman" w:cs="Times New Roman"/>
          <w:lang w:eastAsia="zh-CN"/>
        </w:rPr>
        <w:br w:type="page"/>
      </w:r>
    </w:p>
    <w:p w14:paraId="084B3B0B">
      <w:pPr>
        <w:pStyle w:val="3"/>
        <w:jc w:val="center"/>
        <w:rPr>
          <w:rFonts w:hint="default" w:ascii="Times New Roman" w:hAnsi="Times New Roman" w:cs="Times New Roman"/>
          <w:lang w:eastAsia="zh-CN"/>
        </w:rPr>
      </w:pPr>
      <w:bookmarkStart w:id="15" w:name="_Toc134459175"/>
      <w:r>
        <w:rPr>
          <w:rFonts w:hint="default" w:ascii="Times New Roman" w:hAnsi="Times New Roman" w:cs="Times New Roman"/>
          <w:lang w:eastAsia="zh-CN"/>
        </w:rPr>
        <w:t>6 公园绿地设计</w:t>
      </w:r>
      <w:bookmarkEnd w:id="15"/>
    </w:p>
    <w:p w14:paraId="6409FDA0">
      <w:pPr>
        <w:pStyle w:val="5"/>
        <w:jc w:val="both"/>
        <w:rPr>
          <w:rFonts w:hint="default" w:ascii="Times New Roman" w:hAnsi="Times New Roman" w:cs="Times New Roman"/>
          <w:lang w:eastAsia="zh-CN"/>
        </w:rPr>
      </w:pPr>
      <w:r>
        <w:rPr>
          <w:rFonts w:hint="default" w:ascii="Times New Roman" w:hAnsi="Times New Roman" w:cs="Times New Roman"/>
          <w:lang w:eastAsia="zh-CN"/>
        </w:rPr>
        <w:t>6.1 基本要求</w:t>
      </w:r>
    </w:p>
    <w:p w14:paraId="79794B74">
      <w:pPr>
        <w:ind w:firstLine="420"/>
        <w:jc w:val="both"/>
        <w:rPr>
          <w:rFonts w:hint="default" w:ascii="Times New Roman" w:hAnsi="Times New Roman" w:cs="Times New Roman"/>
          <w:lang w:eastAsia="zh-CN"/>
        </w:rPr>
      </w:pPr>
      <w:r>
        <w:rPr>
          <w:rFonts w:hint="default" w:ascii="Times New Roman" w:hAnsi="Times New Roman" w:cs="Times New Roman"/>
          <w:lang w:eastAsia="zh-CN"/>
        </w:rPr>
        <w:t>公园绿地应满足自身的生态功能、景观功能及游憩功能。海绵设施设计应符合《公园设计规范》（</w:t>
      </w:r>
      <w:r>
        <w:rPr>
          <w:rFonts w:hint="default" w:ascii="Times New Roman" w:hAnsi="Times New Roman" w:eastAsia="Times New Roman" w:cs="Times New Roman"/>
          <w:lang w:eastAsia="zh-CN"/>
        </w:rPr>
        <w:t>GB</w:t>
      </w:r>
      <w:r>
        <w:rPr>
          <w:rFonts w:hint="default" w:ascii="Times New Roman" w:hAnsi="Times New Roman" w:eastAsia="Times New Roman" w:cs="Times New Roman"/>
          <w:spacing w:val="-3"/>
          <w:lang w:eastAsia="zh-CN"/>
        </w:rPr>
        <w:t>51192</w:t>
      </w:r>
      <w:r>
        <w:rPr>
          <w:rFonts w:hint="default" w:ascii="Times New Roman" w:hAnsi="Times New Roman" w:cs="Times New Roman"/>
          <w:spacing w:val="-3"/>
          <w:lang w:eastAsia="zh-CN"/>
        </w:rPr>
        <w:t xml:space="preserve">）的规定， </w:t>
      </w:r>
      <w:r>
        <w:rPr>
          <w:rFonts w:hint="default" w:ascii="Times New Roman" w:hAnsi="Times New Roman" w:cs="Times New Roman"/>
          <w:lang w:eastAsia="zh-CN"/>
        </w:rPr>
        <w:t>同时满足海绵城市建设目标要求。</w:t>
      </w:r>
    </w:p>
    <w:p w14:paraId="0EAE397E">
      <w:pPr>
        <w:pStyle w:val="5"/>
        <w:jc w:val="both"/>
        <w:rPr>
          <w:rFonts w:hint="default" w:ascii="Times New Roman" w:hAnsi="Times New Roman" w:cs="Times New Roman"/>
          <w:lang w:eastAsia="zh-CN"/>
        </w:rPr>
      </w:pPr>
      <w:r>
        <w:rPr>
          <w:rFonts w:hint="default" w:ascii="Times New Roman" w:hAnsi="Times New Roman" w:cs="Times New Roman"/>
          <w:lang w:eastAsia="zh-CN"/>
        </w:rPr>
        <w:t>6.2 指标要求</w:t>
      </w:r>
    </w:p>
    <w:p w14:paraId="1FE4BFCC">
      <w:pPr>
        <w:ind w:firstLine="408"/>
        <w:jc w:val="both"/>
        <w:rPr>
          <w:rFonts w:hint="default" w:ascii="Times New Roman" w:hAnsi="Times New Roman" w:cs="Times New Roman"/>
          <w:lang w:eastAsia="zh-CN"/>
        </w:rPr>
      </w:pPr>
      <w:r>
        <w:rPr>
          <w:rFonts w:hint="default" w:ascii="Times New Roman" w:hAnsi="Times New Roman" w:cs="Times New Roman"/>
          <w:spacing w:val="-6"/>
          <w:lang w:eastAsia="zh-CN"/>
        </w:rPr>
        <w:t>公园绿地年径流总量控制率不宜低于</w:t>
      </w:r>
      <w:r>
        <w:rPr>
          <w:rFonts w:hint="default" w:ascii="Times New Roman" w:hAnsi="Times New Roman" w:cs="Times New Roman" w:eastAsiaTheme="minorEastAsia"/>
          <w:lang w:eastAsia="zh-CN"/>
        </w:rPr>
        <w:t>70</w:t>
      </w:r>
      <w:r>
        <w:rPr>
          <w:rFonts w:hint="default" w:ascii="Times New Roman" w:hAnsi="Times New Roman" w:eastAsia="Times New Roman" w:cs="Times New Roman"/>
          <w:lang w:eastAsia="zh-CN"/>
        </w:rPr>
        <w:t>%</w:t>
      </w:r>
      <w:r>
        <w:rPr>
          <w:rFonts w:hint="default" w:ascii="Times New Roman" w:hAnsi="Times New Roman" w:cs="Times New Roman"/>
          <w:spacing w:val="-2"/>
          <w:lang w:eastAsia="zh-CN"/>
        </w:rPr>
        <w:t>。在满足地形等基</w:t>
      </w:r>
      <w:r>
        <w:rPr>
          <w:rFonts w:hint="default" w:ascii="Times New Roman" w:hAnsi="Times New Roman" w:cs="Times New Roman"/>
          <w:lang w:eastAsia="zh-CN"/>
        </w:rPr>
        <w:t>址条件的前提下，协助消纳周边区域雨水径流。</w:t>
      </w:r>
    </w:p>
    <w:p w14:paraId="4CE035F0">
      <w:pPr>
        <w:pStyle w:val="5"/>
        <w:jc w:val="both"/>
        <w:rPr>
          <w:rFonts w:hint="default" w:ascii="Times New Roman" w:hAnsi="Times New Roman" w:cs="Times New Roman"/>
          <w:lang w:eastAsia="zh-CN"/>
        </w:rPr>
      </w:pPr>
      <w:r>
        <w:rPr>
          <w:rFonts w:hint="default" w:ascii="Times New Roman" w:hAnsi="Times New Roman" w:cs="Times New Roman"/>
          <w:lang w:eastAsia="zh-CN"/>
        </w:rPr>
        <w:t>6.3 设计衔接</w:t>
      </w:r>
    </w:p>
    <w:p w14:paraId="25A1BB7B">
      <w:pPr>
        <w:ind w:firstLine="420"/>
        <w:jc w:val="both"/>
        <w:rPr>
          <w:rFonts w:hint="default" w:ascii="Times New Roman" w:hAnsi="Times New Roman" w:cs="Times New Roman"/>
          <w:lang w:eastAsia="zh-CN"/>
        </w:rPr>
      </w:pPr>
      <w:r>
        <w:rPr>
          <w:rFonts w:hint="default" w:ascii="Times New Roman" w:hAnsi="Times New Roman" w:cs="Times New Roman"/>
          <w:lang w:eastAsia="zh-CN"/>
        </w:rPr>
        <w:t>海绵设施的总体设计与布局应与公园的设计主题相吻合，在铺装、道路等主要产流源头设置植草沟、</w:t>
      </w:r>
      <w:r>
        <w:rPr>
          <w:rFonts w:hint="eastAsia" w:ascii="Times New Roman" w:hAnsi="Times New Roman" w:cs="Times New Roman"/>
          <w:lang w:eastAsia="zh-CN"/>
        </w:rPr>
        <w:t>下沉式绿地</w:t>
      </w:r>
      <w:r>
        <w:rPr>
          <w:rFonts w:hint="default" w:ascii="Times New Roman" w:hAnsi="Times New Roman" w:cs="Times New Roman"/>
          <w:lang w:eastAsia="zh-CN"/>
        </w:rPr>
        <w:t>、雨水花园等设施，并通过竖向设计或连通管与景观水体、城市雨水管渠系统、超标径流排放系统良好衔接。</w:t>
      </w:r>
    </w:p>
    <w:p w14:paraId="5732D391">
      <w:pPr>
        <w:ind w:firstLine="420"/>
        <w:jc w:val="both"/>
        <w:rPr>
          <w:rFonts w:hint="default" w:ascii="Times New Roman" w:hAnsi="Times New Roman" w:cs="Times New Roman"/>
          <w:lang w:eastAsia="zh-CN"/>
        </w:rPr>
      </w:pPr>
      <w:r>
        <w:rPr>
          <w:rFonts w:hint="default" w:ascii="Times New Roman" w:hAnsi="Times New Roman" w:cs="Times New Roman"/>
          <w:lang w:eastAsia="zh-CN"/>
        </w:rPr>
        <w:t>含景观水体的公园绿地应结合现状地形地貌进行设计，保护并合理利用原有的湿地、坑塘、沟渠等设施提高水体自净能力，有条件的可结合人工土壤渗滤等辅助设施对水体进行循环净化。同时可利用净化后的雨水作为景观补水和绿化用水，并进行相应的水量平衡计算。不含景观水体的公园绿地宜根据地势、空间布局等具体条件进行合理建设或改造。</w:t>
      </w:r>
    </w:p>
    <w:p w14:paraId="21566F8E">
      <w:pPr>
        <w:pStyle w:val="5"/>
        <w:jc w:val="both"/>
        <w:rPr>
          <w:rFonts w:hint="default" w:ascii="Times New Roman" w:hAnsi="Times New Roman" w:cs="Times New Roman"/>
          <w:lang w:eastAsia="zh-CN"/>
        </w:rPr>
      </w:pPr>
      <w:r>
        <w:rPr>
          <w:rFonts w:hint="default" w:ascii="Times New Roman" w:hAnsi="Times New Roman" w:cs="Times New Roman"/>
          <w:lang w:eastAsia="zh-CN"/>
        </w:rPr>
        <w:t>6.4 地下空间限制</w:t>
      </w:r>
    </w:p>
    <w:p w14:paraId="3AA2BEEF">
      <w:pPr>
        <w:ind w:firstLine="420"/>
        <w:jc w:val="both"/>
        <w:rPr>
          <w:rFonts w:hint="default" w:ascii="Times New Roman" w:hAnsi="Times New Roman" w:cs="Times New Roman"/>
          <w:lang w:eastAsia="zh-CN"/>
        </w:rPr>
      </w:pPr>
      <w:r>
        <w:rPr>
          <w:rFonts w:hint="default" w:ascii="Times New Roman" w:hAnsi="Times New Roman" w:cs="Times New Roman"/>
          <w:lang w:eastAsia="zh-CN"/>
        </w:rPr>
        <w:t>公园绿地应限制地下空间的过度开发，为雨水回补地下水提供渗透路径。公园绿地面积小于</w:t>
      </w:r>
      <w:r>
        <w:rPr>
          <w:rFonts w:hint="default" w:ascii="Times New Roman" w:hAnsi="Times New Roman" w:eastAsia="Times New Roman" w:cs="Times New Roman"/>
          <w:lang w:eastAsia="zh-CN"/>
        </w:rPr>
        <w:t>0.3</w:t>
      </w:r>
      <w:r>
        <w:rPr>
          <w:rFonts w:hint="default" w:ascii="Times New Roman" w:hAnsi="Times New Roman" w:cs="Times New Roman"/>
          <w:lang w:eastAsia="zh-CN"/>
        </w:rPr>
        <w:t xml:space="preserve">公顷（含 </w:t>
      </w:r>
      <w:r>
        <w:rPr>
          <w:rFonts w:hint="default" w:ascii="Times New Roman" w:hAnsi="Times New Roman" w:eastAsia="Times New Roman" w:cs="Times New Roman"/>
          <w:lang w:eastAsia="zh-CN"/>
        </w:rPr>
        <w:t>0.3</w:t>
      </w:r>
      <w:r>
        <w:rPr>
          <w:rFonts w:hint="default" w:ascii="Times New Roman" w:hAnsi="Times New Roman" w:cs="Times New Roman"/>
          <w:lang w:eastAsia="zh-CN"/>
        </w:rPr>
        <w:t>公顷）的，禁止地下空间开发；公园绿地面积大于</w:t>
      </w:r>
      <w:r>
        <w:rPr>
          <w:rFonts w:hint="default" w:ascii="Times New Roman" w:hAnsi="Times New Roman" w:eastAsia="Times New Roman" w:cs="Times New Roman"/>
          <w:lang w:eastAsia="zh-CN"/>
        </w:rPr>
        <w:t>0.3</w:t>
      </w:r>
      <w:r>
        <w:rPr>
          <w:rFonts w:hint="default" w:ascii="Times New Roman" w:hAnsi="Times New Roman" w:cs="Times New Roman"/>
          <w:lang w:eastAsia="zh-CN"/>
        </w:rPr>
        <w:t>公顷，小于</w:t>
      </w:r>
      <w:r>
        <w:rPr>
          <w:rFonts w:hint="default" w:ascii="Times New Roman" w:hAnsi="Times New Roman" w:eastAsia="Times New Roman" w:cs="Times New Roman"/>
          <w:lang w:eastAsia="zh-CN"/>
        </w:rPr>
        <w:t xml:space="preserve"> 2</w:t>
      </w:r>
      <w:r>
        <w:rPr>
          <w:rFonts w:hint="default" w:ascii="Times New Roman" w:hAnsi="Times New Roman" w:cs="Times New Roman"/>
          <w:lang w:eastAsia="zh-CN"/>
        </w:rPr>
        <w:t xml:space="preserve">公顷（含 </w:t>
      </w:r>
      <w:r>
        <w:rPr>
          <w:rFonts w:hint="default" w:ascii="Times New Roman" w:hAnsi="Times New Roman" w:eastAsia="Times New Roman" w:cs="Times New Roman"/>
          <w:lang w:eastAsia="zh-CN"/>
        </w:rPr>
        <w:t>2</w:t>
      </w:r>
      <w:r>
        <w:rPr>
          <w:rFonts w:hint="default" w:ascii="Times New Roman" w:hAnsi="Times New Roman" w:cs="Times New Roman"/>
          <w:lang w:eastAsia="zh-CN"/>
        </w:rPr>
        <w:t>公顷）的，可开发地下空间占地面积不得大于绿地总面积的</w:t>
      </w:r>
      <w:r>
        <w:rPr>
          <w:rFonts w:hint="default" w:ascii="Times New Roman" w:hAnsi="Times New Roman" w:eastAsia="Times New Roman" w:cs="Times New Roman"/>
          <w:lang w:eastAsia="zh-CN"/>
        </w:rPr>
        <w:t>75%；</w:t>
      </w:r>
      <w:r>
        <w:rPr>
          <w:rFonts w:hint="default" w:ascii="Times New Roman" w:hAnsi="Times New Roman" w:cs="Times New Roman"/>
          <w:lang w:eastAsia="zh-CN"/>
        </w:rPr>
        <w:t>公园绿地面积大于</w:t>
      </w:r>
      <w:r>
        <w:rPr>
          <w:rFonts w:hint="default" w:ascii="Times New Roman" w:hAnsi="Times New Roman" w:eastAsia="Times New Roman" w:cs="Times New Roman"/>
          <w:lang w:eastAsia="zh-CN"/>
        </w:rPr>
        <w:t xml:space="preserve"> 2</w:t>
      </w:r>
      <w:r>
        <w:rPr>
          <w:rFonts w:hint="default" w:ascii="Times New Roman" w:hAnsi="Times New Roman" w:cs="Times New Roman"/>
          <w:lang w:eastAsia="zh-CN"/>
        </w:rPr>
        <w:t>公顷，小于</w:t>
      </w:r>
      <w:r>
        <w:rPr>
          <w:rFonts w:hint="default" w:ascii="Times New Roman" w:hAnsi="Times New Roman" w:eastAsia="Times New Roman" w:cs="Times New Roman"/>
          <w:lang w:eastAsia="zh-CN"/>
        </w:rPr>
        <w:t>10</w:t>
      </w:r>
      <w:r>
        <w:rPr>
          <w:rFonts w:hint="default" w:ascii="Times New Roman" w:hAnsi="Times New Roman" w:cs="Times New Roman"/>
          <w:lang w:eastAsia="zh-CN"/>
        </w:rPr>
        <w:t>公顷（含</w:t>
      </w:r>
      <w:r>
        <w:rPr>
          <w:rFonts w:hint="default" w:ascii="Times New Roman" w:hAnsi="Times New Roman" w:eastAsia="Times New Roman" w:cs="Times New Roman"/>
          <w:lang w:eastAsia="zh-CN"/>
        </w:rPr>
        <w:t>10</w:t>
      </w:r>
      <w:r>
        <w:rPr>
          <w:rFonts w:hint="default" w:ascii="Times New Roman" w:hAnsi="Times New Roman" w:cs="Times New Roman"/>
          <w:lang w:eastAsia="zh-CN"/>
        </w:rPr>
        <w:t>公顷）的，可开发地下空间占地面积不得大于绿地总面积的</w:t>
      </w:r>
      <w:r>
        <w:rPr>
          <w:rFonts w:hint="default" w:ascii="Times New Roman" w:hAnsi="Times New Roman" w:eastAsia="Times New Roman" w:cs="Times New Roman"/>
          <w:lang w:eastAsia="zh-CN"/>
        </w:rPr>
        <w:t>50%；</w:t>
      </w:r>
      <w:r>
        <w:rPr>
          <w:rFonts w:hint="default" w:ascii="Times New Roman" w:hAnsi="Times New Roman" w:cs="Times New Roman"/>
          <w:lang w:eastAsia="zh-CN"/>
        </w:rPr>
        <w:t>公园绿地面积大于</w:t>
      </w:r>
      <w:r>
        <w:rPr>
          <w:rFonts w:hint="default" w:ascii="Times New Roman" w:hAnsi="Times New Roman" w:eastAsia="Times New Roman" w:cs="Times New Roman"/>
          <w:lang w:eastAsia="zh-CN"/>
        </w:rPr>
        <w:t>10</w:t>
      </w:r>
      <w:r>
        <w:rPr>
          <w:rFonts w:hint="default" w:ascii="Times New Roman" w:hAnsi="Times New Roman" w:cs="Times New Roman"/>
          <w:lang w:eastAsia="zh-CN"/>
        </w:rPr>
        <w:t>公顷 的，可开发地下空间占地面积不得大于绿地总面积的</w:t>
      </w:r>
      <w:r>
        <w:rPr>
          <w:rFonts w:hint="default" w:ascii="Times New Roman" w:hAnsi="Times New Roman" w:eastAsia="Times New Roman" w:cs="Times New Roman"/>
          <w:lang w:eastAsia="zh-CN"/>
        </w:rPr>
        <w:t>30%</w:t>
      </w:r>
      <w:r>
        <w:rPr>
          <w:rFonts w:hint="default" w:ascii="Times New Roman" w:hAnsi="Times New Roman" w:cs="Times New Roman"/>
          <w:lang w:eastAsia="zh-CN"/>
        </w:rPr>
        <w:t>。绿地地下空间开发应满足地面植被覆土需求，且最小覆土深度不得少于</w:t>
      </w:r>
      <w:r>
        <w:rPr>
          <w:rFonts w:hint="default" w:ascii="Times New Roman" w:hAnsi="Times New Roman" w:eastAsia="Times New Roman" w:cs="Times New Roman"/>
          <w:lang w:eastAsia="zh-CN"/>
        </w:rPr>
        <w:t>2m</w:t>
      </w:r>
      <w:r>
        <w:rPr>
          <w:rFonts w:hint="default" w:ascii="Times New Roman" w:hAnsi="Times New Roman" w:cs="Times New Roman"/>
          <w:lang w:eastAsia="zh-CN"/>
        </w:rPr>
        <w:t>。</w:t>
      </w:r>
    </w:p>
    <w:p w14:paraId="5D9AAC3A">
      <w:pPr>
        <w:pStyle w:val="5"/>
        <w:jc w:val="both"/>
        <w:rPr>
          <w:rFonts w:hint="default" w:ascii="Times New Roman" w:hAnsi="Times New Roman" w:cs="Times New Roman"/>
          <w:lang w:eastAsia="zh-CN"/>
        </w:rPr>
      </w:pPr>
      <w:r>
        <w:rPr>
          <w:rFonts w:hint="default" w:ascii="Times New Roman" w:hAnsi="Times New Roman" w:cs="Times New Roman"/>
          <w:lang w:eastAsia="zh-CN"/>
        </w:rPr>
        <w:t>6.5 植被选取</w:t>
      </w:r>
    </w:p>
    <w:p w14:paraId="686672C1">
      <w:pPr>
        <w:ind w:firstLine="420"/>
        <w:jc w:val="both"/>
        <w:rPr>
          <w:rFonts w:hint="default" w:ascii="Times New Roman" w:hAnsi="Times New Roman" w:cs="Times New Roman"/>
          <w:lang w:eastAsia="zh-CN"/>
        </w:rPr>
      </w:pPr>
      <w:r>
        <w:rPr>
          <w:rFonts w:hint="default" w:ascii="Times New Roman" w:hAnsi="Times New Roman" w:cs="Times New Roman"/>
          <w:lang w:eastAsia="zh-CN"/>
        </w:rPr>
        <w:t>公园绿地内海绵设施选用的植物应根据水分条件、径流水质条件选用耐涝、耐旱、耐污染、净化能力强的植物种类。</w:t>
      </w:r>
    </w:p>
    <w:p w14:paraId="4F08C6F9">
      <w:pPr>
        <w:ind w:firstLine="420"/>
        <w:jc w:val="both"/>
        <w:rPr>
          <w:rFonts w:hint="default" w:ascii="Times New Roman" w:hAnsi="Times New Roman" w:cs="Times New Roman"/>
          <w:lang w:eastAsia="zh-CN"/>
        </w:rPr>
      </w:pPr>
    </w:p>
    <w:p w14:paraId="20108094">
      <w:pPr>
        <w:pStyle w:val="3"/>
        <w:jc w:val="center"/>
        <w:rPr>
          <w:rFonts w:hint="default" w:ascii="Times New Roman" w:hAnsi="Times New Roman" w:cs="Times New Roman"/>
          <w:lang w:eastAsia="zh-CN"/>
        </w:rPr>
      </w:pPr>
      <w:bookmarkStart w:id="16" w:name="_Toc134459176"/>
      <w:r>
        <w:rPr>
          <w:rFonts w:hint="default" w:ascii="Times New Roman" w:hAnsi="Times New Roman" w:cs="Times New Roman"/>
          <w:lang w:eastAsia="zh-CN"/>
        </w:rPr>
        <w:t>7 其他绿地</w:t>
      </w:r>
      <w:bookmarkEnd w:id="16"/>
    </w:p>
    <w:p w14:paraId="11B47228">
      <w:pPr>
        <w:pStyle w:val="3"/>
        <w:jc w:val="both"/>
        <w:rPr>
          <w:rFonts w:hint="default" w:ascii="Times New Roman" w:hAnsi="Times New Roman" w:cs="Times New Roman"/>
          <w:lang w:eastAsia="zh-CN"/>
        </w:rPr>
      </w:pPr>
      <w:r>
        <w:rPr>
          <w:rFonts w:hint="eastAsia" w:ascii="Times New Roman" w:hAnsi="Times New Roman" w:eastAsia="宋体" w:cs="Times New Roman"/>
          <w:b/>
          <w:bCs/>
          <w:sz w:val="21"/>
          <w:szCs w:val="28"/>
          <w:lang w:val="en-US" w:eastAsia="zh-CN" w:bidi="ar-SA"/>
        </w:rPr>
        <w:t>7</w:t>
      </w:r>
      <w:r>
        <w:rPr>
          <w:rFonts w:hint="eastAsia" w:cs="Times New Roman"/>
          <w:b/>
          <w:bCs/>
          <w:sz w:val="21"/>
          <w:szCs w:val="28"/>
          <w:lang w:val="en-US" w:eastAsia="zh-CN" w:bidi="ar-SA"/>
        </w:rPr>
        <w:t xml:space="preserve">.1 </w:t>
      </w:r>
      <w:r>
        <w:rPr>
          <w:rFonts w:hint="eastAsia" w:ascii="Times New Roman" w:hAnsi="Times New Roman" w:eastAsia="宋体" w:cs="Times New Roman"/>
          <w:b/>
          <w:bCs/>
          <w:sz w:val="21"/>
          <w:szCs w:val="28"/>
          <w:lang w:val="en-US" w:eastAsia="zh-CN" w:bidi="ar-SA"/>
        </w:rPr>
        <w:t xml:space="preserve"> 广场用地附属绿地</w:t>
      </w:r>
      <w:r>
        <w:rPr>
          <w:rFonts w:hint="eastAsia" w:ascii="Times New Roman" w:hAnsi="Times New Roman" w:cs="Times New Roman"/>
          <w:lang w:val="en-US" w:eastAsia="zh-CN"/>
        </w:rPr>
        <w:t xml:space="preserve"> </w:t>
      </w:r>
    </w:p>
    <w:p w14:paraId="367ED01C">
      <w:pPr>
        <w:ind w:firstLine="0" w:firstLineChars="0"/>
        <w:jc w:val="both"/>
        <w:rPr>
          <w:rFonts w:hint="default" w:ascii="Times New Roman" w:hAnsi="Times New Roman" w:cs="Times New Roman"/>
          <w:lang w:eastAsia="zh-CN"/>
        </w:rPr>
      </w:pPr>
      <w:r>
        <w:rPr>
          <w:rFonts w:hint="eastAsia" w:ascii="Times New Roman" w:hAnsi="Times New Roman" w:cs="Times New Roman"/>
          <w:lang w:val="en-US" w:eastAsia="zh-CN"/>
        </w:rPr>
        <w:t xml:space="preserve">7.1.1. 广场内收集的雨水经处理后可用于旱喷用水和市政杂用。为保证用水水质，应设置净化设施，使旱喷用水满足《生活饮用水卫生标准》GB5749的要求；市政杂用水满足《城市污水再生利用 城市杂用水水质标准》GB/T18920的要求；或经简易沉淀后回用于广场内及周边的绿地灌溉。 </w:t>
      </w:r>
    </w:p>
    <w:p w14:paraId="4BADA68A">
      <w:pPr>
        <w:ind w:firstLine="0" w:firstLineChars="0"/>
        <w:jc w:val="both"/>
        <w:rPr>
          <w:rFonts w:hint="default" w:ascii="Times New Roman" w:hAnsi="Times New Roman" w:cs="Times New Roman"/>
          <w:lang w:eastAsia="zh-CN"/>
        </w:rPr>
      </w:pPr>
      <w:r>
        <w:rPr>
          <w:rFonts w:hint="eastAsia" w:ascii="Times New Roman" w:hAnsi="Times New Roman" w:cs="Times New Roman"/>
          <w:lang w:val="en-US" w:eastAsia="zh-CN"/>
        </w:rPr>
        <w:t xml:space="preserve">7.1.2. 广场附属绿地中设置的湿塘、雨水湿地等大型低影响开发设施应在进水口应该设置有效的防冲刷、预处理设施。且应建设警示标识和预警系统，保证暴雨期间人员的安全撤离，避免事故的发生。 </w:t>
      </w:r>
    </w:p>
    <w:p w14:paraId="4A8F5155">
      <w:pPr>
        <w:ind w:firstLine="0" w:firstLineChars="0"/>
        <w:jc w:val="both"/>
        <w:rPr>
          <w:rFonts w:hint="default" w:ascii="Times New Roman" w:hAnsi="Times New Roman" w:cs="Times New Roman"/>
          <w:lang w:eastAsia="zh-CN"/>
        </w:rPr>
      </w:pPr>
      <w:r>
        <w:rPr>
          <w:rFonts w:hint="eastAsia" w:ascii="Times New Roman" w:hAnsi="Times New Roman" w:cs="Times New Roman"/>
          <w:lang w:val="en-US" w:eastAsia="zh-CN"/>
        </w:rPr>
        <w:t xml:space="preserve">7.1.3. 应考虑雨天广场游人安全，在下沉式绿地、雨水花园、下沉广场空间和地下蓄水池等雨水设施内设置溢流排放设施，使超过设计降雨量的雨水溢流排至城市市政雨水管网。 </w:t>
      </w:r>
    </w:p>
    <w:p w14:paraId="7DB82375">
      <w:pPr>
        <w:ind w:firstLine="0" w:firstLineChars="0"/>
        <w:jc w:val="both"/>
        <w:rPr>
          <w:rFonts w:hint="default" w:ascii="Times New Roman" w:hAnsi="Times New Roman" w:cs="Times New Roman"/>
          <w:lang w:val="en-US" w:eastAsia="zh-CN"/>
        </w:rPr>
      </w:pPr>
      <w:r>
        <w:rPr>
          <w:rFonts w:hint="eastAsia" w:ascii="Times New Roman" w:hAnsi="Times New Roman" w:cs="Times New Roman"/>
          <w:lang w:val="en-US" w:eastAsia="zh-CN"/>
        </w:rPr>
        <w:t>7.1.4. 停车场雨水水质较差，雨水汇入绿地前应做初期弃流处理。停车场周边绿地内宜采用生物滞留带净化雨水。</w:t>
      </w:r>
    </w:p>
    <w:p w14:paraId="05B415D4">
      <w:pPr>
        <w:pStyle w:val="5"/>
        <w:jc w:val="both"/>
        <w:rPr>
          <w:rFonts w:hint="default" w:ascii="Times New Roman" w:hAnsi="Times New Roman" w:cs="Times New Roman"/>
          <w:lang w:eastAsia="zh-CN"/>
        </w:rPr>
      </w:pPr>
      <w:r>
        <w:rPr>
          <w:rFonts w:hint="default" w:ascii="Times New Roman" w:hAnsi="Times New Roman" w:cs="Times New Roman"/>
          <w:lang w:eastAsia="zh-CN"/>
        </w:rPr>
        <w:t>7.</w:t>
      </w:r>
      <w:r>
        <w:rPr>
          <w:rFonts w:hint="eastAsia" w:ascii="Times New Roman" w:hAnsi="Times New Roman" w:cs="Times New Roman"/>
          <w:lang w:val="en-US" w:eastAsia="zh-CN"/>
        </w:rPr>
        <w:t>2</w:t>
      </w:r>
      <w:r>
        <w:rPr>
          <w:rFonts w:hint="default" w:ascii="Times New Roman" w:hAnsi="Times New Roman" w:cs="Times New Roman"/>
          <w:lang w:eastAsia="zh-CN"/>
        </w:rPr>
        <w:t xml:space="preserve"> 防护绿地</w:t>
      </w:r>
    </w:p>
    <w:p w14:paraId="5E6A7F51">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7.</w:t>
      </w:r>
      <w:r>
        <w:rPr>
          <w:rFonts w:hint="eastAsia" w:ascii="Times New Roman" w:hAnsi="Times New Roman" w:cs="Times New Roman"/>
          <w:lang w:val="en-US" w:eastAsia="zh-CN"/>
        </w:rPr>
        <w:t>2</w:t>
      </w:r>
      <w:r>
        <w:rPr>
          <w:rFonts w:hint="default" w:ascii="Times New Roman" w:hAnsi="Times New Roman" w:cs="Times New Roman"/>
          <w:lang w:val="en-US" w:eastAsia="zh-CN"/>
        </w:rPr>
        <w:t>.1</w:t>
      </w:r>
      <w:r>
        <w:rPr>
          <w:rFonts w:hint="default" w:ascii="Times New Roman" w:hAnsi="Times New Roman" w:cs="Times New Roman"/>
          <w:lang w:eastAsia="zh-CN"/>
        </w:rPr>
        <w:t>防护绿地应首先满足自身的防护功能要求，绿地海绵设施设计应符合《城市绿地设计规范》（</w:t>
      </w:r>
      <w:r>
        <w:rPr>
          <w:rFonts w:hint="default" w:ascii="Times New Roman" w:hAnsi="Times New Roman" w:eastAsia="Times New Roman" w:cs="Times New Roman"/>
          <w:lang w:eastAsia="zh-CN"/>
        </w:rPr>
        <w:t>GB 50420</w:t>
      </w:r>
      <w:r>
        <w:rPr>
          <w:rFonts w:hint="default" w:ascii="Times New Roman" w:hAnsi="Times New Roman" w:cs="Times New Roman"/>
          <w:lang w:eastAsia="zh-CN"/>
        </w:rPr>
        <w:t>）和《福建省城市绿地建设导则》中的相关规定。</w:t>
      </w:r>
    </w:p>
    <w:p w14:paraId="7D985657">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7.</w:t>
      </w:r>
      <w:r>
        <w:rPr>
          <w:rFonts w:hint="eastAsia" w:ascii="Times New Roman" w:hAnsi="Times New Roman" w:cs="Times New Roman"/>
          <w:lang w:val="en-US" w:eastAsia="zh-CN"/>
        </w:rPr>
        <w:t>2</w:t>
      </w:r>
      <w:r>
        <w:rPr>
          <w:rFonts w:hint="default" w:ascii="Times New Roman" w:hAnsi="Times New Roman" w:cs="Times New Roman"/>
          <w:lang w:val="en-US" w:eastAsia="zh-CN"/>
        </w:rPr>
        <w:t>.2</w:t>
      </w:r>
      <w:r>
        <w:rPr>
          <w:rFonts w:hint="default" w:ascii="Times New Roman" w:hAnsi="Times New Roman" w:cs="Times New Roman"/>
          <w:lang w:eastAsia="zh-CN"/>
        </w:rPr>
        <w:t>城市防护绿地内的海绵设施可在满足消纳自身雨水径流外承担相邻区域的雨水径流。</w:t>
      </w:r>
    </w:p>
    <w:p w14:paraId="5B3D4B57">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7.</w:t>
      </w:r>
      <w:r>
        <w:rPr>
          <w:rFonts w:hint="eastAsia" w:ascii="Times New Roman" w:hAnsi="Times New Roman" w:cs="Times New Roman"/>
          <w:lang w:val="en-US" w:eastAsia="zh-CN"/>
        </w:rPr>
        <w:t>3</w:t>
      </w:r>
      <w:r>
        <w:rPr>
          <w:rFonts w:hint="default" w:ascii="Times New Roman" w:hAnsi="Times New Roman" w:cs="Times New Roman"/>
          <w:lang w:val="en-US" w:eastAsia="zh-CN"/>
        </w:rPr>
        <w:t>.3</w:t>
      </w:r>
      <w:r>
        <w:rPr>
          <w:rFonts w:hint="default" w:ascii="Times New Roman" w:hAnsi="Times New Roman" w:cs="Times New Roman"/>
          <w:lang w:eastAsia="zh-CN"/>
        </w:rPr>
        <w:t>城市防护绿地宜结合其带状分布特征，将其作为超标径流雨水的行泄通道，并与上下游超标雨水径流排放系统及城市河道合理衔接。</w:t>
      </w:r>
    </w:p>
    <w:p w14:paraId="31BD3EE1">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7.</w:t>
      </w:r>
      <w:r>
        <w:rPr>
          <w:rFonts w:hint="eastAsia" w:ascii="Times New Roman" w:hAnsi="Times New Roman" w:cs="Times New Roman"/>
          <w:lang w:val="en-US" w:eastAsia="zh-CN"/>
        </w:rPr>
        <w:t>4</w:t>
      </w:r>
      <w:r>
        <w:rPr>
          <w:rFonts w:hint="default" w:ascii="Times New Roman" w:hAnsi="Times New Roman" w:cs="Times New Roman"/>
          <w:lang w:val="en-US" w:eastAsia="zh-CN"/>
        </w:rPr>
        <w:t>.4</w:t>
      </w:r>
      <w:r>
        <w:rPr>
          <w:rFonts w:hint="default" w:ascii="Times New Roman" w:hAnsi="Times New Roman" w:cs="Times New Roman"/>
          <w:lang w:eastAsia="zh-CN"/>
        </w:rPr>
        <w:t>城市道路防护绿地宜结合空间条件和区域排水防涝目标需求，合理处理其与周边城市用地和道路的高程关系，设置适宜的海绵设施，以便消纳雨水径流。</w:t>
      </w:r>
    </w:p>
    <w:p w14:paraId="4B1D9794">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7.</w:t>
      </w:r>
      <w:r>
        <w:rPr>
          <w:rFonts w:hint="eastAsia" w:ascii="Times New Roman" w:hAnsi="Times New Roman" w:cs="Times New Roman"/>
          <w:lang w:val="en-US" w:eastAsia="zh-CN"/>
        </w:rPr>
        <w:t>4</w:t>
      </w:r>
      <w:r>
        <w:rPr>
          <w:rFonts w:hint="default" w:ascii="Times New Roman" w:hAnsi="Times New Roman" w:cs="Times New Roman"/>
          <w:lang w:val="en-US" w:eastAsia="zh-CN"/>
        </w:rPr>
        <w:t>.5</w:t>
      </w:r>
      <w:r>
        <w:rPr>
          <w:rFonts w:hint="default" w:ascii="Times New Roman" w:hAnsi="Times New Roman" w:cs="Times New Roman"/>
          <w:lang w:eastAsia="zh-CN"/>
        </w:rPr>
        <w:t>城市卫生隔离绿带、城市高压走廊绿带等城市防护绿地，应根据空间条件设置雨水调蓄、下渗等设施，并利用地形设置雨水传输设施，最大限度消纳自身及相邻区域雨水径流。</w:t>
      </w:r>
    </w:p>
    <w:p w14:paraId="473313E8">
      <w:pPr>
        <w:pStyle w:val="5"/>
        <w:jc w:val="both"/>
        <w:rPr>
          <w:rFonts w:hint="default" w:ascii="Times New Roman" w:hAnsi="Times New Roman" w:cs="Times New Roman"/>
          <w:lang w:eastAsia="zh-CN"/>
        </w:rPr>
      </w:pPr>
      <w:r>
        <w:rPr>
          <w:rFonts w:hint="default" w:ascii="Times New Roman" w:hAnsi="Times New Roman" w:cs="Times New Roman"/>
          <w:lang w:eastAsia="zh-CN"/>
        </w:rPr>
        <w:t>7.</w:t>
      </w:r>
      <w:r>
        <w:rPr>
          <w:rFonts w:hint="eastAsia" w:ascii="Times New Roman" w:hAnsi="Times New Roman" w:cs="Times New Roman"/>
          <w:lang w:val="en-US" w:eastAsia="zh-CN"/>
        </w:rPr>
        <w:t>3</w:t>
      </w:r>
      <w:r>
        <w:rPr>
          <w:rFonts w:hint="default" w:ascii="Times New Roman" w:hAnsi="Times New Roman" w:cs="Times New Roman"/>
          <w:lang w:eastAsia="zh-CN"/>
        </w:rPr>
        <w:t xml:space="preserve"> 山体绿地</w:t>
      </w:r>
    </w:p>
    <w:p w14:paraId="13F888FA">
      <w:pPr>
        <w:ind w:firstLine="420"/>
        <w:jc w:val="both"/>
        <w:rPr>
          <w:rFonts w:hint="default" w:ascii="Times New Roman" w:hAnsi="Times New Roman" w:cs="Times New Roman"/>
          <w:lang w:eastAsia="zh-CN"/>
        </w:rPr>
      </w:pPr>
      <w:r>
        <w:rPr>
          <w:rFonts w:hint="default" w:ascii="Times New Roman" w:hAnsi="Times New Roman" w:cs="Times New Roman"/>
          <w:lang w:eastAsia="zh-CN"/>
        </w:rPr>
        <w:t>山体绿地海绵城市设计应保护山体原有自然资源及物种多样性，注重山体地质安全，避免大挖大填、水土流失、土层松散； 同时还应符合其他现行相关标准规定。山体绿地应结合山体地形地貌设置海绵设施。在坡度较大区域宜采用阶梯绿地、微地形、植被缓冲带等方式，增强对雨水径流的滞纳能力。</w:t>
      </w:r>
    </w:p>
    <w:p w14:paraId="5B76AF00">
      <w:pPr>
        <w:pStyle w:val="5"/>
        <w:jc w:val="both"/>
        <w:rPr>
          <w:rFonts w:hint="default" w:ascii="Times New Roman" w:hAnsi="Times New Roman" w:cs="Times New Roman"/>
          <w:lang w:eastAsia="zh-CN"/>
        </w:rPr>
      </w:pPr>
      <w:r>
        <w:rPr>
          <w:rFonts w:hint="default" w:ascii="Times New Roman" w:hAnsi="Times New Roman" w:cs="Times New Roman"/>
          <w:lang w:eastAsia="zh-CN"/>
        </w:rPr>
        <w:t>7.</w:t>
      </w:r>
      <w:r>
        <w:rPr>
          <w:rFonts w:hint="eastAsia" w:ascii="Times New Roman" w:hAnsi="Times New Roman" w:cs="Times New Roman"/>
          <w:lang w:val="en-US" w:eastAsia="zh-CN"/>
        </w:rPr>
        <w:t>4</w:t>
      </w:r>
      <w:r>
        <w:rPr>
          <w:rFonts w:hint="default" w:ascii="Times New Roman" w:hAnsi="Times New Roman" w:cs="Times New Roman"/>
          <w:lang w:eastAsia="zh-CN"/>
        </w:rPr>
        <w:t xml:space="preserve"> 特殊区域绿地</w:t>
      </w:r>
    </w:p>
    <w:p w14:paraId="7B4A8068">
      <w:pPr>
        <w:ind w:firstLine="420"/>
        <w:jc w:val="both"/>
        <w:rPr>
          <w:rFonts w:hint="default" w:ascii="Times New Roman" w:hAnsi="Times New Roman" w:cs="Times New Roman"/>
          <w:lang w:eastAsia="zh-CN"/>
        </w:rPr>
      </w:pPr>
      <w:r>
        <w:rPr>
          <w:rFonts w:hint="default" w:ascii="Times New Roman" w:hAnsi="Times New Roman" w:cs="Times New Roman"/>
          <w:lang w:eastAsia="zh-CN"/>
        </w:rPr>
        <w:t>有特殊污染的城市绿地（如化工厂、传染病医院、油库、加油站、污水处理厂等附属绿地以及垃圾填埋场恢复绿地等其它绿地），不应采用雨水下渗减排的方式。如需建设雨水综合利用设施，应开展专题论证和环境影响评价，避免对地下水、周边水体造成污染。对安全要求较高场所（如幼儿园、儿童游乐区、运动场所周边等）的绿地应在保证人群活动安全的情况下设置海绵设施。</w:t>
      </w:r>
      <w:bookmarkStart w:id="17" w:name="_TOC_250003"/>
      <w:bookmarkEnd w:id="17"/>
    </w:p>
    <w:p w14:paraId="54DC34DD">
      <w:pPr>
        <w:rPr>
          <w:rFonts w:hint="default" w:ascii="Times New Roman" w:hAnsi="Times New Roman" w:cs="Times New Roman"/>
          <w:lang w:eastAsia="zh-CN"/>
        </w:rPr>
      </w:pPr>
      <w:r>
        <w:rPr>
          <w:rFonts w:hint="default" w:ascii="Times New Roman" w:hAnsi="Times New Roman" w:cs="Times New Roman"/>
          <w:lang w:eastAsia="zh-CN"/>
        </w:rPr>
        <w:br w:type="page"/>
      </w:r>
    </w:p>
    <w:p w14:paraId="28780343">
      <w:pPr>
        <w:pStyle w:val="3"/>
        <w:jc w:val="center"/>
        <w:rPr>
          <w:rFonts w:hint="default" w:ascii="Times New Roman" w:hAnsi="Times New Roman" w:cs="Times New Roman"/>
          <w:lang w:eastAsia="zh-CN"/>
        </w:rPr>
      </w:pPr>
      <w:bookmarkStart w:id="18" w:name="_Toc134459177"/>
      <w:r>
        <w:rPr>
          <w:rFonts w:hint="default" w:ascii="Times New Roman" w:hAnsi="Times New Roman" w:cs="Times New Roman"/>
          <w:lang w:eastAsia="zh-CN"/>
        </w:rPr>
        <w:t>8 主要技术措施</w:t>
      </w:r>
      <w:bookmarkEnd w:id="18"/>
    </w:p>
    <w:p w14:paraId="05511C28">
      <w:pPr>
        <w:ind w:left="0" w:leftChars="0" w:firstLine="0" w:firstLineChars="0"/>
        <w:jc w:val="both"/>
        <w:rPr>
          <w:rFonts w:hint="eastAsia" w:ascii="Times New Roman" w:hAnsi="Times New Roman" w:cs="Times New Roman"/>
          <w:b/>
          <w:bCs/>
          <w:lang w:val="en-US" w:eastAsia="zh-CN"/>
        </w:rPr>
      </w:pPr>
      <w:r>
        <w:rPr>
          <w:rFonts w:hint="default" w:ascii="Times New Roman" w:hAnsi="Times New Roman" w:cs="Times New Roman"/>
          <w:b/>
          <w:bCs/>
          <w:lang w:eastAsia="zh-CN"/>
        </w:rPr>
        <w:t>8.</w:t>
      </w:r>
      <w:r>
        <w:rPr>
          <w:rFonts w:hint="eastAsia" w:ascii="Times New Roman" w:hAnsi="Times New Roman" w:cs="Times New Roman"/>
          <w:b/>
          <w:bCs/>
          <w:lang w:val="en-US" w:eastAsia="zh-CN"/>
        </w:rPr>
        <w:t>0 海绵设施比选</w:t>
      </w:r>
    </w:p>
    <w:p w14:paraId="61D86444">
      <w:pPr>
        <w:ind w:left="0" w:leftChars="0" w:firstLine="420" w:firstLineChars="200"/>
        <w:jc w:val="both"/>
        <w:rPr>
          <w:rFonts w:hint="default" w:ascii="Times New Roman" w:hAnsi="Times New Roman" w:cs="Times New Roman"/>
          <w:lang w:eastAsia="zh-CN"/>
        </w:rPr>
      </w:pPr>
      <w:r>
        <w:rPr>
          <w:rFonts w:hint="default" w:ascii="Times New Roman" w:hAnsi="Times New Roman" w:cs="Times New Roman"/>
          <w:lang w:eastAsia="zh-CN"/>
        </w:rPr>
        <w:t>海绵城市绿地海绵设施的选择应结合建设区域的水文地质条件、水资源特点、场地内部与周边竖向关系及土地利用布局等条件，根据当地海绵城市相关规划的控制目标，结合汇水分区特征和设施的主要功能、经济性、适用性、景观效果等因素选择效益最优的单项设施及其组合系统。海绵设施比选如表</w:t>
      </w:r>
      <w:r>
        <w:rPr>
          <w:rFonts w:hint="default" w:ascii="Times New Roman" w:hAnsi="Times New Roman" w:eastAsia="Times New Roman" w:cs="Times New Roman"/>
          <w:lang w:eastAsia="zh-CN"/>
        </w:rPr>
        <w:t>8.1</w:t>
      </w:r>
      <w:r>
        <w:rPr>
          <w:rFonts w:hint="default" w:ascii="Times New Roman" w:hAnsi="Times New Roman" w:cs="Times New Roman"/>
          <w:lang w:eastAsia="zh-CN"/>
        </w:rPr>
        <w:t xml:space="preserve"> 所示。</w:t>
      </w:r>
    </w:p>
    <w:p w14:paraId="1073FB02">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表8.1海绵设施比选表</w:t>
      </w:r>
    </w:p>
    <w:tbl>
      <w:tblPr>
        <w:tblStyle w:val="16"/>
        <w:tblW w:w="6000" w:type="dxa"/>
        <w:jc w:val="center"/>
        <w:tblCellSpacing w:w="11" w:type="dxa"/>
        <w:tblLayout w:type="fixed"/>
        <w:tblCellMar>
          <w:top w:w="0" w:type="dxa"/>
          <w:left w:w="108" w:type="dxa"/>
          <w:bottom w:w="0" w:type="dxa"/>
          <w:right w:w="108" w:type="dxa"/>
        </w:tblCellMar>
      </w:tblPr>
      <w:tblGrid>
        <w:gridCol w:w="852"/>
        <w:gridCol w:w="1789"/>
        <w:gridCol w:w="837"/>
        <w:gridCol w:w="828"/>
        <w:gridCol w:w="816"/>
        <w:gridCol w:w="878"/>
      </w:tblGrid>
      <w:tr w14:paraId="6C6F5B71">
        <w:tblPrEx>
          <w:tblCellMar>
            <w:top w:w="0" w:type="dxa"/>
            <w:left w:w="108" w:type="dxa"/>
            <w:bottom w:w="0" w:type="dxa"/>
            <w:right w:w="108" w:type="dxa"/>
          </w:tblCellMar>
        </w:tblPrEx>
        <w:trPr>
          <w:tblCellSpacing w:w="11" w:type="dxa"/>
          <w:jc w:val="center"/>
        </w:trPr>
        <w:tc>
          <w:tcPr>
            <w:tcW w:w="819" w:type="dxa"/>
            <w:vMerge w:val="restart"/>
            <w:tcBorders>
              <w:top w:val="single" w:color="auto" w:sz="12"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717436C1">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lang w:eastAsia="zh-CN"/>
              </w:rPr>
            </w:pPr>
            <w:r>
              <w:rPr>
                <w:rFonts w:hint="default" w:ascii="Times New Roman" w:hAnsi="Times New Roman" w:cs="Times New Roman"/>
                <w:sz w:val="18"/>
                <w:szCs w:val="18"/>
                <w:lang w:eastAsia="zh-CN"/>
              </w:rPr>
              <w:t>技术类型</w:t>
            </w:r>
          </w:p>
        </w:tc>
        <w:tc>
          <w:tcPr>
            <w:tcW w:w="1767" w:type="dxa"/>
            <w:vMerge w:val="restart"/>
            <w:tcBorders>
              <w:top w:val="single" w:color="auto" w:sz="12"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6F4150">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单项设施</w:t>
            </w:r>
          </w:p>
        </w:tc>
        <w:tc>
          <w:tcPr>
            <w:tcW w:w="3326" w:type="dxa"/>
            <w:gridSpan w:val="4"/>
            <w:tcBorders>
              <w:top w:val="single" w:color="auto" w:sz="12"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7EAE1B6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用地类型</w:t>
            </w:r>
          </w:p>
        </w:tc>
      </w:tr>
      <w:tr w14:paraId="47233C4B">
        <w:tblPrEx>
          <w:tblCellMar>
            <w:top w:w="0" w:type="dxa"/>
            <w:left w:w="108" w:type="dxa"/>
            <w:bottom w:w="0" w:type="dxa"/>
            <w:right w:w="108" w:type="dxa"/>
          </w:tblCellMar>
        </w:tblPrEx>
        <w:trPr>
          <w:trHeight w:val="1058" w:hRule="atLeast"/>
          <w:tblCellSpacing w:w="11" w:type="dxa"/>
          <w:jc w:val="center"/>
        </w:trPr>
        <w:tc>
          <w:tcPr>
            <w:tcW w:w="819" w:type="dxa"/>
            <w:vMerge w:val="continue"/>
            <w:tcBorders>
              <w:top w:val="single" w:color="auto" w:sz="12" w:space="0"/>
              <w:left w:val="single" w:color="auto" w:sz="12" w:space="0"/>
              <w:bottom w:val="single" w:color="000000" w:sz="4" w:space="0"/>
              <w:right w:val="single" w:color="000000" w:sz="4" w:space="0"/>
            </w:tcBorders>
            <w:vAlign w:val="center"/>
          </w:tcPr>
          <w:p w14:paraId="43EE7B6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vMerge w:val="continue"/>
            <w:tcBorders>
              <w:top w:val="single" w:color="auto" w:sz="12" w:space="0"/>
              <w:left w:val="single" w:color="000000" w:sz="4" w:space="0"/>
              <w:bottom w:val="single" w:color="000000" w:sz="4" w:space="0"/>
              <w:right w:val="single" w:color="000000" w:sz="4" w:space="0"/>
            </w:tcBorders>
            <w:vAlign w:val="center"/>
          </w:tcPr>
          <w:p w14:paraId="56CB20B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785B4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建筑与小区</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ECD0D6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道路与广场</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9C91F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公园与绿地</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67EF317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河湖水系</w:t>
            </w:r>
          </w:p>
        </w:tc>
      </w:tr>
      <w:tr w14:paraId="7E4E0CC1">
        <w:tblPrEx>
          <w:tblCellMar>
            <w:top w:w="0" w:type="dxa"/>
            <w:left w:w="108" w:type="dxa"/>
            <w:bottom w:w="0" w:type="dxa"/>
            <w:right w:w="108" w:type="dxa"/>
          </w:tblCellMar>
        </w:tblPrEx>
        <w:trPr>
          <w:trHeight w:val="170" w:hRule="atLeast"/>
          <w:tblCellSpacing w:w="11" w:type="dxa"/>
          <w:jc w:val="center"/>
        </w:trPr>
        <w:tc>
          <w:tcPr>
            <w:tcW w:w="819" w:type="dxa"/>
            <w:vMerge w:val="restart"/>
            <w:tcBorders>
              <w:top w:val="single" w:color="000000" w:sz="4"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23FD495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渗透技术</w:t>
            </w:r>
          </w:p>
          <w:p w14:paraId="566FCAB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EFD3A9">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透水砖铺装</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689DB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E3036E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9889A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152C5C2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6002D048">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357626E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E4E1F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透水基层</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42F24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C7961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777785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324927D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13A2FD9E">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67A631B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7A265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透水路基</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BE73D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1A2CE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BB51B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13A0EB0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5248C0B5">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25D7743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54437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透水水泥混凝土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CD354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DB60D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26CF3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3AF8996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712B0A29">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736CC6D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EC6D9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透水沥青混凝土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D6721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CE552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83D32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538F85D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6E78FDA3">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57A7B79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D3E46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绿化屋面</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187938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1F764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650CA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1E05077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52E29857">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6D200DA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596CB4D">
            <w:pPr>
              <w:keepNext w:val="0"/>
              <w:keepLines w:val="0"/>
              <w:suppressLineNumbers w:val="0"/>
              <w:spacing w:before="0" w:beforeAutospacing="0" w:after="0" w:afterAutospacing="0" w:line="260" w:lineRule="exact"/>
              <w:ind w:left="0" w:right="0" w:firstLine="0" w:firstLineChars="0"/>
              <w:jc w:val="center"/>
              <w:rPr>
                <w:rFonts w:hint="eastAsia" w:ascii="Times New Roman" w:hAnsi="Times New Roman" w:eastAsia="宋体" w:cs="Times New Roman"/>
                <w:kern w:val="2"/>
                <w:sz w:val="18"/>
                <w:szCs w:val="18"/>
                <w:lang w:eastAsia="zh-CN"/>
              </w:rPr>
            </w:pPr>
            <w:r>
              <w:rPr>
                <w:rFonts w:hint="eastAsia" w:ascii="Times New Roman" w:hAnsi="Times New Roman" w:cs="Times New Roman"/>
                <w:sz w:val="18"/>
                <w:szCs w:val="18"/>
                <w:lang w:eastAsia="zh-CN"/>
              </w:rPr>
              <w:t>下沉式绿地</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B2FD8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B690B1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65BD0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24C6276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38924491">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3C11CB8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A2E170">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简易型生物滞留设施</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603D4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70F3C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92D6B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7273D7B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529896E7">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04DA561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0F8A8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复杂性生物滞留设施</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960DC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A4C58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EA76C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5BDB91B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49D03D8D">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5DBA716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978D4E">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渗透塘</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9B3722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B5BC03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B5830B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5C87822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53E5B914">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62BE7A9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8A5000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渗井</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B4F929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9FCDD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70EF3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3806968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41B8F2BA">
        <w:tblPrEx>
          <w:tblCellMar>
            <w:top w:w="0" w:type="dxa"/>
            <w:left w:w="108" w:type="dxa"/>
            <w:bottom w:w="0" w:type="dxa"/>
            <w:right w:w="108" w:type="dxa"/>
          </w:tblCellMar>
        </w:tblPrEx>
        <w:trPr>
          <w:trHeight w:val="170" w:hRule="atLeast"/>
          <w:tblCellSpacing w:w="11" w:type="dxa"/>
          <w:jc w:val="center"/>
        </w:trPr>
        <w:tc>
          <w:tcPr>
            <w:tcW w:w="819" w:type="dxa"/>
            <w:vMerge w:val="restart"/>
            <w:tcBorders>
              <w:top w:val="single" w:color="000000" w:sz="4"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3CC481E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储存技术</w:t>
            </w: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88198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湿塘</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823F8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2593B2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683AE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2A1E31D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270B9D40">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7BC747F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BBEB3B0">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雨水湿地</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94984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81BDC1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1BD902D">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57001BD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180E7BB6">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3C4BD09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2CB95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蓄水池</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FDF790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F5006B1">
            <w:pPr>
              <w:keepNext w:val="0"/>
              <w:keepLines w:val="0"/>
              <w:suppressLineNumbers w:val="0"/>
              <w:spacing w:before="0" w:beforeAutospacing="0" w:after="0" w:afterAutospacing="0" w:line="260" w:lineRule="exact"/>
              <w:ind w:left="0" w:right="0" w:firstLine="351" w:firstLineChars="195"/>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A1B0FD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64FA2DC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197115BB">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277C460E">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5E2D8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雨水罐</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BCEF0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74F35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00904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1D0E1DD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7CDC1D92">
        <w:tblPrEx>
          <w:tblCellMar>
            <w:top w:w="0" w:type="dxa"/>
            <w:left w:w="108" w:type="dxa"/>
            <w:bottom w:w="0" w:type="dxa"/>
            <w:right w:w="108" w:type="dxa"/>
          </w:tblCellMar>
        </w:tblPrEx>
        <w:trPr>
          <w:trHeight w:val="170" w:hRule="atLeast"/>
          <w:tblCellSpacing w:w="11" w:type="dxa"/>
          <w:jc w:val="center"/>
        </w:trPr>
        <w:tc>
          <w:tcPr>
            <w:tcW w:w="819" w:type="dxa"/>
            <w:vMerge w:val="restart"/>
            <w:tcBorders>
              <w:top w:val="single" w:color="000000" w:sz="4"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4D78730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调节技术</w:t>
            </w: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71DDA6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调节塘</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A7195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1399A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695DF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09AC873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03169775">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260216E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71E8C7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调节池</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BCEDE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91ADF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5BE3F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6A34B13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220023BF">
        <w:tblPrEx>
          <w:tblCellMar>
            <w:top w:w="0" w:type="dxa"/>
            <w:left w:w="108" w:type="dxa"/>
            <w:bottom w:w="0" w:type="dxa"/>
            <w:right w:w="108" w:type="dxa"/>
          </w:tblCellMar>
        </w:tblPrEx>
        <w:trPr>
          <w:trHeight w:val="170" w:hRule="atLeast"/>
          <w:tblCellSpacing w:w="11" w:type="dxa"/>
          <w:jc w:val="center"/>
        </w:trPr>
        <w:tc>
          <w:tcPr>
            <w:tcW w:w="819" w:type="dxa"/>
            <w:vMerge w:val="restart"/>
            <w:tcBorders>
              <w:top w:val="single" w:color="000000" w:sz="4"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40A42F1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转输技术</w:t>
            </w: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D9B1B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转输型植草沟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B2B26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129347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FB62B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3DD2BFFA">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5F6CEDA5">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08A0EE9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BCBFB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干式植草沟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6E7D7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4F845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4C68FC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02DC555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338D2F90">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19E1B9C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C7393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湿式植草沟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1306D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19AD3A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FCF74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0D719D5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09E349B8">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77E06FB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999800">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lang w:eastAsia="zh-CN"/>
              </w:rPr>
            </w:pPr>
            <w:r>
              <w:rPr>
                <w:rFonts w:hint="default" w:ascii="Times New Roman" w:hAnsi="Times New Roman" w:cs="Times New Roman"/>
                <w:sz w:val="18"/>
                <w:szCs w:val="18"/>
                <w:lang w:eastAsia="zh-CN"/>
              </w:rPr>
              <w:t>半有压屋面雨水收集系统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98EF9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88819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01B6335">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6233900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1F5E866F">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7589CD9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328B99">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lang w:eastAsia="zh-CN"/>
              </w:rPr>
            </w:pPr>
            <w:r>
              <w:rPr>
                <w:rFonts w:hint="default" w:ascii="Times New Roman" w:hAnsi="Times New Roman" w:cs="Times New Roman"/>
                <w:sz w:val="18"/>
                <w:szCs w:val="18"/>
                <w:lang w:eastAsia="zh-CN"/>
              </w:rPr>
              <w:t>虹吸（压力）式屋面雨水收集系统</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493F82">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034A9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F8C3B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23C56DB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3503A86A">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108672B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5FFE59">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屋面集水沟与溢流口</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984AC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B19B953">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13A47F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248B9A0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110E9CE0">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5F156B4F">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3DFFB4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渗透管渠</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67008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2F5E8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63C5F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06F93BCC">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652269D0">
        <w:tblPrEx>
          <w:tblCellMar>
            <w:top w:w="0" w:type="dxa"/>
            <w:left w:w="108" w:type="dxa"/>
            <w:bottom w:w="0" w:type="dxa"/>
            <w:right w:w="108" w:type="dxa"/>
          </w:tblCellMar>
        </w:tblPrEx>
        <w:trPr>
          <w:trHeight w:val="170" w:hRule="atLeast"/>
          <w:tblCellSpacing w:w="11" w:type="dxa"/>
          <w:jc w:val="center"/>
        </w:trPr>
        <w:tc>
          <w:tcPr>
            <w:tcW w:w="819" w:type="dxa"/>
            <w:vMerge w:val="restart"/>
            <w:tcBorders>
              <w:top w:val="single" w:color="000000" w:sz="4" w:space="0"/>
              <w:left w:val="single" w:color="auto" w:sz="12" w:space="0"/>
              <w:bottom w:val="single" w:color="000000" w:sz="4" w:space="0"/>
              <w:right w:val="single" w:color="000000" w:sz="4" w:space="0"/>
            </w:tcBorders>
            <w:tcMar>
              <w:top w:w="0" w:type="dxa"/>
              <w:left w:w="0" w:type="dxa"/>
              <w:bottom w:w="0" w:type="dxa"/>
              <w:right w:w="0" w:type="dxa"/>
            </w:tcMar>
            <w:vAlign w:val="center"/>
          </w:tcPr>
          <w:p w14:paraId="3861984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截污净化技术</w:t>
            </w: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407F5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植被缓冲带</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09594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A6F7759">
            <w:pPr>
              <w:keepNext w:val="0"/>
              <w:keepLines w:val="0"/>
              <w:suppressLineNumbers w:val="0"/>
              <w:spacing w:before="0" w:beforeAutospacing="0" w:after="0" w:afterAutospacing="0" w:line="260" w:lineRule="exact"/>
              <w:ind w:left="0" w:right="0" w:firstLine="351" w:firstLineChars="195"/>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F2820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0EC9AE6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3C923E13">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5A197331">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D70953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初期雨水弃流设施</w:t>
            </w:r>
          </w:p>
        </w:tc>
        <w:tc>
          <w:tcPr>
            <w:tcW w:w="8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0E7CA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DDA2AB">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C8DF04">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000000" w:sz="4" w:space="0"/>
              <w:right w:val="single" w:color="auto" w:sz="12" w:space="0"/>
            </w:tcBorders>
            <w:tcMar>
              <w:top w:w="0" w:type="dxa"/>
              <w:left w:w="0" w:type="dxa"/>
              <w:bottom w:w="0" w:type="dxa"/>
              <w:right w:w="0" w:type="dxa"/>
            </w:tcMar>
            <w:vAlign w:val="center"/>
          </w:tcPr>
          <w:p w14:paraId="6556A369">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r w14:paraId="0211BCA1">
        <w:tblPrEx>
          <w:tblCellMar>
            <w:top w:w="0" w:type="dxa"/>
            <w:left w:w="108" w:type="dxa"/>
            <w:bottom w:w="0" w:type="dxa"/>
            <w:right w:w="108" w:type="dxa"/>
          </w:tblCellMar>
        </w:tblPrEx>
        <w:trPr>
          <w:trHeight w:val="170" w:hRule="atLeast"/>
          <w:tblCellSpacing w:w="11" w:type="dxa"/>
          <w:jc w:val="center"/>
        </w:trPr>
        <w:tc>
          <w:tcPr>
            <w:tcW w:w="819" w:type="dxa"/>
            <w:vMerge w:val="continue"/>
            <w:tcBorders>
              <w:top w:val="single" w:color="000000" w:sz="4" w:space="0"/>
              <w:left w:val="single" w:color="auto" w:sz="12" w:space="0"/>
              <w:bottom w:val="single" w:color="000000" w:sz="4" w:space="0"/>
              <w:right w:val="single" w:color="000000" w:sz="4" w:space="0"/>
            </w:tcBorders>
            <w:vAlign w:val="center"/>
          </w:tcPr>
          <w:p w14:paraId="538D2FC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p>
        </w:tc>
        <w:tc>
          <w:tcPr>
            <w:tcW w:w="1767" w:type="dxa"/>
            <w:tcBorders>
              <w:top w:val="single" w:color="000000" w:sz="4" w:space="0"/>
              <w:left w:val="single" w:color="000000" w:sz="4" w:space="0"/>
              <w:bottom w:val="single" w:color="auto" w:sz="12" w:space="0"/>
              <w:right w:val="single" w:color="000000" w:sz="4" w:space="0"/>
            </w:tcBorders>
            <w:tcMar>
              <w:top w:w="0" w:type="dxa"/>
              <w:left w:w="0" w:type="dxa"/>
              <w:bottom w:w="0" w:type="dxa"/>
              <w:right w:w="0" w:type="dxa"/>
            </w:tcMar>
            <w:vAlign w:val="center"/>
          </w:tcPr>
          <w:p w14:paraId="6461B4F2">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cs="Times New Roman"/>
                <w:kern w:val="2"/>
                <w:sz w:val="18"/>
                <w:szCs w:val="18"/>
              </w:rPr>
            </w:pPr>
            <w:r>
              <w:rPr>
                <w:rFonts w:hint="default" w:ascii="Times New Roman" w:hAnsi="Times New Roman" w:cs="Times New Roman"/>
                <w:sz w:val="18"/>
                <w:szCs w:val="18"/>
              </w:rPr>
              <w:t>人工土壤渗透</w:t>
            </w:r>
          </w:p>
        </w:tc>
        <w:tc>
          <w:tcPr>
            <w:tcW w:w="815" w:type="dxa"/>
            <w:tcBorders>
              <w:top w:val="single" w:color="000000" w:sz="4" w:space="0"/>
              <w:left w:val="single" w:color="000000" w:sz="4" w:space="0"/>
              <w:bottom w:val="single" w:color="auto" w:sz="12" w:space="0"/>
              <w:right w:val="single" w:color="000000" w:sz="4" w:space="0"/>
            </w:tcBorders>
            <w:tcMar>
              <w:top w:w="0" w:type="dxa"/>
              <w:left w:w="0" w:type="dxa"/>
              <w:bottom w:w="0" w:type="dxa"/>
              <w:right w:w="0" w:type="dxa"/>
            </w:tcMar>
            <w:vAlign w:val="center"/>
          </w:tcPr>
          <w:p w14:paraId="6867AFB8">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06" w:type="dxa"/>
            <w:tcBorders>
              <w:top w:val="single" w:color="000000" w:sz="4" w:space="0"/>
              <w:left w:val="single" w:color="000000" w:sz="4" w:space="0"/>
              <w:bottom w:val="single" w:color="auto" w:sz="12" w:space="0"/>
              <w:right w:val="single" w:color="000000" w:sz="4" w:space="0"/>
            </w:tcBorders>
            <w:tcMar>
              <w:top w:w="0" w:type="dxa"/>
              <w:left w:w="0" w:type="dxa"/>
              <w:bottom w:w="0" w:type="dxa"/>
              <w:right w:w="0" w:type="dxa"/>
            </w:tcMar>
            <w:vAlign w:val="center"/>
          </w:tcPr>
          <w:p w14:paraId="3EA4EE37">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794" w:type="dxa"/>
            <w:tcBorders>
              <w:top w:val="single" w:color="000000" w:sz="4" w:space="0"/>
              <w:left w:val="single" w:color="000000" w:sz="4" w:space="0"/>
              <w:bottom w:val="single" w:color="auto" w:sz="12" w:space="0"/>
              <w:right w:val="single" w:color="000000" w:sz="4" w:space="0"/>
            </w:tcBorders>
            <w:tcMar>
              <w:top w:w="0" w:type="dxa"/>
              <w:left w:w="0" w:type="dxa"/>
              <w:bottom w:w="0" w:type="dxa"/>
              <w:right w:w="0" w:type="dxa"/>
            </w:tcMar>
            <w:vAlign w:val="center"/>
          </w:tcPr>
          <w:p w14:paraId="7AE13CC0">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c>
          <w:tcPr>
            <w:tcW w:w="845" w:type="dxa"/>
            <w:tcBorders>
              <w:top w:val="single" w:color="000000" w:sz="4" w:space="0"/>
              <w:left w:val="single" w:color="000000" w:sz="4" w:space="0"/>
              <w:bottom w:val="single" w:color="auto" w:sz="12" w:space="0"/>
              <w:right w:val="single" w:color="auto" w:sz="12" w:space="0"/>
            </w:tcBorders>
            <w:tcMar>
              <w:top w:w="0" w:type="dxa"/>
              <w:left w:w="0" w:type="dxa"/>
              <w:bottom w:w="0" w:type="dxa"/>
              <w:right w:w="0" w:type="dxa"/>
            </w:tcMar>
            <w:vAlign w:val="center"/>
          </w:tcPr>
          <w:p w14:paraId="2C9A1F16">
            <w:pPr>
              <w:keepNext w:val="0"/>
              <w:keepLines w:val="0"/>
              <w:suppressLineNumbers w:val="0"/>
              <w:spacing w:before="0" w:beforeAutospacing="0" w:after="0" w:afterAutospacing="0" w:line="260" w:lineRule="exact"/>
              <w:ind w:left="0" w:right="0" w:firstLine="360"/>
              <w:jc w:val="center"/>
              <w:rPr>
                <w:rFonts w:hint="default" w:ascii="Times New Roman" w:hAnsi="Times New Roman" w:cs="Times New Roman"/>
                <w:kern w:val="2"/>
                <w:sz w:val="18"/>
                <w:szCs w:val="18"/>
              </w:rPr>
            </w:pPr>
            <w:r>
              <w:rPr>
                <w:rFonts w:hint="default" w:ascii="Times New Roman" w:hAnsi="Times New Roman" w:cs="Times New Roman"/>
                <w:sz w:val="18"/>
                <w:szCs w:val="18"/>
              </w:rPr>
              <w:t>◎</w:t>
            </w:r>
          </w:p>
        </w:tc>
      </w:tr>
    </w:tbl>
    <w:p w14:paraId="3E8E55A3">
      <w:pPr>
        <w:pStyle w:val="8"/>
        <w:spacing w:before="120"/>
        <w:ind w:left="108" w:firstLine="198" w:firstLineChars="0"/>
        <w:jc w:val="both"/>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注：●─宜选用   ◎─可选用  ○─不宜选用；</w:t>
      </w:r>
    </w:p>
    <w:p w14:paraId="3D1D6C92">
      <w:pPr>
        <w:pStyle w:val="5"/>
        <w:jc w:val="both"/>
        <w:rPr>
          <w:rFonts w:hint="default" w:ascii="Times New Roman" w:hAnsi="Times New Roman" w:cs="Times New Roman"/>
          <w:lang w:eastAsia="zh-CN"/>
        </w:rPr>
      </w:pPr>
      <w:r>
        <w:rPr>
          <w:rFonts w:hint="default" w:ascii="Times New Roman" w:hAnsi="Times New Roman" w:cs="Times New Roman"/>
          <w:lang w:eastAsia="zh-CN"/>
        </w:rPr>
        <w:t xml:space="preserve">8.1 </w:t>
      </w:r>
      <w:r>
        <w:rPr>
          <w:rFonts w:hint="eastAsia" w:ascii="Times New Roman" w:hAnsi="Times New Roman" w:cs="Times New Roman"/>
          <w:lang w:eastAsia="zh-CN"/>
        </w:rPr>
        <w:t>下沉式绿地</w:t>
      </w:r>
    </w:p>
    <w:p w14:paraId="261E7215">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8.1.1</w:t>
      </w:r>
      <w:r>
        <w:rPr>
          <w:rFonts w:hint="eastAsia" w:ascii="Times New Roman" w:hAnsi="Times New Roman" w:cs="Times New Roman"/>
          <w:lang w:eastAsia="zh-CN"/>
        </w:rPr>
        <w:t>下沉式绿地</w:t>
      </w:r>
      <w:r>
        <w:rPr>
          <w:rFonts w:hint="default" w:ascii="Times New Roman" w:hAnsi="Times New Roman" w:cs="Times New Roman"/>
          <w:lang w:eastAsia="zh-CN"/>
        </w:rPr>
        <w:t>的布局应与雨水管网建设、竖向设计密切结合。下凹深度应根据建设目标等因素确定，宜为</w:t>
      </w:r>
      <w:r>
        <w:rPr>
          <w:rFonts w:hint="default" w:ascii="Times New Roman" w:hAnsi="Times New Roman" w:eastAsia="Times New Roman" w:cs="Times New Roman"/>
          <w:lang w:eastAsia="zh-CN"/>
        </w:rPr>
        <w:t>100</w:t>
      </w:r>
      <w:r>
        <w:rPr>
          <w:rFonts w:hint="default" w:ascii="Times New Roman" w:hAnsi="Times New Roman" w:eastAsia="Times New Roman" w:cs="Times New Roman"/>
          <w:lang w:val="en-US" w:eastAsia="zh-CN"/>
        </w:rPr>
        <w:t>mm-</w:t>
      </w:r>
      <w:r>
        <w:rPr>
          <w:rFonts w:hint="default" w:ascii="Times New Roman" w:hAnsi="Times New Roman" w:eastAsia="Times New Roman" w:cs="Times New Roman"/>
          <w:lang w:eastAsia="zh-CN"/>
        </w:rPr>
        <w:t>200mm，</w:t>
      </w:r>
      <w:r>
        <w:rPr>
          <w:rFonts w:hint="default" w:ascii="Times New Roman" w:hAnsi="Times New Roman" w:cs="Times New Roman"/>
          <w:lang w:eastAsia="zh-CN"/>
        </w:rPr>
        <w:t xml:space="preserve">有效水深宜为 </w:t>
      </w:r>
      <w:r>
        <w:rPr>
          <w:rFonts w:hint="default" w:ascii="Times New Roman" w:hAnsi="Times New Roman" w:eastAsia="Times New Roman" w:cs="Times New Roman"/>
          <w:lang w:eastAsia="zh-CN"/>
        </w:rPr>
        <w:t>50mm</w:t>
      </w:r>
      <w:r>
        <w:rPr>
          <w:rFonts w:hint="default" w:ascii="Times New Roman" w:hAnsi="Times New Roman" w:eastAsia="Times New Roman" w:cs="Times New Roman"/>
          <w:lang w:val="en-US" w:eastAsia="zh-CN"/>
        </w:rPr>
        <w:t>-</w:t>
      </w:r>
      <w:r>
        <w:rPr>
          <w:rFonts w:hint="default" w:ascii="Times New Roman" w:hAnsi="Times New Roman" w:eastAsia="Times New Roman" w:cs="Times New Roman"/>
          <w:lang w:eastAsia="zh-CN"/>
        </w:rPr>
        <w:t>150mm。</w:t>
      </w:r>
    </w:p>
    <w:p w14:paraId="4B72C53F">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8.1.2</w:t>
      </w:r>
      <w:r>
        <w:rPr>
          <w:rFonts w:hint="default" w:ascii="Times New Roman" w:hAnsi="Times New Roman" w:cs="Times New Roman"/>
          <w:lang w:eastAsia="zh-CN"/>
        </w:rPr>
        <w:t>周边雨水宜分散进入</w:t>
      </w:r>
      <w:r>
        <w:rPr>
          <w:rFonts w:hint="eastAsia" w:ascii="Times New Roman" w:hAnsi="Times New Roman" w:cs="Times New Roman"/>
          <w:lang w:eastAsia="zh-CN"/>
        </w:rPr>
        <w:t>下沉式绿地</w:t>
      </w:r>
      <w:r>
        <w:rPr>
          <w:rFonts w:hint="default" w:ascii="Times New Roman" w:hAnsi="Times New Roman" w:cs="Times New Roman"/>
          <w:lang w:eastAsia="zh-CN"/>
        </w:rPr>
        <w:t>，当集中进入时应在入口处设置缓冲设施。</w:t>
      </w:r>
    </w:p>
    <w:p w14:paraId="27885A6B">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8.1.3</w:t>
      </w:r>
      <w:r>
        <w:rPr>
          <w:rFonts w:hint="eastAsia" w:ascii="Times New Roman" w:hAnsi="Times New Roman" w:cs="Times New Roman"/>
          <w:lang w:eastAsia="zh-CN"/>
        </w:rPr>
        <w:t>下沉式绿地</w:t>
      </w:r>
      <w:r>
        <w:rPr>
          <w:rFonts w:hint="default" w:ascii="Times New Roman" w:hAnsi="Times New Roman" w:cs="Times New Roman"/>
          <w:lang w:eastAsia="zh-CN"/>
        </w:rPr>
        <w:t>溢流口高程应满足有效水深要求且低于路面高程。</w:t>
      </w:r>
    </w:p>
    <w:p w14:paraId="7EB400BA">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8.1.4</w:t>
      </w:r>
      <w:r>
        <w:rPr>
          <w:rFonts w:hint="eastAsia" w:ascii="Times New Roman" w:hAnsi="Times New Roman" w:cs="Times New Roman"/>
          <w:lang w:eastAsia="zh-CN"/>
        </w:rPr>
        <w:t>下沉式绿地</w:t>
      </w:r>
      <w:r>
        <w:rPr>
          <w:rFonts w:hint="default" w:ascii="Times New Roman" w:hAnsi="Times New Roman" w:cs="Times New Roman"/>
          <w:lang w:eastAsia="zh-CN"/>
        </w:rPr>
        <w:t>宜选择耐旱、净化能力强、可受短期水淹的植物种类。</w:t>
      </w:r>
    </w:p>
    <w:p w14:paraId="293C7FCA">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3668395" cy="1576705"/>
            <wp:effectExtent l="0" t="0" r="8255" b="444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7170" cy="1584736"/>
                    </a:xfrm>
                    <a:prstGeom prst="rect">
                      <a:avLst/>
                    </a:prstGeom>
                  </pic:spPr>
                </pic:pic>
              </a:graphicData>
            </a:graphic>
          </wp:inline>
        </w:drawing>
      </w:r>
    </w:p>
    <w:p w14:paraId="6C777023">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 xml:space="preserve">图8.1 </w:t>
      </w:r>
      <w:r>
        <w:rPr>
          <w:rFonts w:hint="eastAsia" w:ascii="Times New Roman" w:hAnsi="Times New Roman" w:eastAsia="黑体" w:cs="Times New Roman"/>
          <w:b w:val="0"/>
          <w:bCs w:val="0"/>
          <w:sz w:val="18"/>
          <w:szCs w:val="18"/>
          <w:lang w:val="en-US" w:eastAsia="zh-CN" w:bidi="ar-SA"/>
        </w:rPr>
        <w:t>下沉式绿地</w:t>
      </w:r>
      <w:r>
        <w:rPr>
          <w:rFonts w:hint="default" w:ascii="Times New Roman" w:hAnsi="Times New Roman" w:eastAsia="黑体" w:cs="Times New Roman"/>
          <w:b w:val="0"/>
          <w:bCs w:val="0"/>
          <w:sz w:val="18"/>
          <w:szCs w:val="18"/>
          <w:lang w:val="en-US" w:eastAsia="zh-CN" w:bidi="ar-SA"/>
        </w:rPr>
        <w:t>示意图</w:t>
      </w:r>
    </w:p>
    <w:p w14:paraId="745A8FFF">
      <w:pPr>
        <w:pStyle w:val="5"/>
        <w:jc w:val="both"/>
        <w:rPr>
          <w:rFonts w:hint="default" w:ascii="Times New Roman" w:hAnsi="Times New Roman" w:cs="Times New Roman"/>
          <w:lang w:eastAsia="zh-CN"/>
        </w:rPr>
      </w:pPr>
      <w:r>
        <w:rPr>
          <w:rFonts w:hint="default" w:ascii="Times New Roman" w:hAnsi="Times New Roman" w:cs="Times New Roman"/>
          <w:lang w:eastAsia="zh-CN"/>
        </w:rPr>
        <w:t>8.2 植草沟</w:t>
      </w:r>
    </w:p>
    <w:p w14:paraId="4C6074B8">
      <w:pPr>
        <w:ind w:left="0" w:leftChars="0"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8.2.1</w:t>
      </w:r>
      <w:r>
        <w:rPr>
          <w:rFonts w:hint="default" w:ascii="Times New Roman" w:hAnsi="Times New Roman" w:cs="Times New Roman"/>
          <w:lang w:eastAsia="zh-CN"/>
        </w:rPr>
        <w:t>植草沟可设计为转输型、干式和湿式三种类型。转输型植草沟主要用于转输雨水径流，对土壤渗透性要求较低；干式植草沟主要用于渗透、净化和转输雨水；湿式植草沟主要用于滞蓄和净化雨水。</w:t>
      </w:r>
    </w:p>
    <w:p w14:paraId="4A8FB338">
      <w:pPr>
        <w:ind w:left="0" w:leftChars="0"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8.2.2</w:t>
      </w:r>
      <w:r>
        <w:rPr>
          <w:rFonts w:hint="default" w:ascii="Times New Roman" w:hAnsi="Times New Roman" w:cs="Times New Roman"/>
          <w:lang w:eastAsia="zh-CN"/>
        </w:rPr>
        <w:t>植草沟种植土壤厚度宜为</w:t>
      </w:r>
      <w:r>
        <w:rPr>
          <w:rFonts w:hint="default" w:ascii="Times New Roman" w:hAnsi="Times New Roman" w:eastAsia="Times New Roman" w:cs="Times New Roman"/>
          <w:lang w:eastAsia="zh-CN"/>
        </w:rPr>
        <w:t>200</w:t>
      </w:r>
      <w:r>
        <w:rPr>
          <w:rFonts w:hint="default" w:ascii="Times New Roman" w:hAnsi="Times New Roman" w:eastAsia="Times New Roman" w:cs="Times New Roman"/>
          <w:lang w:val="en-US" w:eastAsia="zh-CN"/>
        </w:rPr>
        <w:t>-</w:t>
      </w:r>
      <w:r>
        <w:rPr>
          <w:rFonts w:hint="default" w:ascii="Times New Roman" w:hAnsi="Times New Roman" w:eastAsia="Times New Roman" w:cs="Times New Roman"/>
          <w:lang w:eastAsia="zh-CN"/>
        </w:rPr>
        <w:t>300mm；</w:t>
      </w:r>
      <w:r>
        <w:rPr>
          <w:rFonts w:hint="default" w:ascii="Times New Roman" w:hAnsi="Times New Roman" w:cs="Times New Roman"/>
          <w:lang w:eastAsia="zh-CN"/>
        </w:rPr>
        <w:t>植草沟断面形式宜采用倒抛物线形、三角形或梯形；植草沟的边坡坡度不宜大于</w:t>
      </w:r>
      <w:r>
        <w:rPr>
          <w:rFonts w:hint="default" w:ascii="Times New Roman" w:hAnsi="Times New Roman" w:eastAsia="Times New Roman" w:cs="Times New Roman"/>
          <w:lang w:eastAsia="zh-CN"/>
        </w:rPr>
        <w:t>1:3，</w:t>
      </w:r>
      <w:r>
        <w:rPr>
          <w:rFonts w:hint="default" w:ascii="Times New Roman" w:hAnsi="Times New Roman" w:cs="Times New Roman"/>
          <w:lang w:eastAsia="zh-CN"/>
        </w:rPr>
        <w:t>纵坡不应大于</w:t>
      </w:r>
      <w:r>
        <w:rPr>
          <w:rFonts w:hint="default" w:ascii="Times New Roman" w:hAnsi="Times New Roman" w:eastAsia="Times New Roman" w:cs="Times New Roman"/>
          <w:lang w:eastAsia="zh-CN"/>
        </w:rPr>
        <w:t xml:space="preserve"> 4%；</w:t>
      </w:r>
      <w:r>
        <w:rPr>
          <w:rFonts w:hint="default" w:ascii="Times New Roman" w:hAnsi="Times New Roman" w:cs="Times New Roman"/>
          <w:lang w:eastAsia="zh-CN"/>
        </w:rPr>
        <w:t>纵坡较大时宜设置为阶梯状或在中途设置消能台坎。</w:t>
      </w:r>
    </w:p>
    <w:p w14:paraId="0FE5E6DF">
      <w:pPr>
        <w:ind w:left="0" w:leftChars="0"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8.2.3</w:t>
      </w:r>
      <w:r>
        <w:rPr>
          <w:rFonts w:hint="default" w:ascii="Times New Roman" w:hAnsi="Times New Roman" w:cs="Times New Roman"/>
          <w:lang w:eastAsia="zh-CN"/>
        </w:rPr>
        <w:t>植草沟植物应优先选择根系发达而叶茎短小、适宜密植的草本植物，高度宜控制在</w:t>
      </w:r>
      <w:r>
        <w:rPr>
          <w:rFonts w:hint="default" w:ascii="Times New Roman" w:hAnsi="Times New Roman" w:eastAsia="Times New Roman" w:cs="Times New Roman"/>
          <w:lang w:eastAsia="zh-CN"/>
        </w:rPr>
        <w:t>100</w:t>
      </w:r>
      <w:r>
        <w:rPr>
          <w:rFonts w:hint="default" w:ascii="Times New Roman" w:hAnsi="Times New Roman" w:eastAsia="Times New Roman" w:cs="Times New Roman"/>
          <w:lang w:val="en-US" w:eastAsia="zh-CN"/>
        </w:rPr>
        <w:t>-</w:t>
      </w:r>
      <w:r>
        <w:rPr>
          <w:rFonts w:hint="default" w:ascii="Times New Roman" w:hAnsi="Times New Roman" w:eastAsia="Times New Roman" w:cs="Times New Roman"/>
          <w:lang w:eastAsia="zh-CN"/>
        </w:rPr>
        <w:t>200mm，</w:t>
      </w:r>
      <w:r>
        <w:rPr>
          <w:rFonts w:hint="default" w:ascii="Times New Roman" w:hAnsi="Times New Roman" w:cs="Times New Roman"/>
          <w:lang w:eastAsia="zh-CN"/>
        </w:rPr>
        <w:t>以免影响过水效率；宜选择能耐短期水淹且有一定耐旱能力、抗污染能力，并能在薄砂和沉积物堆积的环境中生长的植物，有助于污染物的净化及土壤加固，防止水土流失，同时兼顾一定观赏性。</w:t>
      </w:r>
    </w:p>
    <w:p w14:paraId="1F75D46B">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3385185" cy="1866265"/>
            <wp:effectExtent l="0" t="0" r="5715" b="63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8" cstate="print">
                      <a:extLst>
                        <a:ext uri="{28A0092B-C50C-407E-A947-70E740481C1C}">
                          <a14:useLocalDpi xmlns:a14="http://schemas.microsoft.com/office/drawing/2010/main" val="0"/>
                        </a:ext>
                      </a:extLst>
                    </a:blip>
                    <a:srcRect l="22818" r="21439"/>
                    <a:stretch>
                      <a:fillRect/>
                    </a:stretch>
                  </pic:blipFill>
                  <pic:spPr>
                    <a:xfrm>
                      <a:off x="0" y="0"/>
                      <a:ext cx="3406155" cy="1877675"/>
                    </a:xfrm>
                    <a:prstGeom prst="rect">
                      <a:avLst/>
                    </a:prstGeom>
                    <a:ln>
                      <a:noFill/>
                    </a:ln>
                  </pic:spPr>
                </pic:pic>
              </a:graphicData>
            </a:graphic>
          </wp:inline>
        </w:drawing>
      </w:r>
    </w:p>
    <w:p w14:paraId="052DEC60">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图8.2  植草沟示意图</w:t>
      </w:r>
    </w:p>
    <w:p w14:paraId="77CEA50A">
      <w:pPr>
        <w:pStyle w:val="5"/>
        <w:jc w:val="both"/>
        <w:rPr>
          <w:rFonts w:hint="default" w:ascii="Times New Roman" w:hAnsi="Times New Roman" w:cs="Times New Roman"/>
          <w:lang w:eastAsia="zh-CN"/>
        </w:rPr>
      </w:pPr>
      <w:r>
        <w:rPr>
          <w:rFonts w:hint="default" w:ascii="Times New Roman" w:hAnsi="Times New Roman" w:cs="Times New Roman"/>
          <w:lang w:eastAsia="zh-CN"/>
        </w:rPr>
        <w:t>8.3 雨水花园</w:t>
      </w:r>
    </w:p>
    <w:p w14:paraId="2520D2A5">
      <w:pPr>
        <w:ind w:firstLine="420"/>
        <w:jc w:val="both"/>
        <w:rPr>
          <w:rFonts w:hint="default" w:ascii="Times New Roman" w:hAnsi="Times New Roman" w:cs="Times New Roman"/>
          <w:lang w:eastAsia="zh-CN"/>
        </w:rPr>
      </w:pPr>
      <w:r>
        <w:rPr>
          <w:rFonts w:hint="default" w:ascii="Times New Roman" w:hAnsi="Times New Roman" w:cs="Times New Roman"/>
          <w:lang w:eastAsia="zh-CN"/>
        </w:rPr>
        <w:t>雨水花园依据有无填料层分为净化型和调蓄型。地形开敞、径流量大的区域适用调蓄型雨水花园；硬质铺装密集、径流污染严重的区域适用净化型雨水花园；径流量较大、径流污染严重的区域 适用综合功能型雨水花园。</w:t>
      </w:r>
    </w:p>
    <w:p w14:paraId="110DFAD0">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3602990" cy="1577975"/>
            <wp:effectExtent l="0" t="0" r="16510" b="317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2990" cy="1577975"/>
                    </a:xfrm>
                    <a:prstGeom prst="rect">
                      <a:avLst/>
                    </a:prstGeom>
                  </pic:spPr>
                </pic:pic>
              </a:graphicData>
            </a:graphic>
          </wp:inline>
        </w:drawing>
      </w:r>
    </w:p>
    <w:p w14:paraId="5D67B639">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图8.3  雨水花园示意图</w:t>
      </w:r>
    </w:p>
    <w:p w14:paraId="2D40E17C">
      <w:pPr>
        <w:ind w:firstLine="420"/>
        <w:jc w:val="both"/>
        <w:rPr>
          <w:rFonts w:hint="default" w:ascii="Times New Roman" w:hAnsi="Times New Roman" w:cs="Times New Roman"/>
          <w:lang w:eastAsia="zh-CN"/>
        </w:rPr>
      </w:pPr>
      <w:r>
        <w:rPr>
          <w:rFonts w:hint="default" w:ascii="Times New Roman" w:hAnsi="Times New Roman" w:cs="Times New Roman"/>
          <w:lang w:eastAsia="zh-CN"/>
        </w:rPr>
        <w:t>雨水花园应结合总体景观设计及周边环境，避开地下管线设施，选择地势平坦、土壤排水良好的场地分散布置，规模不宜过大。</w:t>
      </w:r>
    </w:p>
    <w:p w14:paraId="29C00A43">
      <w:pPr>
        <w:ind w:firstLine="420"/>
        <w:jc w:val="both"/>
        <w:rPr>
          <w:rFonts w:hint="default" w:ascii="Times New Roman" w:hAnsi="Times New Roman" w:cs="Times New Roman"/>
          <w:lang w:eastAsia="zh-CN"/>
        </w:rPr>
      </w:pPr>
      <w:r>
        <w:rPr>
          <w:rFonts w:hint="default" w:ascii="Times New Roman" w:hAnsi="Times New Roman" w:cs="Times New Roman"/>
          <w:lang w:eastAsia="zh-CN"/>
        </w:rPr>
        <w:t>设置在径流污染严重、设施底部渗透面距离季节性最高地下水位或岩石层小于</w:t>
      </w:r>
      <w:r>
        <w:rPr>
          <w:rFonts w:hint="default" w:ascii="Times New Roman" w:hAnsi="Times New Roman" w:eastAsia="Times New Roman" w:cs="Times New Roman"/>
          <w:lang w:val="en-US" w:eastAsia="zh-CN"/>
        </w:rPr>
        <w:t>1m</w:t>
      </w:r>
      <w:r>
        <w:rPr>
          <w:rFonts w:hint="default" w:ascii="Times New Roman" w:hAnsi="Times New Roman" w:cs="Times New Roman"/>
          <w:lang w:eastAsia="zh-CN"/>
        </w:rPr>
        <w:t>及距离建筑物基础小于</w:t>
      </w:r>
      <w:r>
        <w:rPr>
          <w:rFonts w:hint="default" w:ascii="Times New Roman" w:hAnsi="Times New Roman" w:eastAsia="Times New Roman" w:cs="Times New Roman"/>
          <w:lang w:val="en-US" w:eastAsia="zh-CN"/>
        </w:rPr>
        <w:t>3m</w:t>
      </w:r>
      <w:r>
        <w:rPr>
          <w:rFonts w:hint="default" w:ascii="Times New Roman" w:hAnsi="Times New Roman" w:cs="Times New Roman"/>
          <w:lang w:eastAsia="zh-CN"/>
        </w:rPr>
        <w:t>（水平距离）区域的雨水花园，应采取必要的防渗措施。</w:t>
      </w:r>
    </w:p>
    <w:p w14:paraId="2C007CA7">
      <w:pPr>
        <w:ind w:firstLine="420"/>
        <w:jc w:val="both"/>
        <w:rPr>
          <w:rFonts w:hint="default" w:ascii="Times New Roman" w:hAnsi="Times New Roman" w:cs="Times New Roman"/>
          <w:lang w:eastAsia="zh-CN"/>
        </w:rPr>
      </w:pPr>
      <w:r>
        <w:rPr>
          <w:rFonts w:hint="default" w:ascii="Times New Roman" w:hAnsi="Times New Roman" w:cs="Times New Roman"/>
          <w:lang w:eastAsia="zh-CN"/>
        </w:rPr>
        <w:t>雨水花园有效蓄水深度宜控制在</w:t>
      </w:r>
      <w:r>
        <w:rPr>
          <w:rFonts w:hint="default" w:ascii="Times New Roman" w:hAnsi="Times New Roman" w:eastAsia="Times New Roman" w:cs="Times New Roman"/>
          <w:lang w:val="en-US" w:eastAsia="zh-CN"/>
        </w:rPr>
        <w:t>200-300mm，</w:t>
      </w:r>
      <w:r>
        <w:rPr>
          <w:rFonts w:hint="default" w:ascii="Times New Roman" w:hAnsi="Times New Roman" w:cs="Times New Roman"/>
          <w:lang w:eastAsia="zh-CN"/>
        </w:rPr>
        <w:t>边坡坡度应小于</w:t>
      </w:r>
      <w:r>
        <w:rPr>
          <w:rFonts w:hint="default" w:ascii="Times New Roman" w:hAnsi="Times New Roman" w:eastAsia="Times New Roman" w:cs="Times New Roman"/>
          <w:lang w:val="en-US" w:eastAsia="zh-CN"/>
        </w:rPr>
        <w:t>1:3，</w:t>
      </w:r>
      <w:r>
        <w:rPr>
          <w:rFonts w:hint="default" w:ascii="Times New Roman" w:hAnsi="Times New Roman" w:cs="Times New Roman"/>
          <w:lang w:eastAsia="zh-CN"/>
        </w:rPr>
        <w:t>并与周边地形良好结合。</w:t>
      </w:r>
    </w:p>
    <w:p w14:paraId="64B4B3DE">
      <w:pPr>
        <w:ind w:firstLine="420"/>
        <w:jc w:val="both"/>
        <w:rPr>
          <w:rFonts w:hint="default" w:ascii="Times New Roman" w:hAnsi="Times New Roman" w:cs="Times New Roman"/>
          <w:lang w:eastAsia="zh-CN"/>
        </w:rPr>
      </w:pPr>
      <w:r>
        <w:rPr>
          <w:rFonts w:hint="default" w:ascii="Times New Roman" w:hAnsi="Times New Roman" w:cs="Times New Roman"/>
          <w:lang w:eastAsia="zh-CN"/>
        </w:rPr>
        <w:t>进入雨水花园的雨水停留时间不得大于植物的耐淹时间，且不应大于</w:t>
      </w:r>
      <w:r>
        <w:rPr>
          <w:rFonts w:hint="default" w:ascii="Times New Roman" w:hAnsi="Times New Roman" w:eastAsia="Times New Roman" w:cs="Times New Roman"/>
          <w:lang w:val="en-US" w:eastAsia="zh-CN"/>
        </w:rPr>
        <w:t>24h</w:t>
      </w:r>
      <w:r>
        <w:rPr>
          <w:rFonts w:hint="default" w:ascii="Times New Roman" w:hAnsi="Times New Roman" w:cs="Times New Roman"/>
          <w:lang w:eastAsia="zh-CN"/>
        </w:rPr>
        <w:t>。</w:t>
      </w:r>
    </w:p>
    <w:p w14:paraId="7BB3B7DF">
      <w:pPr>
        <w:ind w:firstLine="420"/>
        <w:jc w:val="both"/>
        <w:rPr>
          <w:rFonts w:hint="default" w:ascii="Times New Roman" w:hAnsi="Times New Roman" w:cs="Times New Roman"/>
          <w:lang w:eastAsia="zh-CN"/>
        </w:rPr>
      </w:pPr>
      <w:r>
        <w:rPr>
          <w:rFonts w:hint="default" w:ascii="Times New Roman" w:hAnsi="Times New Roman" w:cs="Times New Roman"/>
          <w:lang w:eastAsia="zh-CN"/>
        </w:rPr>
        <w:t>应选择适应能力、生长能力、净化能力较强并具有一定抗旱能力的植物，确保植物成活率；应尽量选择多年生常绿植物，以减少养护成本。</w:t>
      </w:r>
    </w:p>
    <w:p w14:paraId="5302D5F3">
      <w:pPr>
        <w:ind w:firstLine="420"/>
        <w:jc w:val="both"/>
        <w:rPr>
          <w:rFonts w:hint="default" w:ascii="Times New Roman" w:hAnsi="Times New Roman" w:cs="Times New Roman"/>
          <w:lang w:eastAsia="zh-CN"/>
        </w:rPr>
      </w:pPr>
      <w:r>
        <w:rPr>
          <w:rFonts w:hint="default" w:ascii="Times New Roman" w:hAnsi="Times New Roman" w:cs="Times New Roman"/>
          <w:lang w:eastAsia="zh-CN"/>
        </w:rPr>
        <w:t>植物配置应充分考虑植物的生长特性、功能要求及景观特性， 构建物种稳定、功能健全的植物群落结构，注重营造良好的园林景观视觉效果；植物宜适度密植，提升其净化功能。</w:t>
      </w:r>
    </w:p>
    <w:p w14:paraId="1E55D312">
      <w:pPr>
        <w:pStyle w:val="5"/>
        <w:jc w:val="both"/>
        <w:rPr>
          <w:rFonts w:hint="default" w:ascii="Times New Roman" w:hAnsi="Times New Roman" w:cs="Times New Roman"/>
          <w:lang w:eastAsia="zh-CN"/>
        </w:rPr>
      </w:pPr>
      <w:r>
        <w:rPr>
          <w:rFonts w:hint="default" w:ascii="Times New Roman" w:hAnsi="Times New Roman" w:cs="Times New Roman"/>
          <w:lang w:eastAsia="zh-CN"/>
        </w:rPr>
        <w:t>8.4 绿色屋面</w:t>
      </w:r>
    </w:p>
    <w:p w14:paraId="493BAF01">
      <w:pPr>
        <w:ind w:firstLine="420"/>
        <w:jc w:val="both"/>
        <w:rPr>
          <w:rFonts w:hint="default" w:ascii="Times New Roman" w:hAnsi="Times New Roman" w:cs="Times New Roman"/>
          <w:lang w:eastAsia="zh-CN"/>
        </w:rPr>
      </w:pPr>
      <w:r>
        <w:rPr>
          <w:rFonts w:hint="default" w:ascii="Times New Roman" w:hAnsi="Times New Roman" w:cs="Times New Roman"/>
          <w:lang w:eastAsia="zh-CN"/>
        </w:rPr>
        <w:t>绿色屋面设计应符合《种植屋面工程技术规程》（</w:t>
      </w:r>
      <w:r>
        <w:rPr>
          <w:rFonts w:hint="default" w:ascii="Times New Roman" w:hAnsi="Times New Roman" w:eastAsia="Times New Roman" w:cs="Times New Roman"/>
          <w:lang w:val="en-US" w:eastAsia="zh-CN"/>
        </w:rPr>
        <w:t>JGJ 155</w:t>
      </w:r>
      <w:r>
        <w:rPr>
          <w:rFonts w:hint="default" w:ascii="Times New Roman" w:hAnsi="Times New Roman" w:cs="Times New Roman"/>
          <w:lang w:eastAsia="zh-CN"/>
        </w:rPr>
        <w:t>）、《轻型种植屋面工程技术规程》（</w:t>
      </w:r>
      <w:r>
        <w:rPr>
          <w:rFonts w:hint="default" w:ascii="Times New Roman" w:hAnsi="Times New Roman" w:eastAsia="Times New Roman" w:cs="Times New Roman"/>
          <w:lang w:val="en-US" w:eastAsia="zh-CN"/>
        </w:rPr>
        <w:t>DBJ/T 13-122</w:t>
      </w:r>
      <w:r>
        <w:rPr>
          <w:rFonts w:hint="default" w:ascii="Times New Roman" w:hAnsi="Times New Roman" w:cs="Times New Roman"/>
          <w:lang w:eastAsia="zh-CN"/>
        </w:rPr>
        <w:t>）及其他现行相关规定。</w:t>
      </w:r>
    </w:p>
    <w:p w14:paraId="3AC276A0">
      <w:pPr>
        <w:ind w:firstLine="420"/>
        <w:jc w:val="both"/>
        <w:rPr>
          <w:rFonts w:hint="default" w:ascii="Times New Roman" w:hAnsi="Times New Roman" w:cs="Times New Roman"/>
          <w:lang w:eastAsia="zh-CN"/>
        </w:rPr>
      </w:pPr>
      <w:r>
        <w:rPr>
          <w:rFonts w:hint="default" w:ascii="Times New Roman" w:hAnsi="Times New Roman" w:cs="Times New Roman"/>
          <w:lang w:eastAsia="zh-CN"/>
        </w:rPr>
        <w:t>当屋面坡度小于</w:t>
      </w:r>
      <w:r>
        <w:rPr>
          <w:rFonts w:hint="default" w:ascii="Times New Roman" w:hAnsi="Times New Roman" w:eastAsia="Times New Roman" w:cs="Times New Roman"/>
          <w:lang w:val="en-US" w:eastAsia="zh-CN"/>
        </w:rPr>
        <w:t>20%</w:t>
      </w:r>
      <w:r>
        <w:rPr>
          <w:rFonts w:hint="default" w:ascii="Times New Roman" w:hAnsi="Times New Roman" w:cs="Times New Roman"/>
          <w:lang w:eastAsia="zh-CN"/>
        </w:rPr>
        <w:t>时，宜建设屋顶绿化；坡度在</w:t>
      </w:r>
      <w:r>
        <w:rPr>
          <w:rFonts w:hint="default" w:ascii="Times New Roman" w:hAnsi="Times New Roman" w:eastAsia="Times New Roman" w:cs="Times New Roman"/>
          <w:lang w:val="en-US" w:eastAsia="zh-CN"/>
        </w:rPr>
        <w:t>20%-50%</w:t>
      </w:r>
      <w:r>
        <w:rPr>
          <w:rFonts w:hint="default" w:ascii="Times New Roman" w:hAnsi="Times New Roman" w:cs="Times New Roman"/>
          <w:lang w:eastAsia="zh-CN"/>
        </w:rPr>
        <w:t>时，可建设屋顶绿化，但应采取防滑措施；坡度大于</w:t>
      </w:r>
      <w:r>
        <w:rPr>
          <w:rFonts w:hint="default" w:ascii="Times New Roman" w:hAnsi="Times New Roman" w:eastAsia="Times New Roman" w:cs="Times New Roman"/>
          <w:lang w:val="en-US" w:eastAsia="zh-CN"/>
        </w:rPr>
        <w:t>50%</w:t>
      </w:r>
      <w:r>
        <w:rPr>
          <w:rFonts w:hint="default" w:ascii="Times New Roman" w:hAnsi="Times New Roman" w:cs="Times New Roman"/>
          <w:lang w:eastAsia="zh-CN"/>
        </w:rPr>
        <w:t>时，不宜建设屋顶绿化。</w:t>
      </w:r>
    </w:p>
    <w:p w14:paraId="158A3EA5">
      <w:pPr>
        <w:ind w:firstLine="420"/>
        <w:jc w:val="both"/>
        <w:rPr>
          <w:rFonts w:hint="default" w:ascii="Times New Roman" w:hAnsi="Times New Roman" w:cs="Times New Roman"/>
          <w:lang w:eastAsia="zh-CN"/>
        </w:rPr>
      </w:pPr>
      <w:r>
        <w:rPr>
          <w:rFonts w:hint="default" w:ascii="Times New Roman" w:hAnsi="Times New Roman" w:cs="Times New Roman"/>
          <w:lang w:eastAsia="zh-CN"/>
        </w:rPr>
        <w:t>既有建筑设置绿色屋面设施，应校核屋顶的荷载和防水性能。</w:t>
      </w:r>
    </w:p>
    <w:p w14:paraId="59475CC0">
      <w:pPr>
        <w:ind w:firstLine="420"/>
        <w:jc w:val="both"/>
        <w:rPr>
          <w:rFonts w:hint="default" w:ascii="Times New Roman" w:hAnsi="Times New Roman" w:cs="Times New Roman"/>
          <w:lang w:eastAsia="zh-CN"/>
        </w:rPr>
      </w:pPr>
      <w:r>
        <w:rPr>
          <w:rFonts w:hint="default" w:ascii="Times New Roman" w:hAnsi="Times New Roman" w:cs="Times New Roman"/>
          <w:lang w:eastAsia="zh-CN"/>
        </w:rPr>
        <w:t>绿色屋面宜设置雨水收集系统，水管、电缆线等设施应铺设于防水层上。灌溉可采用自动微喷、滴灌和渗灌等设施。</w:t>
      </w:r>
    </w:p>
    <w:p w14:paraId="4B92E6CF">
      <w:pPr>
        <w:ind w:firstLine="420"/>
        <w:jc w:val="both"/>
        <w:rPr>
          <w:rFonts w:hint="default" w:ascii="Times New Roman" w:hAnsi="Times New Roman" w:cs="Times New Roman"/>
          <w:lang w:eastAsia="zh-CN"/>
        </w:rPr>
      </w:pPr>
      <w:r>
        <w:rPr>
          <w:rFonts w:hint="default" w:ascii="Times New Roman" w:hAnsi="Times New Roman" w:cs="Times New Roman"/>
          <w:lang w:eastAsia="zh-CN"/>
        </w:rPr>
        <w:t>绿色屋面应选用轻质、适宜植物生长的栽培基质。种植容器应轻便、易搬移，连接点稳固便于组装与维护。</w:t>
      </w:r>
    </w:p>
    <w:p w14:paraId="0DF52389">
      <w:pPr>
        <w:ind w:firstLine="420"/>
        <w:jc w:val="both"/>
        <w:rPr>
          <w:rFonts w:hint="default" w:ascii="Times New Roman" w:hAnsi="Times New Roman" w:cs="Times New Roman"/>
          <w:lang w:eastAsia="zh-CN"/>
        </w:rPr>
      </w:pPr>
      <w:r>
        <w:rPr>
          <w:rFonts w:hint="default" w:ascii="Times New Roman" w:hAnsi="Times New Roman" w:cs="Times New Roman"/>
          <w:lang w:eastAsia="zh-CN"/>
        </w:rPr>
        <w:t>绿色屋面宜选择生长较慢、抗性强的植物种类，不应选用根系穿刺性强的植物种类：不宜种植根系发达的植物和根状茎植物。花园式屋顶绿化宜合理配置小乔木、灌木、草本等，形成复层绿化，树木定植点与边墙的安全距离应大于树高。</w:t>
      </w:r>
    </w:p>
    <w:p w14:paraId="2CB4657D">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3672840" cy="1514475"/>
            <wp:effectExtent l="0" t="0" r="381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20" cstate="print">
                      <a:extLst>
                        <a:ext uri="{28A0092B-C50C-407E-A947-70E740481C1C}">
                          <a14:useLocalDpi xmlns:a14="http://schemas.microsoft.com/office/drawing/2010/main" val="0"/>
                        </a:ext>
                      </a:extLst>
                    </a:blip>
                    <a:srcRect t="4321" b="-4938"/>
                    <a:stretch>
                      <a:fillRect/>
                    </a:stretch>
                  </pic:blipFill>
                  <pic:spPr>
                    <a:xfrm>
                      <a:off x="0" y="0"/>
                      <a:ext cx="3679669" cy="1517035"/>
                    </a:xfrm>
                    <a:prstGeom prst="rect">
                      <a:avLst/>
                    </a:prstGeom>
                    <a:ln>
                      <a:noFill/>
                    </a:ln>
                  </pic:spPr>
                </pic:pic>
              </a:graphicData>
            </a:graphic>
          </wp:inline>
        </w:drawing>
      </w:r>
    </w:p>
    <w:p w14:paraId="1094BDA2">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图8.4  容器式绿色屋面示意图</w:t>
      </w:r>
    </w:p>
    <w:p w14:paraId="72603E3A">
      <w:pPr>
        <w:pStyle w:val="5"/>
        <w:jc w:val="both"/>
        <w:rPr>
          <w:rFonts w:hint="default" w:ascii="Times New Roman" w:hAnsi="Times New Roman" w:cs="Times New Roman"/>
          <w:lang w:eastAsia="zh-CN"/>
        </w:rPr>
      </w:pPr>
      <w:r>
        <w:rPr>
          <w:rFonts w:hint="default" w:ascii="Times New Roman" w:hAnsi="Times New Roman" w:cs="Times New Roman"/>
          <w:lang w:eastAsia="zh-CN"/>
        </w:rPr>
        <w:t>8.5 生态驳岸</w:t>
      </w:r>
    </w:p>
    <w:p w14:paraId="071EC85C">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8.5.1</w:t>
      </w:r>
      <w:r>
        <w:rPr>
          <w:rFonts w:hint="default" w:ascii="Times New Roman" w:hAnsi="Times New Roman" w:cs="Times New Roman"/>
          <w:lang w:eastAsia="zh-CN"/>
        </w:rPr>
        <w:t>根据使用材料不同，将生态护岸分为自然护岸、生态有机材料护岸及结合工程材料的生态护岸三类，可选用植物纤维毯、石块、碎石、石笼、生态混凝土等具有一定抗冲刷能力的材料。</w:t>
      </w:r>
    </w:p>
    <w:p w14:paraId="5B8D369A">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8.5.2</w:t>
      </w:r>
      <w:r>
        <w:rPr>
          <w:rFonts w:hint="default" w:ascii="Times New Roman" w:hAnsi="Times New Roman" w:cs="Times New Roman"/>
          <w:lang w:eastAsia="zh-CN"/>
        </w:rPr>
        <w:t>应符合堤防、护岸的防洪、防冲、抗侵蚀等要求。</w:t>
      </w:r>
    </w:p>
    <w:p w14:paraId="220B1CAC">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8.5.3</w:t>
      </w:r>
      <w:r>
        <w:rPr>
          <w:rFonts w:hint="default" w:ascii="Times New Roman" w:hAnsi="Times New Roman" w:cs="Times New Roman"/>
          <w:lang w:eastAsia="zh-CN"/>
        </w:rPr>
        <w:t>当径流污染严重、渗透面距离季节性最高地下水位且距离易出现结构塌陷基质层小于</w:t>
      </w:r>
      <w:r>
        <w:rPr>
          <w:rFonts w:hint="default" w:ascii="Times New Roman" w:hAnsi="Times New Roman" w:eastAsia="Times New Roman" w:cs="Times New Roman"/>
          <w:lang w:val="en-US" w:eastAsia="zh-CN"/>
        </w:rPr>
        <w:t>1m</w:t>
      </w:r>
      <w:r>
        <w:rPr>
          <w:rFonts w:hint="default" w:ascii="Times New Roman" w:hAnsi="Times New Roman" w:cs="Times New Roman"/>
          <w:lang w:eastAsia="zh-CN"/>
        </w:rPr>
        <w:t>的区域、距离建筑物基础小于</w:t>
      </w:r>
      <w:r>
        <w:rPr>
          <w:rFonts w:hint="default" w:ascii="Times New Roman" w:hAnsi="Times New Roman" w:eastAsia="Times New Roman" w:cs="Times New Roman"/>
          <w:lang w:val="en-US" w:eastAsia="zh-CN"/>
        </w:rPr>
        <w:t>3m</w:t>
      </w:r>
      <w:r>
        <w:rPr>
          <w:rFonts w:hint="default" w:ascii="Times New Roman" w:hAnsi="Times New Roman" w:cs="Times New Roman"/>
          <w:lang w:eastAsia="zh-CN"/>
        </w:rPr>
        <w:t>（水平距离）的区域，应采取必要的防渗措施，防止次生灾害的发生。</w:t>
      </w:r>
    </w:p>
    <w:p w14:paraId="092E6288">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8.5.4</w:t>
      </w:r>
      <w:r>
        <w:rPr>
          <w:rFonts w:hint="default" w:ascii="Times New Roman" w:hAnsi="Times New Roman" w:cs="Times New Roman"/>
          <w:lang w:eastAsia="zh-CN"/>
        </w:rPr>
        <w:t>植物纤维毯适用于景观要求高，岸坡坡度缓于</w:t>
      </w:r>
      <w:r>
        <w:rPr>
          <w:rFonts w:hint="default" w:ascii="Times New Roman" w:hAnsi="Times New Roman" w:eastAsia="Times New Roman" w:cs="Times New Roman"/>
          <w:lang w:val="en-US" w:eastAsia="zh-CN"/>
        </w:rPr>
        <w:t>1:1.5，</w:t>
      </w:r>
      <w:r>
        <w:rPr>
          <w:rFonts w:hint="default" w:ascii="Times New Roman" w:hAnsi="Times New Roman" w:cs="Times New Roman"/>
          <w:lang w:eastAsia="zh-CN"/>
        </w:rPr>
        <w:t>水流速度不大于</w:t>
      </w:r>
      <w:r>
        <w:rPr>
          <w:rFonts w:hint="default" w:ascii="Times New Roman" w:hAnsi="Times New Roman" w:eastAsia="Times New Roman" w:cs="Times New Roman"/>
          <w:lang w:val="en-US" w:eastAsia="zh-CN"/>
        </w:rPr>
        <w:t>4m/s</w:t>
      </w:r>
      <w:r>
        <w:rPr>
          <w:rFonts w:hint="default" w:ascii="Times New Roman" w:hAnsi="Times New Roman" w:cs="Times New Roman"/>
          <w:lang w:eastAsia="zh-CN"/>
        </w:rPr>
        <w:t>的护岸，搭接宽度不小于</w:t>
      </w:r>
      <w:r>
        <w:rPr>
          <w:rFonts w:hint="default" w:ascii="Times New Roman" w:hAnsi="Times New Roman" w:eastAsia="Times New Roman" w:cs="Times New Roman"/>
          <w:lang w:val="en-US" w:eastAsia="zh-CN"/>
        </w:rPr>
        <w:t>200mm，</w:t>
      </w:r>
      <w:r>
        <w:rPr>
          <w:rFonts w:hint="default" w:ascii="Times New Roman" w:hAnsi="Times New Roman" w:cs="Times New Roman"/>
          <w:lang w:eastAsia="zh-CN"/>
        </w:rPr>
        <w:t>并用竹签固定。</w:t>
      </w:r>
    </w:p>
    <w:p w14:paraId="58A9938E">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8.5.5</w:t>
      </w:r>
      <w:r>
        <w:rPr>
          <w:rFonts w:hint="default" w:ascii="Times New Roman" w:hAnsi="Times New Roman" w:cs="Times New Roman"/>
          <w:lang w:eastAsia="zh-CN"/>
        </w:rPr>
        <w:t>根据不同水位变化幅度，选择适宜的耐水湿乔木、灌木和水 生、湿生植物等植物种类。</w:t>
      </w:r>
    </w:p>
    <w:p w14:paraId="40693873">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8.5.6</w:t>
      </w:r>
      <w:r>
        <w:rPr>
          <w:rFonts w:hint="default" w:ascii="Times New Roman" w:hAnsi="Times New Roman" w:cs="Times New Roman"/>
          <w:lang w:eastAsia="zh-CN"/>
        </w:rPr>
        <w:t>生态护岸必须结合河湖水体设置警示标识和预警系统，保证暴雨期间人员的安全。</w:t>
      </w:r>
    </w:p>
    <w:p w14:paraId="59F2003C">
      <w:pPr>
        <w:ind w:firstLine="0" w:firstLineChars="0"/>
        <w:jc w:val="both"/>
        <w:rPr>
          <w:rFonts w:hint="default" w:ascii="Times New Roman" w:hAnsi="Times New Roman" w:cs="Times New Roman"/>
          <w:lang w:eastAsia="zh-CN"/>
        </w:rPr>
      </w:pPr>
    </w:p>
    <w:p w14:paraId="39A29F28">
      <w:pPr>
        <w:ind w:firstLine="149" w:firstLineChars="71"/>
        <w:jc w:val="both"/>
        <w:rPr>
          <w:rFonts w:hint="default" w:ascii="Times New Roman" w:hAnsi="Times New Roman" w:cs="Times New Roman"/>
          <w:sz w:val="30"/>
          <w:lang w:eastAsia="zh-CN"/>
        </w:rPr>
      </w:pPr>
      <w:r>
        <w:rPr>
          <w:rFonts w:hint="default" w:ascii="Times New Roman" w:hAnsi="Times New Roman" w:cs="Times New Roman"/>
          <w:lang w:eastAsia="zh-CN"/>
        </w:rPr>
        <w:drawing>
          <wp:inline distT="0" distB="0" distL="0" distR="0">
            <wp:extent cx="3619500" cy="1381125"/>
            <wp:effectExtent l="0" t="0" r="0" b="9525"/>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3185" cy="1390163"/>
                    </a:xfrm>
                    <a:prstGeom prst="rect">
                      <a:avLst/>
                    </a:prstGeom>
                  </pic:spPr>
                </pic:pic>
              </a:graphicData>
            </a:graphic>
          </wp:inline>
        </w:drawing>
      </w:r>
    </w:p>
    <w:p w14:paraId="1EF26DB0">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图8.5  生态护岸示意图</w:t>
      </w:r>
    </w:p>
    <w:p w14:paraId="452C633E">
      <w:pPr>
        <w:pStyle w:val="5"/>
        <w:jc w:val="both"/>
        <w:rPr>
          <w:rFonts w:hint="default" w:ascii="Times New Roman" w:hAnsi="Times New Roman" w:cs="Times New Roman"/>
          <w:lang w:eastAsia="zh-CN"/>
        </w:rPr>
      </w:pPr>
      <w:r>
        <w:rPr>
          <w:rFonts w:hint="default" w:ascii="Times New Roman" w:hAnsi="Times New Roman" w:cs="Times New Roman"/>
          <w:lang w:eastAsia="zh-CN"/>
        </w:rPr>
        <w:t>8.6 生态浮岛</w:t>
      </w:r>
    </w:p>
    <w:p w14:paraId="03108883">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8.6.1</w:t>
      </w:r>
      <w:r>
        <w:rPr>
          <w:rFonts w:hint="default" w:ascii="Times New Roman" w:hAnsi="Times New Roman" w:cs="Times New Roman"/>
          <w:lang w:eastAsia="zh-CN"/>
        </w:rPr>
        <w:t>在不影响行洪的前提下，生态浮岛可应用于富营养化或有景 观要求的湖泊、河道等水体。</w:t>
      </w:r>
    </w:p>
    <w:p w14:paraId="07BC6375">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8.6.2</w:t>
      </w:r>
      <w:r>
        <w:rPr>
          <w:rFonts w:hint="default" w:ascii="Times New Roman" w:hAnsi="Times New Roman" w:cs="Times New Roman"/>
          <w:lang w:eastAsia="zh-CN"/>
        </w:rPr>
        <w:t>生态浮岛框架应适应水位变化，确保雨季和旱季生态浮床系统稳定运行，宜采用棕榈纤维或圆木作为框架。</w:t>
      </w:r>
    </w:p>
    <w:p w14:paraId="73887226">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8.6.3</w:t>
      </w:r>
      <w:r>
        <w:rPr>
          <w:rFonts w:hint="default" w:ascii="Times New Roman" w:hAnsi="Times New Roman" w:cs="Times New Roman"/>
          <w:lang w:eastAsia="zh-CN"/>
        </w:rPr>
        <w:t>生态浮岛载体结构应具有足够的稳定性，且经久耐用无污染、可拓展、可自由组合。</w:t>
      </w:r>
    </w:p>
    <w:p w14:paraId="18CA131F">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8.6.4</w:t>
      </w:r>
      <w:r>
        <w:rPr>
          <w:rFonts w:hint="default" w:ascii="Times New Roman" w:hAnsi="Times New Roman" w:cs="Times New Roman"/>
          <w:lang w:eastAsia="zh-CN"/>
        </w:rPr>
        <w:t>生态浮岛宜用重量式、锚固式、驳岸牵拉等水下固定形式，以保证浮岛位置相对固定。</w:t>
      </w:r>
    </w:p>
    <w:p w14:paraId="1548B00E">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8.6.5</w:t>
      </w:r>
      <w:r>
        <w:rPr>
          <w:rFonts w:hint="default" w:ascii="Times New Roman" w:hAnsi="Times New Roman" w:cs="Times New Roman"/>
          <w:lang w:eastAsia="zh-CN"/>
        </w:rPr>
        <w:t>植物选择以根系发达、根茎分页繁殖能力强、水质净化力较强的植物为主，同时兼顾一定观赏性。</w:t>
      </w:r>
    </w:p>
    <w:p w14:paraId="11ABD1B3">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8.6.6</w:t>
      </w:r>
      <w:r>
        <w:rPr>
          <w:rFonts w:hint="default" w:ascii="Times New Roman" w:hAnsi="Times New Roman" w:cs="Times New Roman"/>
          <w:lang w:eastAsia="zh-CN"/>
        </w:rPr>
        <w:t>宽阔水域的浮岛植物配置，以营造群落景观为主兼顾鸟类及鱼类的生存环境；小面积水域注重单株观赏价值；自然河流应根据水体宽窄配置，选择植株高度与之协调的植物。</w:t>
      </w:r>
    </w:p>
    <w:p w14:paraId="1BFB619C">
      <w:pPr>
        <w:ind w:firstLine="0" w:firstLineChars="0"/>
        <w:jc w:val="both"/>
        <w:rPr>
          <w:rFonts w:hint="default" w:ascii="Times New Roman" w:hAnsi="Times New Roman" w:cs="Times New Roman"/>
          <w:sz w:val="30"/>
          <w:lang w:eastAsia="zh-CN"/>
        </w:rPr>
      </w:pPr>
      <w:r>
        <w:rPr>
          <w:rFonts w:hint="default" w:ascii="Times New Roman" w:hAnsi="Times New Roman" w:cs="Times New Roman"/>
          <w:lang w:eastAsia="zh-CN"/>
        </w:rPr>
        <w:drawing>
          <wp:inline distT="0" distB="0" distL="0" distR="0">
            <wp:extent cx="3689985" cy="1456055"/>
            <wp:effectExtent l="0" t="0" r="5715" b="10795"/>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4866" cy="1456055"/>
                    </a:xfrm>
                    <a:prstGeom prst="rect">
                      <a:avLst/>
                    </a:prstGeom>
                  </pic:spPr>
                </pic:pic>
              </a:graphicData>
            </a:graphic>
          </wp:inline>
        </w:drawing>
      </w:r>
    </w:p>
    <w:p w14:paraId="4F7405E3">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图8.6   生态浮岛示意图</w:t>
      </w:r>
    </w:p>
    <w:p w14:paraId="7C700C6A">
      <w:pPr>
        <w:pStyle w:val="5"/>
        <w:jc w:val="both"/>
        <w:rPr>
          <w:rFonts w:hint="default" w:ascii="Times New Roman" w:hAnsi="Times New Roman" w:cs="Times New Roman"/>
          <w:lang w:eastAsia="zh-CN"/>
        </w:rPr>
      </w:pPr>
      <w:r>
        <w:rPr>
          <w:rFonts w:hint="default" w:ascii="Times New Roman" w:hAnsi="Times New Roman" w:cs="Times New Roman"/>
          <w:lang w:eastAsia="zh-CN"/>
        </w:rPr>
        <w:t>8.7 植被缓冲带</w:t>
      </w:r>
    </w:p>
    <w:p w14:paraId="1142BF08">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8.7.1</w:t>
      </w:r>
      <w:r>
        <w:rPr>
          <w:rFonts w:hint="default" w:ascii="Times New Roman" w:hAnsi="Times New Roman" w:cs="Times New Roman"/>
          <w:lang w:eastAsia="zh-CN"/>
        </w:rPr>
        <w:t>适用于城市绿地的临水区域或地形坡度较缓区域，经植被拦截和土壤下渗作用减缓地表径流流速，并去除径流中的部分污染物。</w:t>
      </w:r>
    </w:p>
    <w:p w14:paraId="77DCC423">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8.7.2</w:t>
      </w:r>
      <w:r>
        <w:rPr>
          <w:rFonts w:hint="default" w:ascii="Times New Roman" w:hAnsi="Times New Roman" w:cs="Times New Roman"/>
          <w:lang w:eastAsia="zh-CN"/>
        </w:rPr>
        <w:t>应依据绿地的宽度和高度，选用多坡绿地或低坡绿地等形式，以减缓地表径流。</w:t>
      </w:r>
    </w:p>
    <w:p w14:paraId="504DD0EF">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8.7.3</w:t>
      </w:r>
      <w:r>
        <w:rPr>
          <w:rFonts w:hint="default" w:ascii="Times New Roman" w:hAnsi="Times New Roman" w:cs="Times New Roman"/>
          <w:lang w:eastAsia="zh-CN"/>
        </w:rPr>
        <w:t>可采用道路林带与湿地沟渠相结合的形式，坡度宜</w:t>
      </w:r>
      <w:r>
        <w:rPr>
          <w:rFonts w:hint="default" w:ascii="Times New Roman" w:hAnsi="Times New Roman" w:eastAsia="Times New Roman" w:cs="Times New Roman"/>
          <w:lang w:val="en-US" w:eastAsia="zh-CN"/>
        </w:rPr>
        <w:t>2%- 6%，</w:t>
      </w:r>
      <w:r>
        <w:rPr>
          <w:rFonts w:hint="default" w:ascii="Times New Roman" w:hAnsi="Times New Roman" w:cs="Times New Roman"/>
          <w:lang w:eastAsia="zh-CN"/>
        </w:rPr>
        <w:t>宽度不宜小于</w:t>
      </w:r>
      <w:r>
        <w:rPr>
          <w:rFonts w:hint="default" w:ascii="Times New Roman" w:hAnsi="Times New Roman" w:eastAsia="Times New Roman" w:cs="Times New Roman"/>
          <w:lang w:val="en-US" w:eastAsia="zh-CN"/>
        </w:rPr>
        <w:t>2m。</w:t>
      </w:r>
    </w:p>
    <w:p w14:paraId="063C4AB2">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8.7.4</w:t>
      </w:r>
      <w:r>
        <w:rPr>
          <w:rFonts w:hint="default" w:ascii="Times New Roman" w:hAnsi="Times New Roman" w:cs="Times New Roman"/>
          <w:lang w:eastAsia="zh-CN"/>
        </w:rPr>
        <w:t>应选择根系发达、覆盖度高的植物种类，并注重乔木、灌木、草本、藤蔓植物的合理搭配，提高植被缓冲带的净化及抗冲刷能力。</w:t>
      </w:r>
    </w:p>
    <w:p w14:paraId="371B3532">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8.7.5</w:t>
      </w:r>
      <w:r>
        <w:rPr>
          <w:rFonts w:hint="default" w:ascii="Times New Roman" w:hAnsi="Times New Roman" w:cs="Times New Roman"/>
          <w:lang w:eastAsia="zh-CN"/>
        </w:rPr>
        <w:t>应根据植物所处位置的水分条件，选择耐旱或耐湿的植物。与道路相接的植被缓冲带，宜选择抗污染、抗粉尘能力强、耐盐碱  的植物，同时植物不应对行人和交通安全造成影响；在河流植被缓冲带的干湿交替带，宜选择具有耐淹能力的植物。</w:t>
      </w:r>
    </w:p>
    <w:p w14:paraId="4B80AA5C">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8.7.6</w:t>
      </w:r>
      <w:r>
        <w:rPr>
          <w:rFonts w:hint="default" w:ascii="Times New Roman" w:hAnsi="Times New Roman" w:cs="Times New Roman"/>
          <w:lang w:eastAsia="zh-CN"/>
        </w:rPr>
        <w:t>与水系相连的植被缓冲带中，边缘区宜选用低矮且密实的草本类植物，并选取乔木进行合理搭配，形成以草本植物为主的前端缓冲带，对雨水进行初步净化；应通过植物的合理配置，减小地表冲刷，并对雨水再净化，同时为动物提供栖息地；在滨水地带种植乔木、灌木和湿生草本植物，使雨水进入水系前完成对其水质的净化和水量的控制。</w:t>
      </w:r>
    </w:p>
    <w:p w14:paraId="74134FC8">
      <w:pPr>
        <w:ind w:firstLine="0" w:firstLineChars="0"/>
        <w:jc w:val="both"/>
        <w:rPr>
          <w:rFonts w:hint="default" w:ascii="Times New Roman" w:hAnsi="Times New Roman" w:cs="Times New Roman"/>
          <w:sz w:val="30"/>
          <w:lang w:eastAsia="zh-CN"/>
        </w:rPr>
      </w:pPr>
      <w:r>
        <w:rPr>
          <w:rFonts w:hint="default" w:ascii="Times New Roman" w:hAnsi="Times New Roman" w:cs="Times New Roman"/>
          <w:lang w:eastAsia="zh-CN"/>
        </w:rPr>
        <w:drawing>
          <wp:inline distT="0" distB="0" distL="0" distR="0">
            <wp:extent cx="3489960" cy="1714500"/>
            <wp:effectExtent l="0" t="0" r="1524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9960" cy="1714500"/>
                    </a:xfrm>
                    <a:prstGeom prst="rect">
                      <a:avLst/>
                    </a:prstGeom>
                  </pic:spPr>
                </pic:pic>
              </a:graphicData>
            </a:graphic>
          </wp:inline>
        </w:drawing>
      </w:r>
    </w:p>
    <w:p w14:paraId="3A4F2A25">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图8.7  植被缓冲带示意图</w:t>
      </w:r>
    </w:p>
    <w:p w14:paraId="7E999E63">
      <w:pPr>
        <w:pStyle w:val="5"/>
        <w:jc w:val="both"/>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8.8 </w:t>
      </w:r>
      <w:r>
        <w:rPr>
          <w:rFonts w:hint="default" w:ascii="Times New Roman" w:hAnsi="Times New Roman" w:cs="Times New Roman" w:eastAsiaTheme="minorEastAsia"/>
          <w:lang w:eastAsia="zh-CN"/>
        </w:rPr>
        <w:t>旱溪</w:t>
      </w:r>
    </w:p>
    <w:p w14:paraId="6FF6D05B">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8.8.1</w:t>
      </w:r>
      <w:r>
        <w:rPr>
          <w:rFonts w:hint="default" w:ascii="Times New Roman" w:hAnsi="Times New Roman" w:cs="Times New Roman"/>
          <w:lang w:eastAsia="zh-CN"/>
        </w:rPr>
        <w:t>旱溪可运用于居住小区、公园、防护绿地等场所，具有滞留、渗透、传输、净化等功能。</w:t>
      </w:r>
    </w:p>
    <w:p w14:paraId="0A06A6BC">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8.8.2</w:t>
      </w:r>
      <w:r>
        <w:rPr>
          <w:rFonts w:hint="default" w:ascii="Times New Roman" w:hAnsi="Times New Roman" w:cs="Times New Roman"/>
          <w:lang w:eastAsia="zh-CN"/>
        </w:rPr>
        <w:t>植物宜选用对收集、净化、下渗雨水有促进作用的种类。地势低洼处宜选用适应半水湿、半干旱环境的植物；旱溪两侧宜种植耐旱植物，不宜种植大型木本植物，以防径流冲刷其根部的土壤。</w:t>
      </w:r>
    </w:p>
    <w:p w14:paraId="2A411CE9">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8.8.3</w:t>
      </w:r>
      <w:r>
        <w:rPr>
          <w:rFonts w:hint="default" w:ascii="Times New Roman" w:hAnsi="Times New Roman" w:cs="Times New Roman"/>
          <w:lang w:eastAsia="zh-CN"/>
        </w:rPr>
        <w:t>旱溪可根据需求进行防渗处理。</w:t>
      </w:r>
    </w:p>
    <w:p w14:paraId="176D42A1">
      <w:pPr>
        <w:ind w:firstLine="0" w:firstLineChars="0"/>
        <w:jc w:val="both"/>
        <w:rPr>
          <w:rFonts w:hint="default" w:ascii="Times New Roman" w:hAnsi="Times New Roman" w:cs="Times New Roman"/>
          <w:lang w:eastAsia="zh-CN"/>
        </w:rPr>
      </w:pPr>
    </w:p>
    <w:p w14:paraId="3683775A">
      <w:pPr>
        <w:ind w:firstLine="0" w:firstLineChars="0"/>
        <w:jc w:val="both"/>
        <w:rPr>
          <w:rFonts w:hint="default" w:ascii="Times New Roman" w:hAnsi="Times New Roman" w:cs="Times New Roman"/>
          <w:sz w:val="20"/>
        </w:rPr>
      </w:pPr>
      <w:r>
        <w:rPr>
          <w:rFonts w:hint="default" w:ascii="Times New Roman" w:hAnsi="Times New Roman" w:cs="Times New Roman"/>
          <w:sz w:val="20"/>
          <w:lang w:eastAsia="zh-CN"/>
        </w:rPr>
        <w:drawing>
          <wp:inline distT="0" distB="0" distL="0" distR="0">
            <wp:extent cx="3679190" cy="1552575"/>
            <wp:effectExtent l="0" t="0" r="16510" b="9525"/>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4" cstate="print"/>
                    <a:stretch>
                      <a:fillRect/>
                    </a:stretch>
                  </pic:blipFill>
                  <pic:spPr>
                    <a:xfrm>
                      <a:off x="0" y="0"/>
                      <a:ext cx="3688713" cy="1552575"/>
                    </a:xfrm>
                    <a:prstGeom prst="rect">
                      <a:avLst/>
                    </a:prstGeom>
                  </pic:spPr>
                </pic:pic>
              </a:graphicData>
            </a:graphic>
          </wp:inline>
        </w:drawing>
      </w:r>
    </w:p>
    <w:p w14:paraId="46135274">
      <w:pPr>
        <w:ind w:firstLine="180"/>
        <w:jc w:val="both"/>
        <w:rPr>
          <w:rFonts w:hint="default" w:ascii="Times New Roman" w:hAnsi="Times New Roman" w:cs="Times New Roman"/>
          <w:sz w:val="9"/>
        </w:rPr>
      </w:pPr>
    </w:p>
    <w:p w14:paraId="4CD90012">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图8.8  旱溪示意图</w:t>
      </w:r>
    </w:p>
    <w:p w14:paraId="61DD20D2">
      <w:pPr>
        <w:pStyle w:val="5"/>
        <w:jc w:val="both"/>
        <w:rPr>
          <w:rFonts w:hint="default" w:ascii="Times New Roman" w:hAnsi="Times New Roman" w:cs="Times New Roman"/>
          <w:lang w:eastAsia="zh-CN"/>
        </w:rPr>
      </w:pPr>
      <w:r>
        <w:rPr>
          <w:rFonts w:hint="default" w:ascii="Times New Roman" w:hAnsi="Times New Roman" w:cs="Times New Roman"/>
          <w:lang w:eastAsia="zh-CN"/>
        </w:rPr>
        <w:t>8.9 生态树池</w:t>
      </w:r>
    </w:p>
    <w:p w14:paraId="0249A057">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8.9.1</w:t>
      </w:r>
      <w:r>
        <w:rPr>
          <w:rFonts w:hint="default" w:ascii="Times New Roman" w:hAnsi="Times New Roman" w:cs="Times New Roman"/>
          <w:lang w:eastAsia="zh-CN"/>
        </w:rPr>
        <w:t>生态树池可分为净化型生态树池、简易型生态树池。净化型 生态树池可用于市政道路或铺装等径流污染严重区域；简易型生态树池可用于公园绿地、城市广场等径流污染较轻的区域。</w:t>
      </w:r>
    </w:p>
    <w:p w14:paraId="0FC87374">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8.9.2</w:t>
      </w:r>
      <w:r>
        <w:rPr>
          <w:rFonts w:hint="default" w:ascii="Times New Roman" w:hAnsi="Times New Roman" w:cs="Times New Roman"/>
          <w:lang w:eastAsia="zh-CN"/>
        </w:rPr>
        <w:t>生态树池外侧、底部及填料层应设置透水土工布，防止周围原土侵入，土工布规格</w:t>
      </w:r>
      <w:r>
        <w:rPr>
          <w:rFonts w:hint="default" w:ascii="Times New Roman" w:hAnsi="Times New Roman" w:eastAsia="Times New Roman" w:cs="Times New Roman"/>
          <w:lang w:val="en-US" w:eastAsia="zh-CN"/>
        </w:rPr>
        <w:t>200～300g/</w:t>
      </w:r>
      <w:r>
        <w:rPr>
          <w:rFonts w:hint="default" w:ascii="Times New Roman" w:hAnsi="Times New Roman" w:cs="Times New Roman"/>
          <w:lang w:eastAsia="zh-CN"/>
        </w:rPr>
        <w:t>㎡，土工布搭接宽度不应少于</w:t>
      </w:r>
      <w:r>
        <w:rPr>
          <w:rFonts w:hint="default" w:ascii="Times New Roman" w:hAnsi="Times New Roman" w:eastAsia="Times New Roman" w:cs="Times New Roman"/>
          <w:lang w:val="en-US" w:eastAsia="zh-CN"/>
        </w:rPr>
        <w:t>200mm</w:t>
      </w:r>
      <w:r>
        <w:rPr>
          <w:rFonts w:hint="default" w:ascii="Times New Roman" w:hAnsi="Times New Roman" w:cs="Times New Roman"/>
          <w:lang w:eastAsia="zh-CN"/>
        </w:rPr>
        <w:t>。</w:t>
      </w:r>
    </w:p>
    <w:p w14:paraId="5754EA60">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8.9.3</w:t>
      </w:r>
      <w:r>
        <w:rPr>
          <w:rFonts w:hint="default" w:ascii="Times New Roman" w:hAnsi="Times New Roman" w:cs="Times New Roman"/>
          <w:lang w:eastAsia="zh-CN"/>
        </w:rPr>
        <w:t>生态树池位于地下建筑之上、黏土较重区或拟将底部出水进行集蓄回用时，可在底部和周边设置防渗层，并设置穿孔收集管；生态树池设置于人行道时，应符合《城市道路绿化设计标准》及其他现行相关规定。</w:t>
      </w:r>
    </w:p>
    <w:p w14:paraId="3C37A94D">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8.9.4</w:t>
      </w:r>
      <w:r>
        <w:rPr>
          <w:rFonts w:hint="default" w:ascii="Times New Roman" w:hAnsi="Times New Roman" w:cs="Times New Roman"/>
          <w:lang w:eastAsia="zh-CN"/>
        </w:rPr>
        <w:t>生态树池应充分结合场地景观的营造进行植物配置；植物宜 选择耐短期水淹、耐污染的适生树种。</w:t>
      </w:r>
    </w:p>
    <w:p w14:paraId="11320B1D">
      <w:pPr>
        <w:ind w:firstLine="0" w:firstLineChars="0"/>
        <w:jc w:val="both"/>
        <w:rPr>
          <w:rFonts w:hint="default" w:ascii="Times New Roman" w:hAnsi="Times New Roman" w:cs="Times New Roman"/>
          <w:sz w:val="20"/>
          <w:lang w:eastAsia="zh-CN"/>
        </w:rPr>
      </w:pPr>
      <w:r>
        <w:rPr>
          <w:rFonts w:hint="default" w:ascii="Times New Roman" w:hAnsi="Times New Roman" w:cs="Times New Roman"/>
          <w:sz w:val="20"/>
          <w:lang w:eastAsia="zh-CN"/>
        </w:rPr>
        <w:drawing>
          <wp:inline distT="0" distB="0" distL="0" distR="0">
            <wp:extent cx="3744595" cy="1904365"/>
            <wp:effectExtent l="0" t="0" r="8255" b="635"/>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5" cstate="print"/>
                    <a:stretch>
                      <a:fillRect/>
                    </a:stretch>
                  </pic:blipFill>
                  <pic:spPr>
                    <a:xfrm>
                      <a:off x="0" y="0"/>
                      <a:ext cx="3777473" cy="1921490"/>
                    </a:xfrm>
                    <a:prstGeom prst="rect">
                      <a:avLst/>
                    </a:prstGeom>
                  </pic:spPr>
                </pic:pic>
              </a:graphicData>
            </a:graphic>
          </wp:inline>
        </w:drawing>
      </w:r>
    </w:p>
    <w:p w14:paraId="5B7689F5">
      <w:pPr>
        <w:ind w:firstLine="160"/>
        <w:jc w:val="both"/>
        <w:rPr>
          <w:rFonts w:hint="default" w:ascii="Times New Roman" w:hAnsi="Times New Roman" w:cs="Times New Roman"/>
          <w:sz w:val="8"/>
          <w:lang w:eastAsia="zh-CN"/>
        </w:rPr>
      </w:pPr>
    </w:p>
    <w:p w14:paraId="3A6BAB4D">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图8.9  生态树池示意图</w:t>
      </w:r>
    </w:p>
    <w:p w14:paraId="01E44AED">
      <w:pPr>
        <w:pStyle w:val="5"/>
        <w:jc w:val="both"/>
        <w:rPr>
          <w:rFonts w:hint="default" w:ascii="Times New Roman" w:hAnsi="Times New Roman" w:cs="Times New Roman"/>
          <w:lang w:eastAsia="zh-CN"/>
        </w:rPr>
      </w:pPr>
      <w:r>
        <w:rPr>
          <w:rFonts w:hint="default" w:ascii="Times New Roman" w:hAnsi="Times New Roman" w:cs="Times New Roman"/>
          <w:lang w:eastAsia="zh-CN"/>
        </w:rPr>
        <w:t>8.10 高位花坛</w:t>
      </w:r>
    </w:p>
    <w:p w14:paraId="5F5D0E3E">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8.10.1</w:t>
      </w:r>
      <w:r>
        <w:rPr>
          <w:rFonts w:hint="default" w:ascii="Times New Roman" w:hAnsi="Times New Roman" w:cs="Times New Roman"/>
          <w:lang w:eastAsia="zh-CN"/>
        </w:rPr>
        <w:t>高位花坛是生物滞留设施的一种，用于承接屋面雨水，可分为滞留型高位花坛、消能型高位花坛。</w:t>
      </w:r>
    </w:p>
    <w:p w14:paraId="75A0062F">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8.10.2</w:t>
      </w:r>
      <w:r>
        <w:rPr>
          <w:rFonts w:hint="default" w:ascii="Times New Roman" w:hAnsi="Times New Roman" w:cs="Times New Roman"/>
          <w:lang w:eastAsia="zh-CN"/>
        </w:rPr>
        <w:t>当雨水冲击力较大时，滞留型高位花坛宜设置砾石等缓冲设施。</w:t>
      </w:r>
    </w:p>
    <w:p w14:paraId="62BF5843">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8.10.3</w:t>
      </w:r>
      <w:r>
        <w:rPr>
          <w:rFonts w:hint="default" w:ascii="Times New Roman" w:hAnsi="Times New Roman" w:cs="Times New Roman"/>
          <w:lang w:eastAsia="zh-CN"/>
        </w:rPr>
        <w:t>在高位花坛内应设置溢流口，确保花坛内超标雨水可通过溢流口及时排出。</w:t>
      </w:r>
    </w:p>
    <w:p w14:paraId="42DECF06">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8.10.4</w:t>
      </w:r>
      <w:r>
        <w:rPr>
          <w:rFonts w:hint="default" w:ascii="Times New Roman" w:hAnsi="Times New Roman" w:cs="Times New Roman"/>
          <w:lang w:eastAsia="zh-CN"/>
        </w:rPr>
        <w:t>高位花坛应根据场地条件、景观效果等因素进行植物配置，宜选用耐旱、耐湿、抗冲刷的植物种类。</w:t>
      </w:r>
    </w:p>
    <w:p w14:paraId="1FFA511F">
      <w:pPr>
        <w:ind w:firstLine="0" w:firstLineChars="0"/>
        <w:jc w:val="both"/>
        <w:rPr>
          <w:rFonts w:hint="default" w:ascii="Times New Roman" w:hAnsi="Times New Roman" w:cs="Times New Roman"/>
          <w:lang w:eastAsia="zh-CN"/>
        </w:rPr>
      </w:pPr>
    </w:p>
    <w:p w14:paraId="100A8C77">
      <w:pPr>
        <w:ind w:firstLine="0" w:firstLineChars="0"/>
        <w:jc w:val="both"/>
        <w:rPr>
          <w:rFonts w:hint="default" w:ascii="Times New Roman" w:hAnsi="Times New Roman" w:cs="Times New Roman"/>
          <w:sz w:val="20"/>
          <w:lang w:eastAsia="zh-CN"/>
        </w:rPr>
      </w:pPr>
      <w:r>
        <w:rPr>
          <w:rFonts w:hint="default" w:ascii="Times New Roman" w:hAnsi="Times New Roman" w:cs="Times New Roman"/>
          <w:sz w:val="20"/>
          <w:lang w:eastAsia="zh-CN"/>
        </w:rPr>
        <w:drawing>
          <wp:inline distT="0" distB="0" distL="0" distR="0">
            <wp:extent cx="3636010" cy="2567940"/>
            <wp:effectExtent l="0" t="0" r="2540" b="381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6" cstate="print"/>
                    <a:srcRect l="17347" r="15476"/>
                    <a:stretch>
                      <a:fillRect/>
                    </a:stretch>
                  </pic:blipFill>
                  <pic:spPr>
                    <a:xfrm>
                      <a:off x="0" y="0"/>
                      <a:ext cx="3646912" cy="2567940"/>
                    </a:xfrm>
                    <a:prstGeom prst="rect">
                      <a:avLst/>
                    </a:prstGeom>
                    <a:ln>
                      <a:noFill/>
                    </a:ln>
                  </pic:spPr>
                </pic:pic>
              </a:graphicData>
            </a:graphic>
          </wp:inline>
        </w:drawing>
      </w:r>
    </w:p>
    <w:p w14:paraId="5F82F34C">
      <w:pPr>
        <w:ind w:firstLine="180"/>
        <w:jc w:val="both"/>
        <w:rPr>
          <w:rFonts w:hint="default" w:ascii="Times New Roman" w:hAnsi="Times New Roman" w:cs="Times New Roman"/>
          <w:sz w:val="9"/>
          <w:lang w:eastAsia="zh-CN"/>
        </w:rPr>
      </w:pPr>
    </w:p>
    <w:p w14:paraId="27B48C2F">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图8.10  高位花坛示意图</w:t>
      </w:r>
    </w:p>
    <w:p w14:paraId="4F6E7B71">
      <w:pPr>
        <w:ind w:firstLine="0" w:firstLineChars="0"/>
        <w:jc w:val="center"/>
        <w:rPr>
          <w:rFonts w:hint="default" w:ascii="Times New Roman" w:hAnsi="Times New Roman" w:cs="Times New Roman"/>
          <w:sz w:val="18"/>
          <w:szCs w:val="18"/>
          <w:lang w:eastAsia="zh-CN"/>
        </w:rPr>
      </w:pPr>
    </w:p>
    <w:p w14:paraId="7FF7AFB2">
      <w:pPr>
        <w:keepNext w:val="0"/>
        <w:keepLines w:val="0"/>
        <w:widowControl/>
        <w:suppressLineNumbers w:val="0"/>
        <w:ind w:left="0" w:leftChars="0" w:firstLine="0" w:firstLineChars="0"/>
        <w:jc w:val="left"/>
        <w:rPr>
          <w:rFonts w:hint="eastAsia" w:ascii="宋体" w:hAnsi="宋体" w:eastAsia="宋体" w:cs="宋体"/>
          <w:b/>
          <w:bCs/>
          <w:color w:val="000000"/>
          <w:kern w:val="0"/>
          <w:sz w:val="21"/>
          <w:szCs w:val="21"/>
          <w:lang w:val="en-US" w:eastAsia="zh-CN" w:bidi="ar"/>
        </w:rPr>
      </w:pPr>
      <w:r>
        <w:rPr>
          <w:rFonts w:hint="eastAsia" w:ascii="Bold" w:hAnsi="Bold" w:cs="Bold"/>
          <w:color w:val="000000"/>
          <w:kern w:val="0"/>
          <w:sz w:val="21"/>
          <w:szCs w:val="21"/>
          <w:lang w:val="en-US" w:eastAsia="zh-CN" w:bidi="ar"/>
        </w:rPr>
        <w:t>8</w:t>
      </w:r>
      <w:r>
        <w:rPr>
          <w:rFonts w:ascii="Bold" w:hAnsi="Bold" w:eastAsia="宋体" w:cs="Bold"/>
          <w:color w:val="000000"/>
          <w:kern w:val="0"/>
          <w:sz w:val="21"/>
          <w:szCs w:val="21"/>
          <w:lang w:val="en-US" w:eastAsia="zh-CN" w:bidi="ar"/>
        </w:rPr>
        <w:t>.</w:t>
      </w:r>
      <w:r>
        <w:rPr>
          <w:rFonts w:hint="eastAsia" w:ascii="Bold" w:hAnsi="Bold" w:cs="Bold"/>
          <w:color w:val="000000"/>
          <w:kern w:val="0"/>
          <w:sz w:val="21"/>
          <w:szCs w:val="21"/>
          <w:lang w:val="en-US" w:eastAsia="zh-CN" w:bidi="ar"/>
        </w:rPr>
        <w:t>11</w:t>
      </w:r>
      <w:r>
        <w:rPr>
          <w:rFonts w:ascii="Bold" w:hAnsi="Bold" w:eastAsia="宋体" w:cs="Bold"/>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透水铺装</w:t>
      </w:r>
    </w:p>
    <w:p w14:paraId="6F10B839">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8.11.1地下水位或不透水层埋深小于</w:t>
      </w:r>
      <w:r>
        <w:rPr>
          <w:rFonts w:hint="eastAsia" w:ascii="Times New Roman" w:hAnsi="Times New Roman" w:eastAsia="Times New Roman" w:cs="Times New Roman"/>
          <w:lang w:val="en-US" w:eastAsia="zh-CN"/>
        </w:rPr>
        <w:t>1.0m</w:t>
      </w:r>
      <w:r>
        <w:rPr>
          <w:rFonts w:hint="eastAsia" w:ascii="Times New Roman" w:hAnsi="Times New Roman" w:cs="Times New Roman"/>
          <w:lang w:val="en-US" w:eastAsia="zh-CN"/>
        </w:rPr>
        <w:t xml:space="preserve">时不宜采用透水地面。 </w:t>
      </w:r>
    </w:p>
    <w:p w14:paraId="5BB0898D">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8.11.2渗透铺装坡度不宜大于 2%，当坡度大于 </w:t>
      </w:r>
      <w:r>
        <w:rPr>
          <w:rFonts w:hint="default" w:ascii="Times New Roman" w:hAnsi="Times New Roman" w:cs="Times New Roman"/>
          <w:lang w:val="en-US" w:eastAsia="zh-CN"/>
        </w:rPr>
        <w:t>2%</w:t>
      </w:r>
      <w:r>
        <w:rPr>
          <w:rFonts w:hint="eastAsia" w:ascii="Times New Roman" w:hAnsi="Times New Roman" w:cs="Times New Roman"/>
          <w:lang w:val="en-US" w:eastAsia="zh-CN"/>
        </w:rPr>
        <w:t>时，沿长度方向应设置隔断层，隔断层顶宜设置在透水面层下20～30mm。8.11.3透水铺装地面宜在土基上建造，自上而下设置透水面层、透水找平层、透水基层和透水底基层；当透水铺装设置在地下室顶板上时，其覆土厚度不应小于</w:t>
      </w:r>
      <w:r>
        <w:rPr>
          <w:rFonts w:hint="default" w:ascii="Times New Roman" w:hAnsi="Times New Roman" w:cs="Times New Roman"/>
          <w:lang w:val="en-US" w:eastAsia="zh-CN"/>
        </w:rPr>
        <w:t>600mm</w:t>
      </w:r>
      <w:r>
        <w:rPr>
          <w:rFonts w:hint="eastAsia" w:ascii="Times New Roman" w:hAnsi="Times New Roman" w:cs="Times New Roman"/>
          <w:lang w:val="en-US" w:eastAsia="zh-CN"/>
        </w:rPr>
        <w:t>，并应增设排水层。</w:t>
      </w:r>
    </w:p>
    <w:p w14:paraId="42E8ADA0">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8.11.4透水面层应满足下列要求：渗透系数应大于 </w:t>
      </w:r>
      <w:r>
        <w:rPr>
          <w:rFonts w:hint="default" w:ascii="Times New Roman" w:hAnsi="Times New Roman" w:cs="Times New Roman"/>
          <w:lang w:val="en-US" w:eastAsia="zh-CN"/>
        </w:rPr>
        <w:t>1</w:t>
      </w:r>
      <w:r>
        <w:rPr>
          <w:rFonts w:hint="eastAsia" w:ascii="Times New Roman" w:hAnsi="Times New Roman" w:cs="Times New Roman"/>
          <w:lang w:val="en-US" w:eastAsia="zh-CN"/>
        </w:rPr>
        <w:t>×</w:t>
      </w:r>
      <w:r>
        <w:rPr>
          <w:rFonts w:hint="default" w:ascii="Times New Roman" w:hAnsi="Times New Roman" w:cs="Times New Roman"/>
          <w:lang w:val="en-US" w:eastAsia="zh-CN"/>
        </w:rPr>
        <w:t>10-4m/s</w:t>
      </w:r>
      <w:r>
        <w:rPr>
          <w:rFonts w:hint="eastAsia" w:ascii="Times New Roman" w:hAnsi="Times New Roman" w:cs="Times New Roman"/>
          <w:lang w:val="en-US" w:eastAsia="zh-CN"/>
        </w:rPr>
        <w:t xml:space="preserve">，可采用透水面砖、透水混凝土、嵌草砖等，透水面砖的有效孔隙率应不小于 </w:t>
      </w:r>
      <w:r>
        <w:rPr>
          <w:rFonts w:hint="default" w:ascii="Times New Roman" w:hAnsi="Times New Roman" w:cs="Times New Roman"/>
          <w:lang w:val="en-US" w:eastAsia="zh-CN"/>
        </w:rPr>
        <w:t>8%</w:t>
      </w:r>
      <w:r>
        <w:rPr>
          <w:rFonts w:hint="eastAsia" w:ascii="Times New Roman" w:hAnsi="Times New Roman" w:cs="Times New Roman"/>
          <w:lang w:val="en-US" w:eastAsia="zh-CN"/>
        </w:rPr>
        <w:t xml:space="preserve">，透水混凝土的有效孔隙率不小于 </w:t>
      </w:r>
      <w:r>
        <w:rPr>
          <w:rFonts w:hint="default" w:ascii="Times New Roman" w:hAnsi="Times New Roman" w:cs="Times New Roman"/>
          <w:lang w:val="en-US" w:eastAsia="zh-CN"/>
        </w:rPr>
        <w:t>10%</w:t>
      </w:r>
      <w:r>
        <w:rPr>
          <w:rFonts w:hint="eastAsia" w:ascii="Times New Roman" w:hAnsi="Times New Roman" w:cs="Times New Roman"/>
          <w:lang w:val="en-US" w:eastAsia="zh-CN"/>
        </w:rPr>
        <w:t xml:space="preserve">；当面层采用透水面砖时，其抗压强度、抗折强度、抗磨强度等应符合 </w:t>
      </w:r>
      <w:r>
        <w:rPr>
          <w:rFonts w:hint="default" w:ascii="Times New Roman" w:hAnsi="Times New Roman" w:cs="Times New Roman"/>
          <w:lang w:val="en-US" w:eastAsia="zh-CN"/>
        </w:rPr>
        <w:t>GB/T25993</w:t>
      </w:r>
      <w:r>
        <w:rPr>
          <w:rFonts w:hint="eastAsia" w:ascii="Times New Roman" w:hAnsi="Times New Roman" w:cs="Times New Roman"/>
          <w:lang w:val="en-US" w:eastAsia="zh-CN"/>
        </w:rPr>
        <w:t>―</w:t>
      </w:r>
      <w:r>
        <w:rPr>
          <w:rFonts w:hint="default" w:ascii="Times New Roman" w:hAnsi="Times New Roman" w:cs="Times New Roman"/>
          <w:lang w:val="en-US" w:eastAsia="zh-CN"/>
        </w:rPr>
        <w:t>2010</w:t>
      </w:r>
      <w:r>
        <w:rPr>
          <w:rFonts w:hint="eastAsia" w:ascii="Times New Roman" w:hAnsi="Times New Roman" w:cs="Times New Roman"/>
          <w:lang w:val="en-US" w:eastAsia="zh-CN"/>
        </w:rPr>
        <w:t>《透水路而砖和透水路面板》中的相关规定；当采用可种植植物的面层时，宜在下面垫层中混合一定比例的营养土。</w:t>
      </w:r>
    </w:p>
    <w:p w14:paraId="41245DC8">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8.11.5透水找平层应满足下列要求：渗透系数不小于面层，宜采用细石透水混凝土、干砂、碎石或石屑等；有效孔隙率应不小于面层；厚度宜为</w:t>
      </w:r>
      <w:r>
        <w:rPr>
          <w:rFonts w:hint="default" w:ascii="Times New Roman" w:hAnsi="Times New Roman" w:eastAsia="Times New Roman" w:cs="Times New Roman"/>
          <w:lang w:val="en-US" w:eastAsia="zh-CN"/>
        </w:rPr>
        <w:t>20mm~50mm</w:t>
      </w:r>
      <w:r>
        <w:rPr>
          <w:rFonts w:hint="eastAsia" w:ascii="Times New Roman" w:hAnsi="Times New Roman" w:cs="Times New Roman"/>
          <w:lang w:val="en-US" w:eastAsia="zh-CN"/>
        </w:rPr>
        <w:t>。</w:t>
      </w:r>
    </w:p>
    <w:p w14:paraId="2100A289">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8.11.6透水基层和透水底基层应满足下列要求：渗透系数应大于面层。底基层宜采用级配碎石、中、粗砂或天然级配砂砾料等，基层宜采用级配碎石或者透水混凝土；透水混凝土的有效孔隙率应大于</w:t>
      </w:r>
      <w:r>
        <w:rPr>
          <w:rFonts w:hint="default" w:ascii="Times New Roman" w:hAnsi="Times New Roman" w:cs="Times New Roman"/>
          <w:lang w:val="en-US" w:eastAsia="zh-CN"/>
        </w:rPr>
        <w:t>10%</w:t>
      </w:r>
      <w:r>
        <w:rPr>
          <w:rFonts w:hint="eastAsia" w:ascii="Times New Roman" w:hAnsi="Times New Roman" w:cs="Times New Roman"/>
          <w:lang w:val="en-US" w:eastAsia="zh-CN"/>
        </w:rPr>
        <w:t>，砂砾料和砾石的有效孔隙率应大于</w:t>
      </w:r>
      <w:r>
        <w:rPr>
          <w:rFonts w:hint="default" w:ascii="Times New Roman" w:hAnsi="Times New Roman" w:cs="Times New Roman"/>
          <w:lang w:val="en-US" w:eastAsia="zh-CN"/>
        </w:rPr>
        <w:t>20%</w:t>
      </w:r>
      <w:r>
        <w:rPr>
          <w:rFonts w:hint="eastAsia" w:ascii="Times New Roman" w:hAnsi="Times New Roman" w:cs="Times New Roman"/>
          <w:lang w:val="en-US" w:eastAsia="zh-CN"/>
        </w:rPr>
        <w:t>；垫层的厚度不宜小于</w:t>
      </w:r>
      <w:r>
        <w:rPr>
          <w:rFonts w:hint="default" w:ascii="Times New Roman" w:hAnsi="Times New Roman" w:cs="Times New Roman"/>
          <w:lang w:val="en-US" w:eastAsia="zh-CN"/>
        </w:rPr>
        <w:t>150mm</w:t>
      </w:r>
      <w:r>
        <w:rPr>
          <w:rFonts w:hint="eastAsia" w:ascii="Times New Roman" w:hAnsi="Times New Roman" w:cs="Times New Roman"/>
          <w:lang w:val="en-US" w:eastAsia="zh-CN"/>
        </w:rPr>
        <w:t>。</w:t>
      </w:r>
    </w:p>
    <w:p w14:paraId="13D012CA">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8.11.7透水铺装地面设计降雨量应不小于</w:t>
      </w:r>
      <w:r>
        <w:rPr>
          <w:rFonts w:hint="default" w:ascii="Times New Roman" w:hAnsi="Times New Roman" w:cs="Times New Roman"/>
          <w:lang w:val="en-US" w:eastAsia="zh-CN"/>
        </w:rPr>
        <w:t>45mm</w:t>
      </w:r>
      <w:r>
        <w:rPr>
          <w:rFonts w:hint="eastAsia" w:ascii="Times New Roman" w:hAnsi="Times New Roman" w:cs="Times New Roman"/>
          <w:lang w:val="en-US" w:eastAsia="zh-CN"/>
        </w:rPr>
        <w:t>，降雨持续时间为</w:t>
      </w:r>
      <w:r>
        <w:rPr>
          <w:rFonts w:hint="default" w:ascii="Times New Roman" w:hAnsi="Times New Roman" w:cs="Times New Roman"/>
          <w:lang w:val="en-US" w:eastAsia="zh-CN"/>
        </w:rPr>
        <w:t>60min</w:t>
      </w:r>
      <w:r>
        <w:rPr>
          <w:rFonts w:hint="eastAsia" w:ascii="Times New Roman" w:hAnsi="Times New Roman" w:cs="Times New Roman"/>
          <w:lang w:val="en-US" w:eastAsia="zh-CN"/>
        </w:rPr>
        <w:t>，透水铺装地面结构应符合《透水砖路面技术规程》</w:t>
      </w:r>
      <w:r>
        <w:rPr>
          <w:rFonts w:hint="default" w:ascii="Times New Roman" w:hAnsi="Times New Roman" w:cs="Times New Roman"/>
          <w:lang w:val="en-US" w:eastAsia="zh-CN"/>
        </w:rPr>
        <w:t>CJJ/T188</w:t>
      </w:r>
      <w:r>
        <w:rPr>
          <w:rFonts w:hint="eastAsia" w:ascii="Times New Roman" w:hAnsi="Times New Roman" w:cs="Times New Roman"/>
          <w:lang w:val="en-US" w:eastAsia="zh-CN"/>
        </w:rPr>
        <w:t>、《透水砖路面施工与验收规程》</w:t>
      </w:r>
      <w:r>
        <w:rPr>
          <w:rFonts w:hint="default" w:ascii="Times New Roman" w:hAnsi="Times New Roman" w:cs="Times New Roman"/>
          <w:lang w:val="en-US" w:eastAsia="zh-CN"/>
        </w:rPr>
        <w:t>DB11/T686</w:t>
      </w:r>
      <w:r>
        <w:rPr>
          <w:rFonts w:hint="eastAsia" w:ascii="Times New Roman" w:hAnsi="Times New Roman" w:cs="Times New Roman"/>
          <w:lang w:val="en-US" w:eastAsia="zh-CN"/>
        </w:rPr>
        <w:t>、《透水混凝土路面技术规程》</w:t>
      </w:r>
      <w:r>
        <w:rPr>
          <w:rFonts w:hint="default" w:ascii="Times New Roman" w:hAnsi="Times New Roman" w:cs="Times New Roman"/>
          <w:lang w:val="en-US" w:eastAsia="zh-CN"/>
        </w:rPr>
        <w:t>CJJ134-2009</w:t>
      </w:r>
      <w:r>
        <w:rPr>
          <w:rFonts w:hint="eastAsia" w:ascii="Times New Roman" w:hAnsi="Times New Roman" w:cs="Times New Roman"/>
          <w:lang w:val="en-US" w:eastAsia="zh-CN"/>
        </w:rPr>
        <w:t>、《透水沥青路面技术规程》</w:t>
      </w:r>
      <w:r>
        <w:rPr>
          <w:rFonts w:hint="default" w:ascii="Times New Roman" w:hAnsi="Times New Roman" w:cs="Times New Roman"/>
          <w:lang w:val="en-US" w:eastAsia="zh-CN"/>
        </w:rPr>
        <w:t xml:space="preserve">CJJ/T190-2012 </w:t>
      </w:r>
      <w:r>
        <w:rPr>
          <w:rFonts w:hint="eastAsia" w:ascii="Times New Roman" w:hAnsi="Times New Roman" w:cs="Times New Roman"/>
          <w:lang w:val="en-US" w:eastAsia="zh-CN"/>
        </w:rPr>
        <w:t xml:space="preserve">的相关规定。 </w:t>
      </w:r>
    </w:p>
    <w:p w14:paraId="28F4EB03">
      <w:pPr>
        <w:ind w:left="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8.11.8雨水径流水质等级低于 IV 级时不宜采用渗透铺装；周边的客水不宜引导到渗透铺装上。</w:t>
      </w:r>
    </w:p>
    <w:p w14:paraId="63FB84FD">
      <w:pPr>
        <w:keepNext w:val="0"/>
        <w:keepLines w:val="0"/>
        <w:widowControl/>
        <w:suppressLineNumbers w:val="0"/>
        <w:ind w:left="0" w:leftChars="0" w:firstLine="0" w:firstLineChars="0"/>
        <w:jc w:val="left"/>
        <w:rPr>
          <w:rFonts w:hint="eastAsia" w:ascii="宋体" w:hAnsi="宋体" w:eastAsia="宋体" w:cs="宋体"/>
          <w:color w:val="000000"/>
          <w:kern w:val="0"/>
          <w:sz w:val="21"/>
          <w:szCs w:val="21"/>
          <w:lang w:val="en-US" w:eastAsia="zh-CN" w:bidi="ar"/>
        </w:rPr>
      </w:pPr>
    </w:p>
    <w:p w14:paraId="36F2988A">
      <w:pPr>
        <w:ind w:left="0" w:leftChars="0" w:firstLine="0" w:firstLineChars="0"/>
        <w:jc w:val="both"/>
        <w:rPr>
          <w:rFonts w:hint="eastAsia" w:ascii="Times New Roman" w:hAnsi="Times New Roman" w:cs="Times New Roman"/>
          <w:lang w:val="en-US" w:eastAsia="zh-CN"/>
        </w:rPr>
      </w:pPr>
    </w:p>
    <w:p w14:paraId="0F07790D">
      <w:pPr>
        <w:ind w:left="0" w:leftChars="0" w:firstLine="0" w:firstLineChars="0"/>
        <w:rPr>
          <w:rFonts w:hint="default" w:ascii="Times New Roman" w:hAnsi="Times New Roman" w:cs="Times New Roman"/>
          <w:sz w:val="15"/>
          <w:lang w:eastAsia="zh-CN"/>
        </w:rPr>
      </w:pPr>
    </w:p>
    <w:p w14:paraId="05D7EAFA">
      <w:pPr>
        <w:pStyle w:val="3"/>
        <w:jc w:val="center"/>
        <w:rPr>
          <w:rFonts w:hint="default" w:ascii="Times New Roman" w:hAnsi="Times New Roman" w:cs="Times New Roman"/>
          <w:lang w:eastAsia="zh-CN"/>
        </w:rPr>
      </w:pPr>
      <w:bookmarkStart w:id="19" w:name="_Toc134459178"/>
      <w:r>
        <w:rPr>
          <w:rFonts w:hint="default" w:ascii="Times New Roman" w:hAnsi="Times New Roman" w:cs="Times New Roman"/>
          <w:lang w:eastAsia="zh-CN"/>
        </w:rPr>
        <w:t>9 主要植物选型</w:t>
      </w:r>
      <w:bookmarkEnd w:id="19"/>
    </w:p>
    <w:p w14:paraId="2DF0305F">
      <w:pPr>
        <w:ind w:left="0" w:leftChars="0" w:firstLine="0" w:firstLineChars="0"/>
        <w:jc w:val="both"/>
        <w:rPr>
          <w:rFonts w:hint="default" w:ascii="Times New Roman" w:hAnsi="Times New Roman" w:cs="Times New Roman"/>
          <w:b/>
          <w:bCs/>
          <w:lang w:eastAsia="zh-CN"/>
        </w:rPr>
      </w:pPr>
      <w:r>
        <w:rPr>
          <w:rFonts w:hint="default" w:ascii="Times New Roman" w:hAnsi="Times New Roman" w:cs="Times New Roman"/>
          <w:b/>
          <w:bCs/>
          <w:lang w:eastAsia="zh-CN"/>
        </w:rPr>
        <w:t>9.</w:t>
      </w:r>
      <w:r>
        <w:rPr>
          <w:rFonts w:hint="eastAsia" w:ascii="Times New Roman" w:hAnsi="Times New Roman" w:cs="Times New Roman"/>
          <w:b/>
          <w:bCs/>
          <w:lang w:val="en-US" w:eastAsia="zh-CN"/>
        </w:rPr>
        <w:t>0</w:t>
      </w:r>
      <w:r>
        <w:rPr>
          <w:rFonts w:hint="default" w:ascii="Times New Roman" w:hAnsi="Times New Roman" w:cs="Times New Roman"/>
          <w:b/>
          <w:bCs/>
          <w:lang w:eastAsia="zh-CN"/>
        </w:rPr>
        <w:t xml:space="preserve"> 植物选型主要原则</w:t>
      </w:r>
    </w:p>
    <w:p w14:paraId="711D5CD2">
      <w:pPr>
        <w:ind w:firstLine="420"/>
        <w:jc w:val="both"/>
        <w:rPr>
          <w:rFonts w:hint="default" w:ascii="Times New Roman" w:hAnsi="Times New Roman" w:cs="Times New Roman"/>
          <w:lang w:eastAsia="zh-CN"/>
        </w:rPr>
      </w:pPr>
      <w:r>
        <w:rPr>
          <w:rFonts w:hint="default" w:ascii="Times New Roman" w:hAnsi="Times New Roman" w:cs="Times New Roman"/>
          <w:lang w:eastAsia="zh-CN"/>
        </w:rPr>
        <w:t>雨水花园、</w:t>
      </w:r>
      <w:r>
        <w:rPr>
          <w:rFonts w:hint="eastAsia" w:ascii="Times New Roman" w:hAnsi="Times New Roman" w:cs="Times New Roman"/>
          <w:lang w:eastAsia="zh-CN"/>
        </w:rPr>
        <w:t>下沉式绿地</w:t>
      </w:r>
      <w:r>
        <w:rPr>
          <w:rFonts w:hint="default" w:ascii="Times New Roman" w:hAnsi="Times New Roman" w:cs="Times New Roman"/>
          <w:lang w:eastAsia="zh-CN"/>
        </w:rPr>
        <w:t>、植草沟等海绵设施都是以城市绿地为载体，在城市绿地中发挥其海绵体功能，针对不同的海绵城市，应根据三明的气候及地形特征</w:t>
      </w:r>
      <w:r>
        <w:rPr>
          <w:rFonts w:hint="eastAsia" w:ascii="Times New Roman" w:hAnsi="Times New Roman" w:cs="Times New Roman"/>
          <w:lang w:val="en-US" w:eastAsia="zh-CN"/>
        </w:rPr>
        <w:t>以及各个项目具体情况因地制宜</w:t>
      </w:r>
      <w:r>
        <w:rPr>
          <w:rFonts w:hint="default" w:ascii="Times New Roman" w:hAnsi="Times New Roman" w:cs="Times New Roman"/>
          <w:lang w:eastAsia="zh-CN"/>
        </w:rPr>
        <w:t>合理选择不同的植物品种。</w:t>
      </w:r>
    </w:p>
    <w:p w14:paraId="22F9ECC0">
      <w:pPr>
        <w:pStyle w:val="5"/>
        <w:jc w:val="both"/>
        <w:rPr>
          <w:rFonts w:hint="default" w:ascii="Times New Roman" w:hAnsi="Times New Roman" w:cs="Times New Roman"/>
          <w:lang w:eastAsia="zh-CN"/>
        </w:rPr>
      </w:pPr>
      <w:r>
        <w:rPr>
          <w:rFonts w:hint="default" w:ascii="Times New Roman" w:hAnsi="Times New Roman" w:cs="Times New Roman"/>
          <w:lang w:eastAsia="zh-CN"/>
        </w:rPr>
        <w:t>9.1 植物选型</w:t>
      </w:r>
      <w:r>
        <w:rPr>
          <w:rFonts w:hint="eastAsia" w:ascii="Times New Roman" w:hAnsi="Times New Roman" w:cs="Times New Roman"/>
          <w:lang w:val="en-US" w:eastAsia="zh-CN"/>
        </w:rPr>
        <w:t>重要</w:t>
      </w:r>
      <w:r>
        <w:rPr>
          <w:rFonts w:hint="default" w:ascii="Times New Roman" w:hAnsi="Times New Roman" w:cs="Times New Roman"/>
          <w:lang w:eastAsia="zh-CN"/>
        </w:rPr>
        <w:t>原则</w:t>
      </w:r>
    </w:p>
    <w:p w14:paraId="55D1C248">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9.1.1</w:t>
      </w:r>
      <w:r>
        <w:rPr>
          <w:rFonts w:hint="default" w:ascii="Times New Roman" w:hAnsi="Times New Roman" w:cs="Times New Roman"/>
          <w:lang w:eastAsia="zh-CN"/>
        </w:rPr>
        <w:t>耐淹植物的选择</w:t>
      </w:r>
    </w:p>
    <w:p w14:paraId="6CF9A669">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t xml:space="preserve">     耐淹型植物要求在有汇集雨水功能的下沉式绿地、雨水花园等海绵设施中均能够正常生长，适用于在海绵设施雨水排空时间较长的情况。</w:t>
      </w:r>
    </w:p>
    <w:p w14:paraId="781E7745">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9.1.2</w:t>
      </w:r>
      <w:r>
        <w:rPr>
          <w:rFonts w:hint="default" w:ascii="Times New Roman" w:hAnsi="Times New Roman" w:cs="Times New Roman"/>
          <w:lang w:eastAsia="zh-CN"/>
        </w:rPr>
        <w:t>耐污植物的选择</w:t>
      </w:r>
    </w:p>
    <w:p w14:paraId="0423811C">
      <w:pPr>
        <w:ind w:firstLine="0" w:firstLineChars="0"/>
        <w:jc w:val="both"/>
        <w:rPr>
          <w:rFonts w:hint="default" w:ascii="Times New Roman" w:hAnsi="Times New Roman" w:cs="Times New Roman"/>
          <w:lang w:eastAsia="zh-CN"/>
        </w:rPr>
      </w:pPr>
      <w:r>
        <w:rPr>
          <w:rFonts w:hint="default" w:ascii="Times New Roman" w:hAnsi="Times New Roman" w:cs="Times New Roman"/>
          <w:lang w:eastAsia="zh-CN"/>
        </w:rPr>
        <w:t xml:space="preserve">    植草沟、植被缓冲带等海绵设施的地表径流和雨水汇集处，常常成为重金属、化学污染物等的积聚处，所选植物需在满足耐淹属性的同时，根系发达，净化能力强，能够对雨水冲刷带来的面源污染物进行净化，使雨水无害化通过。</w:t>
      </w:r>
    </w:p>
    <w:p w14:paraId="47A45C6D">
      <w:pPr>
        <w:ind w:firstLine="0" w:firstLineChars="0"/>
        <w:jc w:val="both"/>
        <w:rPr>
          <w:rFonts w:hint="default" w:ascii="Times New Roman" w:hAnsi="Times New Roman" w:cs="Times New Roman"/>
          <w:lang w:eastAsia="zh-CN"/>
        </w:rPr>
      </w:pPr>
      <w:r>
        <w:rPr>
          <w:rFonts w:hint="default" w:ascii="Times New Roman" w:hAnsi="Times New Roman" w:cs="Times New Roman"/>
          <w:lang w:val="en-US" w:eastAsia="zh-CN"/>
        </w:rPr>
        <w:t>9.1.3</w:t>
      </w:r>
      <w:r>
        <w:rPr>
          <w:rFonts w:hint="default" w:ascii="Times New Roman" w:hAnsi="Times New Roman" w:cs="Times New Roman"/>
          <w:lang w:eastAsia="zh-CN"/>
        </w:rPr>
        <w:t>耐旱植物的选择</w:t>
      </w:r>
    </w:p>
    <w:p w14:paraId="39BC4ED5">
      <w:pPr>
        <w:ind w:firstLine="420" w:firstLineChars="0"/>
        <w:jc w:val="both"/>
        <w:rPr>
          <w:rFonts w:hint="default" w:ascii="Times New Roman" w:hAnsi="Times New Roman" w:cs="Times New Roman"/>
          <w:lang w:eastAsia="zh-CN"/>
        </w:rPr>
      </w:pPr>
      <w:r>
        <w:rPr>
          <w:rFonts w:hint="default" w:ascii="Times New Roman" w:hAnsi="Times New Roman" w:cs="Times New Roman"/>
          <w:lang w:eastAsia="zh-CN"/>
        </w:rPr>
        <w:t>屋顶绿化等海绵设施，光照强烈且市政浇灌不便，选择植物需要耐短时水淹，且在干旱期有顽强生命力，同时还应具有一定的观赏价值。</w:t>
      </w:r>
    </w:p>
    <w:p w14:paraId="2AC4AC72">
      <w:pPr>
        <w:ind w:firstLine="420" w:firstLineChars="0"/>
        <w:jc w:val="both"/>
        <w:rPr>
          <w:rFonts w:hint="default" w:ascii="Times New Roman" w:hAnsi="Times New Roman" w:cs="Times New Roman"/>
          <w:lang w:eastAsia="zh-CN"/>
        </w:rPr>
      </w:pPr>
    </w:p>
    <w:p w14:paraId="54FA3BA5">
      <w:pPr>
        <w:pStyle w:val="5"/>
        <w:jc w:val="both"/>
        <w:rPr>
          <w:rFonts w:hint="default" w:ascii="Times New Roman" w:hAnsi="Times New Roman" w:cs="Times New Roman"/>
          <w:lang w:eastAsia="zh-CN"/>
        </w:rPr>
      </w:pPr>
      <w:r>
        <w:rPr>
          <w:rFonts w:hint="default" w:ascii="Times New Roman" w:hAnsi="Times New Roman" w:cs="Times New Roman"/>
          <w:lang w:eastAsia="zh-CN"/>
        </w:rPr>
        <w:t>9.2 植物选型表</w:t>
      </w:r>
    </w:p>
    <w:p w14:paraId="4EC8B50C">
      <w:pPr>
        <w:ind w:firstLine="0" w:firstLineChars="0"/>
        <w:jc w:val="center"/>
        <w:rPr>
          <w:rFonts w:hint="default" w:ascii="Times New Roman" w:hAnsi="Times New Roman" w:eastAsia="黑体" w:cs="Times New Roman"/>
          <w:b w:val="0"/>
          <w:bCs w:val="0"/>
          <w:sz w:val="18"/>
          <w:szCs w:val="18"/>
          <w:lang w:val="en-US" w:eastAsia="zh-CN" w:bidi="ar-SA"/>
        </w:rPr>
      </w:pPr>
      <w:r>
        <w:rPr>
          <w:rFonts w:hint="default" w:ascii="Times New Roman" w:hAnsi="Times New Roman" w:eastAsia="黑体" w:cs="Times New Roman"/>
          <w:b w:val="0"/>
          <w:bCs w:val="0"/>
          <w:sz w:val="18"/>
          <w:szCs w:val="18"/>
          <w:lang w:val="en-US" w:eastAsia="zh-CN" w:bidi="ar-SA"/>
        </w:rPr>
        <w:t>表9.2.1 海绵城市建设主要适宜植物</w:t>
      </w:r>
    </w:p>
    <w:tbl>
      <w:tblPr>
        <w:tblStyle w:val="16"/>
        <w:tblW w:w="526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0"/>
        <w:gridCol w:w="622"/>
        <w:gridCol w:w="1191"/>
        <w:gridCol w:w="587"/>
        <w:gridCol w:w="240"/>
        <w:gridCol w:w="240"/>
        <w:gridCol w:w="240"/>
        <w:gridCol w:w="780"/>
        <w:gridCol w:w="782"/>
        <w:gridCol w:w="1513"/>
      </w:tblGrid>
      <w:tr w14:paraId="1474F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CB52F3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序 号</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3FCD">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植物名称</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D41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拉丁名</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7C76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科名</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B531">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耐湿</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29FDC">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耐旱</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7FD9D">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耐盐碱</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0AFC">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耐阴性</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46E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净化功能</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5709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黑体" w:hAnsi="黑体" w:eastAsia="黑体" w:cs="黑体"/>
                <w:b w:val="0"/>
                <w:bCs w:val="0"/>
                <w:i w:val="0"/>
                <w:iCs w:val="0"/>
                <w:color w:val="000000"/>
                <w:kern w:val="2"/>
                <w:sz w:val="18"/>
                <w:szCs w:val="18"/>
                <w:u w:val="none"/>
                <w:lang w:eastAsia="zh-CN"/>
              </w:rPr>
            </w:pPr>
            <w:r>
              <w:rPr>
                <w:rStyle w:val="45"/>
                <w:rFonts w:hint="eastAsia" w:ascii="黑体" w:hAnsi="黑体" w:eastAsia="黑体" w:cs="黑体"/>
                <w:b w:val="0"/>
                <w:bCs w:val="0"/>
                <w:kern w:val="2"/>
                <w:sz w:val="18"/>
                <w:szCs w:val="18"/>
                <w:lang w:val="en-US" w:eastAsia="zh-CN" w:bidi="ar"/>
              </w:rPr>
              <w:t>适用LID类型</w:t>
            </w:r>
          </w:p>
        </w:tc>
      </w:tr>
      <w:tr w14:paraId="4D84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5F367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挺水植物</w:t>
            </w:r>
          </w:p>
        </w:tc>
      </w:tr>
      <w:tr w14:paraId="59137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90560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2"/>
                <w:sz w:val="18"/>
                <w:szCs w:val="18"/>
                <w:u w:val="none"/>
                <w:lang w:val="en-US" w:eastAsia="zh-CN"/>
              </w:rPr>
              <w:t xml:space="preserve">   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223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灯心草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5C7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Juncus</w:t>
            </w:r>
            <w:r>
              <w:rPr>
                <w:rStyle w:val="45"/>
                <w:rFonts w:hint="eastAsia"/>
                <w:kern w:val="2"/>
                <w:sz w:val="18"/>
                <w:szCs w:val="18"/>
                <w:lang w:val="en-US" w:eastAsia="zh-CN" w:bidi="ar"/>
              </w:rPr>
              <w:t xml:space="preserve"> </w:t>
            </w:r>
            <w:r>
              <w:rPr>
                <w:rStyle w:val="45"/>
                <w:rFonts w:hint="default"/>
                <w:kern w:val="2"/>
                <w:sz w:val="18"/>
                <w:szCs w:val="18"/>
                <w:lang w:val="en-US" w:eastAsia="zh-CN" w:bidi="ar"/>
              </w:rPr>
              <w:t>effusus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D5A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灯心草科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C2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81137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D0145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3DD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34F6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去除氮磷、酚、重金属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E7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生物滞留设施、湿塘与雨水湿地、植草沟</w:t>
            </w:r>
          </w:p>
        </w:tc>
      </w:tr>
      <w:tr w14:paraId="7B1F4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93A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0B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水葱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4A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Scirpus validus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7B4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3CC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89761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706DF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B4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27A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重金属、降解BOD、COD、氮磷有机物，净化多元酚</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812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5F4DC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97F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5E63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梭鱼草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351F5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Pontederia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cordata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4D3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雨久花科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CEF9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0E40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1DDF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206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4F4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重金属、去除总氮</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14A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1CF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83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C1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雨久花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76F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Monochoria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korsakowii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DC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雨久花科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C25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1E402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557D9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51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喜光稍耐荫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242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去除氨氮、酚</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2A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湿塘与雨水湿地、干塘</w:t>
            </w:r>
          </w:p>
        </w:tc>
      </w:tr>
      <w:tr w14:paraId="12CE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FD2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5B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芦苇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BF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Phragmites</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australis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1B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8D6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5D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CB3B5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A26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40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悬浮物、重金属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F7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生物滞留设施、植草沟、干塘</w:t>
            </w:r>
          </w:p>
        </w:tc>
      </w:tr>
      <w:tr w14:paraId="7931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CE6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DCB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芦竹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A2B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Arundo donax</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314E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82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FF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B3796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9B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5A9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83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生物滞留设施、湿塘与雨水湿、干塘、植草沟</w:t>
            </w:r>
          </w:p>
        </w:tc>
      </w:tr>
      <w:tr w14:paraId="41778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6B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C5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茭白</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613F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Zizania latifolia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742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75C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D8F03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F84BA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8F6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7F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43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16855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1E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204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51D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Zizania latifolia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22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42A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C2FD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50A44B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A3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A5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92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w:t>
            </w:r>
          </w:p>
        </w:tc>
      </w:tr>
      <w:tr w14:paraId="49EFC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D7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5D9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姜花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50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Hedychium</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coronarium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064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EB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FEB6A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7C1DE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08B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37AF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359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10D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D2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795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荷花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A0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Nelumbo nucifera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0B7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莲科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016F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4EC5E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2A9CE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5F3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D7E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悬浮物、重金属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7C8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019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8E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ACF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美人蕉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7E398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Canna indica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A3A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美人蕉科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F3EFCD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7AA974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AC05A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633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58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营养物、重金属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91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湿塘与雨水湿地、干塘、植草沟</w:t>
            </w:r>
          </w:p>
        </w:tc>
      </w:tr>
      <w:tr w14:paraId="0656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337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121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水生美人蕉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9B6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Cannaglauca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DA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美人蕉科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304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2FDC6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A4A4D6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73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68213C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1776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0086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0AC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85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花叶美人蕉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838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Canna glauca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8C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美人蕉科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4E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E45BE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42987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A14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FB7AF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AA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25B1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D4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9C2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千屈菜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15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Lythrum salicaria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55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千屈菜科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B1A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4EC33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08271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ED2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4D3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营养物、重金属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5D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生物滞留设施、湿塘与雨水湿地、植草沟</w:t>
            </w:r>
          </w:p>
        </w:tc>
      </w:tr>
      <w:tr w14:paraId="69A78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AF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85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矮生蒲苇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3EE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Cortaderia</w:t>
            </w:r>
            <w:r>
              <w:rPr>
                <w:rStyle w:val="45"/>
                <w:rFonts w:hint="default"/>
                <w:kern w:val="2"/>
                <w:sz w:val="18"/>
                <w:szCs w:val="18"/>
                <w:lang w:val="en-US" w:eastAsia="zh-CN" w:bidi="ar"/>
              </w:rPr>
              <w:br w:type="textWrapping"/>
            </w:r>
            <w:r>
              <w:rPr>
                <w:rStyle w:val="45"/>
                <w:rFonts w:hint="default"/>
                <w:kern w:val="2"/>
                <w:sz w:val="18"/>
                <w:szCs w:val="18"/>
                <w:lang w:val="en-US" w:eastAsia="zh-CN" w:bidi="ar"/>
              </w:rPr>
              <w:t>selloana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D3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乔本科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1B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A732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451FB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011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0099D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E01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湿塘与雨水湿地、干塘</w:t>
            </w:r>
          </w:p>
        </w:tc>
      </w:tr>
      <w:tr w14:paraId="4495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354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8D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蒲苇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7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Cortaderia</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selloana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07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乔本科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BD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BD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A2237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5E66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7C07C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3F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湿塘与雨水湿地、干塘</w:t>
            </w:r>
          </w:p>
        </w:tc>
      </w:tr>
      <w:tr w14:paraId="50D7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6AD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77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花叶芦竹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B2401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7E2E00"/>
                <w:kern w:val="2"/>
                <w:sz w:val="18"/>
                <w:szCs w:val="18"/>
                <w:u w:val="none"/>
                <w:lang w:eastAsia="zh-CN"/>
              </w:rPr>
            </w:pPr>
            <w:r>
              <w:rPr>
                <w:rFonts w:hint="default" w:ascii="宋体" w:hAnsi="宋体" w:eastAsia="宋体" w:cs="宋体"/>
                <w:i w:val="0"/>
                <w:iCs w:val="0"/>
                <w:color w:val="7E2E00"/>
                <w:kern w:val="0"/>
                <w:sz w:val="18"/>
                <w:szCs w:val="18"/>
                <w:u w:val="none"/>
                <w:lang w:val="en-US" w:eastAsia="zh-CN" w:bidi="ar"/>
              </w:rPr>
              <w:t>Aru</w:t>
            </w:r>
            <w:r>
              <w:rPr>
                <w:rStyle w:val="45"/>
                <w:rFonts w:hint="default"/>
                <w:kern w:val="2"/>
                <w:sz w:val="18"/>
                <w:szCs w:val="18"/>
                <w:lang w:val="en-US" w:eastAsia="zh-CN" w:bidi="ar"/>
              </w:rPr>
              <w:t>ndo donax</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var.versicolor</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887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乔本科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635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A1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391B4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612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5DDB6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E8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生物滞留设施、湿塘与雨水湿地、干塘、植被缓冲带</w:t>
            </w:r>
          </w:p>
        </w:tc>
      </w:tr>
      <w:tr w14:paraId="49EC8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CBF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159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铜钱草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AA2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Centella asiatica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C55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伞形科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1E9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A3605F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B58B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DA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忌暴 晒耐半阴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53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氮磷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3B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w:t>
            </w:r>
          </w:p>
        </w:tc>
      </w:tr>
      <w:tr w14:paraId="4872C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EDE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31D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风车草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3BD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Clinopodium</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urticifolium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974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51A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66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ACBFF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494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41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1EE5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w:t>
            </w:r>
          </w:p>
        </w:tc>
      </w:tr>
      <w:tr w14:paraId="5D3DA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01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09F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纸莎草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02B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Cyperus papyrus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92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9BA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6EE0C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97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70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C3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1F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w:t>
            </w:r>
          </w:p>
        </w:tc>
      </w:tr>
      <w:tr w14:paraId="3199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24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F46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旱伞草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ADE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Phyllostachys</w:t>
            </w:r>
            <w:r>
              <w:rPr>
                <w:rStyle w:val="45"/>
                <w:rFonts w:hint="default"/>
                <w:kern w:val="2"/>
                <w:sz w:val="18"/>
                <w:szCs w:val="18"/>
                <w:lang w:val="en-US" w:eastAsia="zh-CN" w:bidi="ar"/>
              </w:rPr>
              <w:br w:type="textWrapping"/>
            </w:r>
            <w:r>
              <w:rPr>
                <w:rStyle w:val="45"/>
                <w:rFonts w:hint="default"/>
                <w:kern w:val="2"/>
                <w:sz w:val="18"/>
                <w:szCs w:val="18"/>
                <w:lang w:val="en-US" w:eastAsia="zh-CN" w:bidi="ar"/>
              </w:rPr>
              <w:t>heteroclada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03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BBB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B361D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1231A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21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D1DFA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4B6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583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C68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46A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苔草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F6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Carex tristachya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05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C6CBB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1D5C0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4B15D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A87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ECFAC0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DE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生物滞留设施、植被缓冲带、干塘</w:t>
            </w:r>
          </w:p>
        </w:tc>
      </w:tr>
      <w:tr w14:paraId="2C133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32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09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金叶苔草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4EA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Carex</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FC3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54C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87C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033BB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82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8C694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3CC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生物滞留设施、植被缓冲带、干塘</w:t>
            </w:r>
          </w:p>
        </w:tc>
      </w:tr>
      <w:tr w14:paraId="4E104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2E7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E6C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水车前</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04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Ottelia alismoides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AF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水鳖科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81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442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92215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61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AFA1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88F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湿塘与雨水湿地、干塘</w:t>
            </w:r>
          </w:p>
        </w:tc>
      </w:tr>
      <w:tr w14:paraId="25CD4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4B4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4E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水芋</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E7B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Calla palustris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B2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DE7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C6C8A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7D5BC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2E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83F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降解BOD、COD、去除总氮、总磷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D6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503F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6A1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4A2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石菖蒲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4F07F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Acorus</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tatarinowi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A86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5E8F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E35AA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F2A32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47E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C2D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D319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BB57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F3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3A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BD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Acorus calamus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DB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ECCF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89E58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495BE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B38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13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去除氨氮、细菌、大肠杆菌</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2F66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w:t>
            </w:r>
          </w:p>
        </w:tc>
      </w:tr>
      <w:tr w14:paraId="2FB19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DF2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3F7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0D6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Acorus gramineus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40B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4D3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00DAB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20D2B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A02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C623FC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2BEA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C07B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A476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8B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香蒲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5DE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Typha orientalis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74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香蒲科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CCF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7E10D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BEDB7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530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77B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重金属、降解COD及石油废水有机物、去除氮磷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3C4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48C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C7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C6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水烛</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273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Typha</w:t>
            </w:r>
            <w:r>
              <w:rPr>
                <w:rStyle w:val="45"/>
                <w:rFonts w:hint="default"/>
                <w:kern w:val="2"/>
                <w:sz w:val="18"/>
                <w:szCs w:val="18"/>
                <w:lang w:val="en-US" w:eastAsia="zh-CN" w:bidi="ar"/>
              </w:rPr>
              <w:br w:type="textWrapping"/>
            </w:r>
            <w:r>
              <w:rPr>
                <w:rStyle w:val="45"/>
                <w:rFonts w:hint="default"/>
                <w:kern w:val="2"/>
                <w:sz w:val="18"/>
                <w:szCs w:val="18"/>
                <w:lang w:val="en-US" w:eastAsia="zh-CN" w:bidi="ar"/>
              </w:rPr>
              <w:t>angustifolia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91C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香蒲科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80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B77CA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545F0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35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D44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重金属、降解COD、氮磷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5436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D6A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1D5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AF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凤眼莲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555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Eichhornia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crassipes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CD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雨久花科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29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E4C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39F1E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61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708E1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EB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7A1D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6F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016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5D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Iris pseudacor</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625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鸢尾科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683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5EAA6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83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39A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A6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7D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生物滞留设施、湿塘与雨水湿地、干塘、植被缓冲带</w:t>
            </w:r>
          </w:p>
        </w:tc>
      </w:tr>
      <w:tr w14:paraId="3032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BD9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B1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鸢尾</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96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Iris tectorum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05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鸢尾科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17E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93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4F2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EA3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0D0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A85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生物滞留设施、湿塘与雨水湿地、干塘、植被缓冲带</w:t>
            </w:r>
          </w:p>
        </w:tc>
      </w:tr>
      <w:tr w14:paraId="671DA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04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4158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52BF6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Iris ensata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216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鸢尾科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57508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3889E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65B44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4D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1C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去除氮磷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A31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449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0B5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1D9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慈姑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991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Sagittaria</w:t>
            </w:r>
            <w:r>
              <w:rPr>
                <w:rStyle w:val="45"/>
                <w:rFonts w:hint="default"/>
                <w:kern w:val="2"/>
                <w:sz w:val="18"/>
                <w:szCs w:val="18"/>
                <w:lang w:val="en-US" w:eastAsia="zh-CN" w:bidi="ar"/>
              </w:rPr>
              <w:br w:type="textWrapping"/>
            </w:r>
            <w:r>
              <w:rPr>
                <w:rStyle w:val="45"/>
                <w:rFonts w:hint="default"/>
                <w:kern w:val="2"/>
                <w:sz w:val="18"/>
                <w:szCs w:val="18"/>
                <w:lang w:val="en-US" w:eastAsia="zh-CN" w:bidi="ar"/>
              </w:rPr>
              <w:t>sagittifolia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DF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泽泻科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C4E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EA792D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ACDAE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A61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D03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降解BOD、重金属、去除总氮总磷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65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541BE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227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2C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泽泻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0D7EC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Alisma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plantago</w:t>
            </w:r>
            <w:r>
              <w:rPr>
                <w:rStyle w:val="45"/>
                <w:rFonts w:hint="eastAsia"/>
                <w:kern w:val="2"/>
                <w:sz w:val="18"/>
                <w:szCs w:val="18"/>
                <w:lang w:val="en-US" w:eastAsia="zh-CN" w:bidi="ar"/>
              </w:rPr>
              <w:t xml:space="preserve"> </w:t>
            </w:r>
            <w:r>
              <w:rPr>
                <w:rStyle w:val="45"/>
                <w:rFonts w:hint="default"/>
                <w:kern w:val="2"/>
                <w:sz w:val="18"/>
                <w:szCs w:val="18"/>
                <w:lang w:val="en-US" w:eastAsia="zh-CN" w:bidi="ar"/>
              </w:rPr>
              <w:t>aquatica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A1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泽泻科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FF6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C8BF6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C5DFE3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0E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65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营养物</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502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2F4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7D6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15F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泽苔草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6E8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Caldesia</w:t>
            </w:r>
            <w:r>
              <w:rPr>
                <w:rStyle w:val="45"/>
                <w:rFonts w:hint="default"/>
                <w:kern w:val="2"/>
                <w:sz w:val="18"/>
                <w:szCs w:val="18"/>
                <w:lang w:val="en-US" w:eastAsia="zh-CN" w:bidi="ar"/>
              </w:rPr>
              <w:br w:type="textWrapping"/>
            </w:r>
            <w:r>
              <w:rPr>
                <w:rStyle w:val="45"/>
                <w:rFonts w:hint="default"/>
                <w:kern w:val="2"/>
                <w:sz w:val="18"/>
                <w:szCs w:val="18"/>
                <w:lang w:val="en-US" w:eastAsia="zh-CN" w:bidi="ar"/>
              </w:rPr>
              <w:t>parnassifolia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3ED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泽泻科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FD5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091D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578E1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424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2B71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重金属、去除总氮总磷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8AF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w:t>
            </w:r>
          </w:p>
        </w:tc>
      </w:tr>
      <w:tr w14:paraId="4959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7AB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A68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再力花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3DA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Thalia dealbata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7A1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竹芋科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C2B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9B13C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89FF3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3E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D90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7B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048C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6F6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0A3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水生竹芋</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583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Thalia dealbata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2E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竹芋科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3F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CF6E4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0614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33D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忌暴晒耐半阴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7E83D8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98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8ECF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C067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浮叶植物</w:t>
            </w:r>
          </w:p>
        </w:tc>
      </w:tr>
      <w:tr w14:paraId="63E1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53F23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EDC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3DA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Trapa bispinosa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9A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3D0C1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E78DC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2EFB73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436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D8C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去除总氮</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1B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2C3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B8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1E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野菱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74FF4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Trapa incisa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var.sieb</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53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6B04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2DEB4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00F7D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9B2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D2B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去除总氮</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11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CF9C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FD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24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荇菜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6E88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Nymphoides</w:t>
            </w:r>
            <w:r>
              <w:rPr>
                <w:rStyle w:val="45"/>
                <w:rFonts w:hint="default"/>
                <w:kern w:val="2"/>
                <w:sz w:val="18"/>
                <w:szCs w:val="18"/>
                <w:lang w:val="en-US" w:eastAsia="zh-CN" w:bidi="ar"/>
              </w:rPr>
              <w:br w:type="textWrapping"/>
            </w:r>
            <w:r>
              <w:rPr>
                <w:rStyle w:val="45"/>
                <w:rFonts w:hint="default"/>
                <w:kern w:val="2"/>
                <w:sz w:val="18"/>
                <w:szCs w:val="18"/>
                <w:lang w:val="en-US" w:eastAsia="zh-CN" w:bidi="ar"/>
              </w:rPr>
              <w:t>peltata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4186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睡菜科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24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CAEE7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3B43F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6D5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02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降解BOD、COD、去除总氮总磷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910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1E90E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CB3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DCE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萍蓬草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E9D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Nuphar pumila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5B6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睡菜科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DA1A0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451CB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02F5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9F32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07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降 解 C O D</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ED3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002A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6D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BED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睡莲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BECBE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Nymphaea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tetragona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6F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睡莲科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0A9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6ABF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8D336D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635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F1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降解BOD、COD、去除总氮</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724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ACF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4D07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漂浮植物</w:t>
            </w:r>
          </w:p>
        </w:tc>
      </w:tr>
      <w:tr w14:paraId="5E48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69CF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2"/>
                <w:sz w:val="18"/>
                <w:szCs w:val="18"/>
                <w:u w:val="none"/>
                <w:lang w:val="en-US" w:eastAsia="zh-CN"/>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6F5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浮萍</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427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Lemna minor</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5E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浮萍科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A4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259FE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B86A8D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B26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280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重金属、有机物、去除总磷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CB4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4A5C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E18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BFB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紫萍</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A9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Spirodela</w:t>
            </w:r>
            <w:r>
              <w:rPr>
                <w:rStyle w:val="45"/>
                <w:rFonts w:hint="default"/>
                <w:kern w:val="2"/>
                <w:sz w:val="18"/>
                <w:szCs w:val="18"/>
                <w:lang w:val="en-US" w:eastAsia="zh-CN" w:bidi="ar"/>
              </w:rPr>
              <w:br w:type="textWrapping"/>
            </w:r>
            <w:r>
              <w:rPr>
                <w:rStyle w:val="45"/>
                <w:rFonts w:hint="default"/>
                <w:kern w:val="2"/>
                <w:sz w:val="18"/>
                <w:szCs w:val="18"/>
                <w:lang w:val="en-US" w:eastAsia="zh-CN" w:bidi="ar"/>
              </w:rPr>
              <w:t>polyrrhiza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46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浮萍科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B9D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6B2CC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A0326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39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98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重金属、有机物、去除总磷</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7D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6790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9D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23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黄花狸藻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D45F5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Utricularia aurea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E8E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狸藻科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ED69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BF7EC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D2BAE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2D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C28E4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5D8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C2EB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2F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4A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狸藻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6C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Utricularia</w:t>
            </w:r>
            <w:r>
              <w:rPr>
                <w:rStyle w:val="45"/>
                <w:rFonts w:hint="default"/>
                <w:kern w:val="2"/>
                <w:sz w:val="18"/>
                <w:szCs w:val="18"/>
                <w:lang w:val="en-US" w:eastAsia="zh-CN" w:bidi="ar"/>
              </w:rPr>
              <w:br w:type="textWrapping"/>
            </w:r>
            <w:r>
              <w:rPr>
                <w:rStyle w:val="45"/>
                <w:rFonts w:hint="default"/>
                <w:kern w:val="2"/>
                <w:sz w:val="18"/>
                <w:szCs w:val="18"/>
                <w:lang w:val="en-US" w:eastAsia="zh-CN" w:bidi="ar"/>
              </w:rPr>
              <w:t>vulgaris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D6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狸藻科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77B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E9738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62E3E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7A9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863CA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1C4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62A6F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E63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5F2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水鳖</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B25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Hydrocharis</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dubia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510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水鳖科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87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9E9EA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20EBD6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95D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3D4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总氮、总磷、COD</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top"/>
          </w:tcPr>
          <w:p w14:paraId="1B70CF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r>
      <w:tr w14:paraId="39DBF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812C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沉水植物</w:t>
            </w:r>
          </w:p>
        </w:tc>
      </w:tr>
      <w:tr w14:paraId="7E319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42B90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2"/>
                <w:sz w:val="18"/>
                <w:szCs w:val="18"/>
                <w:u w:val="none"/>
                <w:lang w:val="en-US" w:eastAsia="zh-CN"/>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A26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莼菜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6551A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Brasenia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schreberi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A0E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莼菜科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128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76743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45D81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79E336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E91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4A0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6B6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F54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E9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金鱼藻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EF237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Ceratophyllum</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demersum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5E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金鱼藻科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C2A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7A786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95A68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485368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DA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89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3F4C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1D2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745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大茨藻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69A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Najas marina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E05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茨藻科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2B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37619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5DC31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087707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F55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总氮总磷、氨氮、重金属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AC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18789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330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DA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黑藻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F015B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Hydrilla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verticillato</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02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水鳖科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648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5A01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ACD1D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37DF8A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996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3B8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585EA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1F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5D6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伊乐藻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18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Elodea nuttallii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917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水鳖科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B3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CA701F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5C77B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7F381B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848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总氮总磷、氨氮、重金属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D516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14CC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8FA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B8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眼子菜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2AC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Potamogeton</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distinctus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A1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眼子菜科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24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39DAB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DD65D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78DC5B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D92211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5826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2AD1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65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496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竹叶眼子菜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EA90D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Potamogeton</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malaianus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44E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眼子菜科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8A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0EF0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43FEE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6E15E6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8BA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去除总氮</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99C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3CCD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493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D1D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道草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C71E8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Potamogeton</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crispus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CCA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眼子菜科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4D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8EEF8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8596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26CDA82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964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总氮总磷、氨氮、重金属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D9F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9CD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E3D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83D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狐尾藻</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BA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Myriophyllum</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verticillatum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036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小二仙草科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86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7EFD3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1CCCC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top"/>
          </w:tcPr>
          <w:p w14:paraId="4A8400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D29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总氮总磷、氨氮、重金属</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3DB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762B0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2CBB2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乔木类植物</w:t>
            </w:r>
          </w:p>
        </w:tc>
      </w:tr>
      <w:tr w14:paraId="000A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1163D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E96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秋枫</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B4A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Bischofiajavanica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A3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80E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64D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B6D6C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35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C6E9B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25B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93B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E6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7F7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鸡冠刺桐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2A5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Erythrina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crista-galli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AB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蝶形花科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D7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6B961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3B5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77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BC6AF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A70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94A4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D3B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69A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刺桐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F02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ErythrinaindicaL</w:t>
            </w:r>
            <w:r>
              <w:rPr>
                <w:rStyle w:val="45"/>
                <w:rFonts w:hint="default"/>
                <w:kern w:val="2"/>
                <w:sz w:val="18"/>
                <w:szCs w:val="18"/>
                <w:lang w:val="en-US" w:eastAsia="zh-CN" w:bidi="ar"/>
              </w:rPr>
              <w:t>am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6A5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85C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8462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C497F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15D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B66CE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86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FB2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06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83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腊肠树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71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Cassia fistula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93C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98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C98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594D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391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DDF88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8A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31E4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ADFE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A0D8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铁刀木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29F42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Cassia siamea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E0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CBC0C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A8AF6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2145B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26D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ECC8B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11B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F5D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55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C8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台湾相思</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58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Acacia confusa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91F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1FDC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EF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7552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81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EC8E0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4916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FB54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B2D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DC6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羊蹄甲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73C625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Bauhinia</w:t>
            </w:r>
            <w:r>
              <w:rPr>
                <w:rStyle w:val="50"/>
                <w:rFonts w:eastAsia="宋体"/>
                <w:kern w:val="2"/>
                <w:sz w:val="18"/>
                <w:szCs w:val="18"/>
                <w:lang w:val="en-US" w:eastAsia="zh-CN" w:bidi="ar"/>
              </w:rPr>
              <w:br w:type="textWrapping"/>
            </w:r>
            <w:r>
              <w:rPr>
                <w:rStyle w:val="45"/>
                <w:rFonts w:hint="default"/>
                <w:kern w:val="2"/>
                <w:sz w:val="18"/>
                <w:szCs w:val="18"/>
                <w:lang w:val="en-US" w:eastAsia="zh-CN" w:bidi="ar"/>
              </w:rPr>
              <w:t>purpurea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C2AE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87BFE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AE24E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E2B0E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A21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E076F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E7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20270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56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5D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艳紫荆</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267C3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Bauhinia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blakeana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691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0A5390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F598D0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A038D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EA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F40874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EC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64C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D6E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8A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枫杨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1D2BB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Pterocarya</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stenoptera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027C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胡桃科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79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1F2E5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1BF64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571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6E1E4C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B6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CCD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78A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1D2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黄槿</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478F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Hibiscus tiliaceus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724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锦葵科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BFE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5D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57ECD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998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25FE3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C7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7DE03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50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38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3C4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Camptotheca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acuminata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81BF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蓝果树科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9A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F49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89E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BB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D7731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57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3A5D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39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43C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楝树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081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Melia azedarach</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7A0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楝科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1B0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20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1D08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F14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2BB2B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6B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0D81D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ECB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FB7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桃花芯木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7DE6A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Swietenia</w:t>
            </w:r>
            <w:r>
              <w:rPr>
                <w:rStyle w:val="45"/>
                <w:rFonts w:hint="default"/>
                <w:kern w:val="2"/>
                <w:sz w:val="18"/>
                <w:szCs w:val="18"/>
                <w:lang w:val="en-US" w:eastAsia="zh-CN" w:bidi="ar"/>
              </w:rPr>
              <w:br w:type="textWrapping"/>
            </w:r>
            <w:r>
              <w:rPr>
                <w:rStyle w:val="45"/>
                <w:rFonts w:hint="default"/>
                <w:kern w:val="2"/>
                <w:sz w:val="18"/>
                <w:szCs w:val="18"/>
                <w:lang w:val="en-US" w:eastAsia="zh-CN" w:bidi="ar"/>
              </w:rPr>
              <w:t>macrophylla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906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楝科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777D0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873F2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D10C6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944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1C7C1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8F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BEA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BF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96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麻楝</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757E45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Chukrasia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tabularis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68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楝科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508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8B2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C6E0D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FC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233FE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835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AE4C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AE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8A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露兜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C72B7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Pandanus</w:t>
            </w:r>
            <w:r>
              <w:rPr>
                <w:rStyle w:val="47"/>
                <w:rFonts w:eastAsia="宋体"/>
                <w:kern w:val="2"/>
                <w:sz w:val="18"/>
                <w:szCs w:val="18"/>
                <w:lang w:val="en-US" w:eastAsia="zh-CN" w:bidi="ar"/>
              </w:rPr>
              <w:br w:type="textWrapping"/>
            </w:r>
            <w:r>
              <w:rPr>
                <w:rStyle w:val="45"/>
                <w:rFonts w:hint="default"/>
                <w:kern w:val="2"/>
                <w:sz w:val="18"/>
                <w:szCs w:val="18"/>
                <w:lang w:val="en-US" w:eastAsia="zh-CN" w:bidi="ar"/>
              </w:rPr>
              <w:t>tectorius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AC5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露兜树科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0B9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E995E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AB75C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3EF1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B410A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00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4C3A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B2B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898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美丽异木棉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2AE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Ceiba speciosa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AE5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EB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B378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B7F0B2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F84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789AC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FBA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87C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CF8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0F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大腹木棉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D7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Ceiba insignis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CFC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D9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A3B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F5AB0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1D1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B46DB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B82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7A53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6F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922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朴树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9A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Celtis sinensis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90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朴树科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9C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DA7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613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FF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82AB2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49A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7CEB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897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94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盐肤木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2D2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Rhus chinensis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4B7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漆树科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BE0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8E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8C25B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215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F2B1C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59D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566CB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95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7DB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三角枫</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FD259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Acer</w:t>
            </w:r>
            <w:r>
              <w:rPr>
                <w:rStyle w:val="45"/>
                <w:rFonts w:hint="default"/>
                <w:kern w:val="2"/>
                <w:sz w:val="18"/>
                <w:szCs w:val="18"/>
                <w:lang w:val="en-US" w:eastAsia="zh-CN" w:bidi="ar"/>
              </w:rPr>
              <w:br w:type="textWrapping"/>
            </w:r>
            <w:r>
              <w:rPr>
                <w:rStyle w:val="45"/>
                <w:rFonts w:hint="default"/>
                <w:kern w:val="2"/>
                <w:sz w:val="18"/>
                <w:szCs w:val="18"/>
                <w:lang w:val="en-US" w:eastAsia="zh-CN" w:bidi="ar"/>
              </w:rPr>
              <w:t>buergerianum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108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槭树科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939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30C8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D16AD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45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7657D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5818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365E1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8B9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92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大花紫薇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AD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Lagerstroemia</w:t>
            </w:r>
            <w:r>
              <w:rPr>
                <w:rStyle w:val="45"/>
                <w:rFonts w:hint="default"/>
                <w:kern w:val="2"/>
                <w:sz w:val="18"/>
                <w:szCs w:val="18"/>
                <w:lang w:val="en-US" w:eastAsia="zh-CN" w:bidi="ar"/>
              </w:rPr>
              <w:br w:type="textWrapping"/>
            </w:r>
            <w:r>
              <w:rPr>
                <w:rStyle w:val="45"/>
                <w:rFonts w:hint="default"/>
                <w:kern w:val="2"/>
                <w:sz w:val="18"/>
                <w:szCs w:val="18"/>
                <w:lang w:val="en-US" w:eastAsia="zh-CN" w:bidi="ar"/>
              </w:rPr>
              <w:t>speciosa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67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千屈菜科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86F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EA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DB2B1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F9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0073D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4A4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8E3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2A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8E6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大叶榕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6DD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altissima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E8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62612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550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C770B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1D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9108C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FBC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37AD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5C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7D7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高山榕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17BA7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altissima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3BF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083D6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EF8E2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7555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5F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3824C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1AE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D2E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7E2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20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小叶榕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F19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microcarpa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248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B3518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2B45B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823D3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10E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8F7E4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F4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CE9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55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DB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垂叶榕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165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benjamina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DB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BB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254F3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CE6A16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0BF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29AE1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BD1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5B5D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BF2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57D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印度橡皮榕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F90D3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elastica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1DF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CAB45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2A189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4987A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9A3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2DA5A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B71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A17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E8D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07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柳叶榕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0AD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benjamina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7E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7BA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B44F6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86CC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0E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D3791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05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31C4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350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39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银桦</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896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Grevillea robusta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D1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山龙眼科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01C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72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400EA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E4B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4B31D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70C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0694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0EE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FC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E4E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Metasequoia</w:t>
            </w:r>
            <w:r>
              <w:rPr>
                <w:rStyle w:val="45"/>
                <w:rFonts w:hint="default"/>
                <w:kern w:val="2"/>
                <w:sz w:val="18"/>
                <w:szCs w:val="18"/>
                <w:lang w:val="en-US" w:eastAsia="zh-CN" w:bidi="ar"/>
              </w:rPr>
              <w:br w:type="textWrapping"/>
            </w:r>
            <w:r>
              <w:rPr>
                <w:rStyle w:val="45"/>
                <w:rFonts w:hint="default"/>
                <w:kern w:val="2"/>
                <w:sz w:val="18"/>
                <w:szCs w:val="18"/>
                <w:lang w:val="en-US" w:eastAsia="zh-CN" w:bidi="ar"/>
              </w:rPr>
              <w:t>glyptostroboide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9C5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9B3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B975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033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2D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1863F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60F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CD54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D87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CF2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池杉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5BA4A2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Taxodium</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ascendens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F8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E8F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2F1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2B07DA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971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310AA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6C4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生物滞留设施、植被缓冲带、湿塘与雨水湿地</w:t>
            </w:r>
          </w:p>
        </w:tc>
      </w:tr>
      <w:tr w14:paraId="24ECB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335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EFE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落羽杉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A7F2A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Taxodium</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distichum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F1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C4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D0F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B53672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59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4EB5B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C75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生物滞留设施、植被缓冲带、湿塘与雨水湿地</w:t>
            </w:r>
          </w:p>
        </w:tc>
      </w:tr>
      <w:tr w14:paraId="04E93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6EF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3D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墨西哥落羽杉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B05E0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Taxodium</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mucronatum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A6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6B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F58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264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1F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B6EB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71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4D1F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D41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A3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东方杉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EA6D2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Taxodium</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mucronatum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683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C2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E9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D7656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D99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27FAF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CA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E329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4A5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E0A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中山杉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95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Taxodium hybrid</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A145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40E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F73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9E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4C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69BDF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4F9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F93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7A2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4BE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小叶榄仁</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5921C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Terminalia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neotaliala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FC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使君子科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3EE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51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25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3E70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50424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79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D93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7A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4AE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湿地松</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AF5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Pinus elliottii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A8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松科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9B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85D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8AE2C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599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7648D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9E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生物滞留设施、植被缓冲带、湿塘与雨水湿地</w:t>
            </w:r>
          </w:p>
        </w:tc>
      </w:tr>
      <w:tr w14:paraId="32BC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C9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F0B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水松</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1B6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Glyptostrobus</w:t>
            </w:r>
            <w:r>
              <w:rPr>
                <w:rStyle w:val="45"/>
                <w:rFonts w:hint="default"/>
                <w:kern w:val="2"/>
                <w:sz w:val="18"/>
                <w:szCs w:val="18"/>
                <w:lang w:val="en-US" w:eastAsia="zh-CN" w:bidi="ar"/>
              </w:rPr>
              <w:br w:type="textWrapping"/>
            </w:r>
            <w:r>
              <w:rPr>
                <w:rStyle w:val="45"/>
                <w:rFonts w:hint="default"/>
                <w:kern w:val="2"/>
                <w:sz w:val="18"/>
                <w:szCs w:val="18"/>
                <w:lang w:val="en-US" w:eastAsia="zh-CN" w:bidi="ar"/>
              </w:rPr>
              <w:t>pensilis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1A9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松科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99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0EAC1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F8CD0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C2E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E29F5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B14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生物滞留设施、植被缓冲带、湿塘与雨水湿地</w:t>
            </w:r>
          </w:p>
        </w:tc>
      </w:tr>
      <w:tr w14:paraId="0D34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B56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C9F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E2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Syzygium jambos</w:t>
            </w:r>
            <w:r>
              <w:rPr>
                <w:rStyle w:val="45"/>
                <w:rFonts w:hint="default"/>
                <w:kern w:val="2"/>
                <w:sz w:val="18"/>
                <w:szCs w:val="18"/>
                <w:lang w:val="en-US" w:eastAsia="zh-CN" w:bidi="ar"/>
              </w:rPr>
              <w:br w:type="textWrapping"/>
            </w:r>
            <w:r>
              <w:rPr>
                <w:rStyle w:val="45"/>
                <w:rFonts w:hint="default"/>
                <w:kern w:val="2"/>
                <w:sz w:val="18"/>
                <w:szCs w:val="18"/>
                <w:lang w:val="en-US" w:eastAsia="zh-CN" w:bidi="ar"/>
              </w:rPr>
              <w:t>(L.)Alston</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7D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46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60F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DAD13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6B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91CFD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578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799E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7D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B23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洋蒲桃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62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Syzygium</w:t>
            </w:r>
            <w:r>
              <w:rPr>
                <w:rStyle w:val="51"/>
                <w:rFonts w:eastAsia="宋体"/>
                <w:kern w:val="2"/>
                <w:sz w:val="18"/>
                <w:szCs w:val="18"/>
                <w:lang w:val="en-US" w:eastAsia="zh-CN" w:bidi="ar"/>
              </w:rPr>
              <w:br w:type="textWrapping"/>
            </w:r>
            <w:r>
              <w:rPr>
                <w:rStyle w:val="45"/>
                <w:rFonts w:hint="default"/>
                <w:kern w:val="2"/>
                <w:sz w:val="18"/>
                <w:szCs w:val="18"/>
                <w:lang w:val="en-US" w:eastAsia="zh-CN" w:bidi="ar"/>
              </w:rPr>
              <w:t>samarangense</w:t>
            </w:r>
            <w:r>
              <w:rPr>
                <w:rStyle w:val="45"/>
                <w:rFonts w:hint="eastAsia"/>
                <w:kern w:val="2"/>
                <w:sz w:val="18"/>
                <w:szCs w:val="18"/>
                <w:lang w:val="en-US" w:eastAsia="zh-CN" w:bidi="ar"/>
              </w:rPr>
              <w:t xml:space="preserve"> </w:t>
            </w:r>
            <w:r>
              <w:rPr>
                <w:rStyle w:val="45"/>
                <w:rFonts w:hint="default"/>
                <w:kern w:val="2"/>
                <w:sz w:val="18"/>
                <w:szCs w:val="18"/>
                <w:lang w:val="en-US" w:eastAsia="zh-CN" w:bidi="ar"/>
              </w:rPr>
              <w:t>(Bl.)Merr.et</w:t>
            </w:r>
            <w:r>
              <w:rPr>
                <w:rStyle w:val="45"/>
                <w:rFonts w:hint="eastAsia"/>
                <w:kern w:val="2"/>
                <w:sz w:val="18"/>
                <w:szCs w:val="18"/>
                <w:lang w:val="en-US" w:eastAsia="zh-CN" w:bidi="ar"/>
              </w:rPr>
              <w:t xml:space="preserve"> </w:t>
            </w:r>
            <w:r>
              <w:rPr>
                <w:rStyle w:val="45"/>
                <w:rFonts w:hint="default"/>
                <w:kern w:val="2"/>
                <w:sz w:val="18"/>
                <w:szCs w:val="18"/>
                <w:lang w:val="en-US" w:eastAsia="zh-CN" w:bidi="ar"/>
              </w:rPr>
              <w:t>Perry</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CD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8D98D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E6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C8DBB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7BF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0E59E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CC3D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A3E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C5E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88F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红千层</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CD73D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Callistemon</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rigidus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8ED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D6E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E0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C53A0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83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喜热耐荫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0A4BF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7E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E697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038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8D4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海南蒲桃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0E7AC9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Syzygium</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hainanense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CE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55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4E8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AC982F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DE5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CAE2F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94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9E72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5E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40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水蒲桃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5F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Syzygium jambos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6BC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44A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EEB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5754D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90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8898C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BB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7494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1F0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350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洋蒲桃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C5958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Syzygium</w:t>
            </w:r>
            <w:r>
              <w:rPr>
                <w:rStyle w:val="50"/>
                <w:rFonts w:eastAsia="宋体"/>
                <w:kern w:val="2"/>
                <w:sz w:val="18"/>
                <w:szCs w:val="18"/>
                <w:lang w:val="en-US" w:eastAsia="zh-CN" w:bidi="ar"/>
              </w:rPr>
              <w:br w:type="textWrapping"/>
            </w:r>
            <w:r>
              <w:rPr>
                <w:rStyle w:val="45"/>
                <w:rFonts w:hint="default"/>
                <w:kern w:val="2"/>
                <w:sz w:val="18"/>
                <w:szCs w:val="18"/>
                <w:lang w:val="en-US" w:eastAsia="zh-CN" w:bidi="ar"/>
              </w:rPr>
              <w:t>samarangense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0B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788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4D8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CF9A6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2E98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1112E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5CE3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9A37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4E4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B02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白千层</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F5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Melaleuca</w:t>
            </w:r>
            <w:r>
              <w:rPr>
                <w:rStyle w:val="45"/>
                <w:rFonts w:hint="eastAsia"/>
                <w:kern w:val="2"/>
                <w:sz w:val="18"/>
                <w:szCs w:val="18"/>
                <w:lang w:val="en-US" w:eastAsia="zh-CN" w:bidi="ar"/>
              </w:rPr>
              <w:t xml:space="preserve"> </w:t>
            </w:r>
            <w:r>
              <w:rPr>
                <w:rStyle w:val="45"/>
                <w:rFonts w:hint="default"/>
                <w:kern w:val="2"/>
                <w:sz w:val="18"/>
                <w:szCs w:val="18"/>
                <w:lang w:val="en-US" w:eastAsia="zh-CN" w:bidi="ar"/>
              </w:rPr>
              <w:t>leucadendron</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80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8A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B6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8A9B4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189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AAAAF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5B2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3EFC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664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21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海南蒲桃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D1214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Syzygium</w:t>
            </w:r>
            <w:r>
              <w:rPr>
                <w:rStyle w:val="45"/>
                <w:rFonts w:hint="default"/>
                <w:kern w:val="2"/>
                <w:sz w:val="18"/>
                <w:szCs w:val="18"/>
                <w:lang w:val="en-US" w:eastAsia="zh-CN" w:bidi="ar"/>
              </w:rPr>
              <w:br w:type="textWrapping"/>
            </w:r>
            <w:r>
              <w:rPr>
                <w:rStyle w:val="45"/>
                <w:rFonts w:hint="default"/>
                <w:kern w:val="2"/>
                <w:sz w:val="18"/>
                <w:szCs w:val="18"/>
                <w:lang w:val="en-US" w:eastAsia="zh-CN" w:bidi="ar"/>
              </w:rPr>
              <w:t>hainanense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AE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桃金娘科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C3B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F7AB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3A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CD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3CBB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5D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7A11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81A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422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台湾栾树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242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Koelreuteria</w:t>
            </w:r>
            <w:r>
              <w:rPr>
                <w:rStyle w:val="45"/>
                <w:rFonts w:hint="default"/>
                <w:kern w:val="2"/>
                <w:sz w:val="18"/>
                <w:szCs w:val="18"/>
                <w:lang w:val="en-US" w:eastAsia="zh-CN" w:bidi="ar"/>
              </w:rPr>
              <w:br w:type="textWrapping"/>
            </w:r>
            <w:r>
              <w:rPr>
                <w:rStyle w:val="45"/>
                <w:rFonts w:hint="default"/>
                <w:kern w:val="2"/>
                <w:sz w:val="18"/>
                <w:szCs w:val="18"/>
                <w:lang w:val="en-US" w:eastAsia="zh-CN" w:bidi="ar"/>
              </w:rPr>
              <w:t>elegans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755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无患子科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68A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22D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2AF8C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13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82C69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6A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0DBEE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F94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8D3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黄山栾树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14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Koelreuteria</w:t>
            </w:r>
            <w:r>
              <w:rPr>
                <w:rStyle w:val="45"/>
                <w:rFonts w:hint="default"/>
                <w:kern w:val="2"/>
                <w:sz w:val="18"/>
                <w:szCs w:val="18"/>
                <w:lang w:val="en-US" w:eastAsia="zh-CN" w:bidi="ar"/>
              </w:rPr>
              <w:br w:type="textWrapping"/>
            </w:r>
            <w:r>
              <w:rPr>
                <w:rStyle w:val="45"/>
                <w:rFonts w:hint="default"/>
                <w:kern w:val="2"/>
                <w:sz w:val="18"/>
                <w:szCs w:val="18"/>
                <w:lang w:val="en-US" w:eastAsia="zh-CN" w:bidi="ar"/>
              </w:rPr>
              <w:t>integrifoliola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385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无患子科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747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91E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2838B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789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209D7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DF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2F13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ED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2D8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幌伞枫</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AB5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Heteropanax</w:t>
            </w:r>
            <w:r>
              <w:rPr>
                <w:rStyle w:val="45"/>
                <w:rFonts w:hint="default"/>
                <w:kern w:val="2"/>
                <w:sz w:val="18"/>
                <w:szCs w:val="18"/>
                <w:lang w:val="en-US" w:eastAsia="zh-CN" w:bidi="ar"/>
              </w:rPr>
              <w:br w:type="textWrapping"/>
            </w:r>
            <w:r>
              <w:rPr>
                <w:rStyle w:val="45"/>
                <w:rFonts w:hint="default"/>
                <w:kern w:val="2"/>
                <w:sz w:val="18"/>
                <w:szCs w:val="18"/>
                <w:lang w:val="en-US" w:eastAsia="zh-CN" w:bidi="ar"/>
              </w:rPr>
              <w:t>fragrans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E5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五加科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E80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A702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68F07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072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C2F4D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938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6CF1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6B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04A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垂柳</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93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Salix</w:t>
            </w:r>
            <w:r>
              <w:rPr>
                <w:rStyle w:val="45"/>
                <w:rFonts w:hint="eastAsia"/>
                <w:kern w:val="2"/>
                <w:sz w:val="18"/>
                <w:szCs w:val="18"/>
                <w:lang w:val="en-US" w:eastAsia="zh-CN" w:bidi="ar"/>
              </w:rPr>
              <w:t xml:space="preserve"> </w:t>
            </w:r>
            <w:r>
              <w:rPr>
                <w:rStyle w:val="45"/>
                <w:rFonts w:hint="default"/>
                <w:kern w:val="2"/>
                <w:sz w:val="18"/>
                <w:szCs w:val="18"/>
                <w:lang w:val="en-US" w:eastAsia="zh-CN" w:bidi="ar"/>
              </w:rPr>
              <w:t>babylonica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C3D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杨柳</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C61DB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BB7A0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27DC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08E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60A50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D5A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0545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395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0A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蓝花楹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62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Jacaranda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mimosifolia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75F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紫葳科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173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1A7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E0B29F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A1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A75D59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7FC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A12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5BF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44B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蒲葵</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D95B8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Livistona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chinensis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3CC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B4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E0C71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7829F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A8D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F09A2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288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8BE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68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C7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华棕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3DD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Washingtonia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filifera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BE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87298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0C4DC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679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19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1193B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55C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D61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BCA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85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中东海枣</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ECC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Phoenix sylvestris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86B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64E5A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D5B48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AC757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BA6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1120A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AC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EF65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D9F6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5FF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D0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Rhapis</w:t>
            </w:r>
            <w:r>
              <w:rPr>
                <w:rStyle w:val="45"/>
                <w:rFonts w:hint="eastAsia"/>
                <w:kern w:val="2"/>
                <w:sz w:val="18"/>
                <w:szCs w:val="18"/>
                <w:lang w:val="en-US" w:eastAsia="zh-CN" w:bidi="ar"/>
              </w:rPr>
              <w:t xml:space="preserve"> </w:t>
            </w:r>
            <w:r>
              <w:rPr>
                <w:rStyle w:val="45"/>
                <w:rFonts w:hint="default"/>
                <w:kern w:val="2"/>
                <w:sz w:val="18"/>
                <w:szCs w:val="18"/>
                <w:lang w:val="en-US" w:eastAsia="zh-CN" w:bidi="ar"/>
              </w:rPr>
              <w:t>excelsa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76B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092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F2B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64256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65E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17CDA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8BD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04ACA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74AC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灌木类植物</w:t>
            </w:r>
          </w:p>
        </w:tc>
      </w:tr>
      <w:tr w14:paraId="6CA51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06CE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center"/>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C9B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红背桂</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08EA2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Excoecaria</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cochinchinensis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F8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6E7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6E61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CC60F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5AE6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FDE02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5C6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40BD4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68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EDA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红叶乌柏</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53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Sapiumdiscolor</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F7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4E6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54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CE098D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04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AADD7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2A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40D6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5F5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000F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琴叶珊瑚</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B6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Jatropha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integerrima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00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80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3ABE2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530D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E3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68383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F2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F842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EA9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689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紫穗槐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4F3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Amorpha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fruticosa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BEE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蝶形花科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0F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E3E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1B607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82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70867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B3A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7B2F0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60C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606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黄花双荚槐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FF69C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Casin</w:t>
            </w:r>
            <w:r>
              <w:rPr>
                <w:rStyle w:val="45"/>
                <w:rFonts w:hint="default"/>
                <w:kern w:val="2"/>
                <w:sz w:val="18"/>
                <w:szCs w:val="18"/>
                <w:lang w:val="en-US" w:eastAsia="zh-CN" w:bidi="ar"/>
              </w:rPr>
              <w:br w:type="textWrapping"/>
            </w:r>
            <w:r>
              <w:rPr>
                <w:rStyle w:val="45"/>
                <w:rFonts w:hint="default"/>
                <w:kern w:val="2"/>
                <w:sz w:val="18"/>
                <w:szCs w:val="18"/>
                <w:lang w:val="en-US" w:eastAsia="zh-CN" w:bidi="ar"/>
              </w:rPr>
              <w:t>bicapsularis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633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豆科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8E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94A7E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2B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052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818DD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601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46F67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18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E66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海桐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7AF695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Pittosporum</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tobira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AB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海桐科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6D6BE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0DE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358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310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3D208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40BF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6FDDD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9CD3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643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红绒球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8B3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Calliandrahaemat</w:t>
            </w:r>
            <w:r>
              <w:rPr>
                <w:rStyle w:val="45"/>
                <w:rFonts w:hint="eastAsia"/>
                <w:kern w:val="2"/>
                <w:sz w:val="18"/>
                <w:szCs w:val="18"/>
                <w:lang w:val="en-US" w:eastAsia="zh-CN" w:bidi="ar"/>
              </w:rPr>
              <w:t xml:space="preserve"> </w:t>
            </w:r>
            <w:r>
              <w:rPr>
                <w:rStyle w:val="45"/>
                <w:rFonts w:hint="default"/>
                <w:kern w:val="2"/>
                <w:sz w:val="18"/>
                <w:szCs w:val="18"/>
                <w:lang w:val="en-US" w:eastAsia="zh-CN" w:bidi="ar"/>
              </w:rPr>
              <w:t>ocephala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17F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含羞草科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E09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2649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BDAA6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7A7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9A920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6A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B2E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49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9B9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DF5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Nerium indicum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4BF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4BB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0CA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E3BF9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E6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17690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750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F989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51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22E6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软枝黄蝉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66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Allemanda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cathartica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E8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D5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C14E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F83E0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6E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AB6C7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A1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B8B0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B69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8D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狗牙花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D1833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Ervatamia</w:t>
            </w:r>
            <w:r>
              <w:rPr>
                <w:rStyle w:val="45"/>
                <w:rFonts w:hint="default"/>
                <w:kern w:val="2"/>
                <w:sz w:val="18"/>
                <w:szCs w:val="18"/>
                <w:lang w:val="en-US" w:eastAsia="zh-CN" w:bidi="ar"/>
              </w:rPr>
              <w:br w:type="textWrapping"/>
            </w:r>
            <w:r>
              <w:rPr>
                <w:rStyle w:val="45"/>
                <w:rFonts w:hint="default"/>
                <w:kern w:val="2"/>
                <w:sz w:val="18"/>
                <w:szCs w:val="18"/>
                <w:lang w:val="en-US" w:eastAsia="zh-CN" w:bidi="ar"/>
              </w:rPr>
              <w:t>divaricata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C5D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CE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32091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C1ADD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B63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09548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9242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473C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CD5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9F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姜花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07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Hedychium</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coronarium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F4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95E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8B409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049BD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6D5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CA4EB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0BA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2E90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1FC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98D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红花機木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17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Loropetalum</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chinense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66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金缕梅科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C7C82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D466E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B7E04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5F77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68C7A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7EB1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6428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738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FC6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木芙蓉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3BAE1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Hibiscus</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mutabilis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2FB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锦葵科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FC1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128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92446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804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7B491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7EF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生物滞留设施、湿塘与雨水湿地、干塘、植被缓冲带</w:t>
            </w:r>
          </w:p>
        </w:tc>
      </w:tr>
      <w:tr w14:paraId="5EC6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2BF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AB5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扶桑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ECBCD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Hibiscus</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rosa-sinensis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575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锦葵科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1E5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4146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AFEA0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56A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3473C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AFC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2238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35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9260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大花芦莉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E3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Ruellia elegans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EAA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爵床科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20D6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59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B9B9A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A1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8144A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92D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4CCF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07A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A42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翠芦莉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212DE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Ruellia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brittoniana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31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爵床科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00B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57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B775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67C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5AFF2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67D3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0E6A9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1ED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77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蜘蛛兰</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CAC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Hymenocallis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americang</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11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兰科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3C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E3AC22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206F7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D7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CA599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EB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48F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F321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339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醉鱼草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47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Buddleja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lindleyana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7E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马钱科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8FC22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CC6E2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14387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CF6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F5E32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840D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生物滞留设施、湿塘与雨水湿地、干塘、植草沟、植被缓冲带</w:t>
            </w:r>
          </w:p>
        </w:tc>
      </w:tr>
      <w:tr w14:paraId="1748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98D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84F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千头木麻黄</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3D05C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Casuarina nana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Sieber</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232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木麻黄科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A2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F7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4677E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0B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25372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EAD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55C41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A44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2A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迎春花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6BDB14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Jasminum</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nudiflorum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D8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木犀科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38FB5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987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040BB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034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0F2BC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92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6E78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52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FBF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女贞</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7D66D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Ligustrum</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lucidum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67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木犀科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D0D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C3E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461AD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02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C6CE8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07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4B967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C7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35E0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金叶女贞</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07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Ligustrum vicaryi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9B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木犀科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D64C9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1F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C9BA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5E3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987DB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6EE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6B00E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04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B5E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2E33C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Lagerstroemia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indica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68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千屈菜科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8461E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92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85577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003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64B7E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DB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53ED8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1D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1E33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栀子花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BC4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Gardenia</w:t>
            </w:r>
            <w:r>
              <w:rPr>
                <w:rStyle w:val="45"/>
                <w:rFonts w:hint="default"/>
                <w:kern w:val="2"/>
                <w:sz w:val="18"/>
                <w:szCs w:val="18"/>
                <w:lang w:val="en-US" w:eastAsia="zh-CN" w:bidi="ar"/>
              </w:rPr>
              <w:br w:type="textWrapping"/>
            </w:r>
            <w:r>
              <w:rPr>
                <w:rStyle w:val="45"/>
                <w:rFonts w:hint="default"/>
                <w:kern w:val="2"/>
                <w:sz w:val="18"/>
                <w:szCs w:val="18"/>
                <w:lang w:val="en-US" w:eastAsia="zh-CN" w:bidi="ar"/>
              </w:rPr>
              <w:t>jasminoides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BE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茜草科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B0B95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1B312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C2805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B75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5D5D4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C75B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620B2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3EC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149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小叶栀子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E9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Gardenia</w:t>
            </w:r>
            <w:r>
              <w:rPr>
                <w:rStyle w:val="45"/>
                <w:rFonts w:hint="default"/>
                <w:kern w:val="2"/>
                <w:sz w:val="18"/>
                <w:szCs w:val="18"/>
                <w:lang w:val="en-US" w:eastAsia="zh-CN" w:bidi="ar"/>
              </w:rPr>
              <w:br w:type="textWrapping"/>
            </w:r>
            <w:r>
              <w:rPr>
                <w:rStyle w:val="45"/>
                <w:rFonts w:hint="default"/>
                <w:kern w:val="2"/>
                <w:sz w:val="18"/>
                <w:szCs w:val="18"/>
                <w:lang w:val="en-US" w:eastAsia="zh-CN" w:bidi="ar"/>
              </w:rPr>
              <w:t>jasminoides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814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茜草科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93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22EDE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C7E9E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11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EE3E2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7E2B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DF0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A96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0F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大花栀子</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38F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Gardenia</w:t>
            </w:r>
            <w:r>
              <w:rPr>
                <w:rStyle w:val="45"/>
                <w:rFonts w:hint="default"/>
                <w:kern w:val="2"/>
                <w:sz w:val="18"/>
                <w:szCs w:val="18"/>
                <w:lang w:val="en-US" w:eastAsia="zh-CN" w:bidi="ar"/>
              </w:rPr>
              <w:br w:type="textWrapping"/>
            </w:r>
            <w:r>
              <w:rPr>
                <w:rStyle w:val="45"/>
                <w:rFonts w:hint="default"/>
                <w:kern w:val="2"/>
                <w:sz w:val="18"/>
                <w:szCs w:val="18"/>
                <w:lang w:val="en-US" w:eastAsia="zh-CN" w:bidi="ar"/>
              </w:rPr>
              <w:t>jasminoides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D04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茜草科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2505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F2045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70CEC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A93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3DD24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58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6EF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2A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A1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火棘</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99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Pyracantha</w:t>
            </w:r>
            <w:r>
              <w:rPr>
                <w:rStyle w:val="48"/>
                <w:rFonts w:eastAsia="宋体"/>
                <w:kern w:val="2"/>
                <w:sz w:val="18"/>
                <w:szCs w:val="18"/>
                <w:lang w:val="en-US" w:eastAsia="zh-CN" w:bidi="ar"/>
              </w:rPr>
              <w:br w:type="textWrapping"/>
            </w:r>
            <w:r>
              <w:rPr>
                <w:rStyle w:val="45"/>
                <w:rFonts w:hint="default"/>
                <w:kern w:val="2"/>
                <w:sz w:val="18"/>
                <w:szCs w:val="18"/>
                <w:lang w:val="en-US" w:eastAsia="zh-CN" w:bidi="ar"/>
              </w:rPr>
              <w:t>fortuneana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4C4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蔷薇科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609012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101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BA808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08C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喜强光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57E40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AED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4E7F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7DA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8027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绣线菊</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DC4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Spiraea salicifolia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B3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蔷薇科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DF15A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C765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02E4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53C1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DC6A4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332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5681A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73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FD3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黄金榕</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98B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Ficus microcarpa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68F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桑科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EC5D9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5A72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C54F6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83C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喜半荫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858BB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9505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4E95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2DD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E6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茶梅</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A5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Camellia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sasanqua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F54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山茶科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CFFE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7DCDF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BA4F2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286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AC183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CDE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生物滞留设施、干塘、植草沟、植被缓冲带</w:t>
            </w:r>
          </w:p>
        </w:tc>
      </w:tr>
      <w:tr w14:paraId="13F27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706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946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八角金盘</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F01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Fatsia japonica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D06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五加科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8CC219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4CF70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C11F6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AE5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D56576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8B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1FBDB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BA64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9BD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花叶鹅掌柴</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5AE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Schefflera</w:t>
            </w:r>
            <w:r>
              <w:rPr>
                <w:rFonts w:hint="default" w:ascii="宋体" w:hAnsi="宋体" w:eastAsia="宋体" w:cs="宋体"/>
                <w:i w:val="0"/>
                <w:iCs w:val="0"/>
                <w:color w:val="000000"/>
                <w:kern w:val="0"/>
                <w:sz w:val="18"/>
                <w:szCs w:val="18"/>
                <w:u w:val="none"/>
                <w:lang w:val="en-US" w:eastAsia="zh-CN" w:bidi="ar"/>
              </w:rPr>
              <w:br w:type="textWrapping"/>
            </w:r>
            <w:r>
              <w:rPr>
                <w:rFonts w:hint="default" w:ascii="宋体" w:hAnsi="宋体" w:eastAsia="宋体" w:cs="宋体"/>
                <w:i w:val="0"/>
                <w:iCs w:val="0"/>
                <w:color w:val="000000"/>
                <w:kern w:val="0"/>
                <w:sz w:val="18"/>
                <w:szCs w:val="18"/>
                <w:u w:val="none"/>
                <w:lang w:val="en-US" w:eastAsia="zh-CN" w:bidi="ar"/>
              </w:rPr>
              <w:t>odorata cv</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D3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五加科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22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88A1FC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46905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8D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E13EE8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568D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38992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46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33</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63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南天竹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2354DD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leftChars="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Nandina</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domestica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85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小檗科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3B3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894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91BD8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D86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41ECA2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30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45C1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77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2D55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巴西野牡丹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D7416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Tibouchina</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seecandra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DD1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野牡丹科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044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FAA7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678B9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351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63EB59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74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2B6C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2B4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043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细叶棕竹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BC4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Rhapis humilis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9AF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棕榈科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61F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5D2CA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33D1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5C1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1AFAF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AB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4939A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B565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草本类植物</w:t>
            </w:r>
          </w:p>
        </w:tc>
      </w:tr>
      <w:tr w14:paraId="5480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F3251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center"/>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Fonts w:hint="eastAsia" w:asciiTheme="majorEastAsia" w:hAnsiTheme="majorEastAsia" w:eastAsiaTheme="majorEastAsia" w:cstheme="majorEastAsia"/>
                <w:i w:val="0"/>
                <w:iCs w:val="0"/>
                <w:color w:val="000000"/>
                <w:kern w:val="2"/>
                <w:sz w:val="18"/>
                <w:szCs w:val="18"/>
                <w:u w:val="none"/>
                <w:lang w:val="en-US" w:eastAsia="zh-CN"/>
              </w:rPr>
              <w:t xml:space="preserve"> 1</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318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黑麦冬</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2F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Ophiopogon</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japonicus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1D3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A2665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F4F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D8433B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9E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6C3E5F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8CA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625F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85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DC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萱草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C5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Hemerocallis fulva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010D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B2EB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E6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AF3DA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15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ECF380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B17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7CF0D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FC8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D35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银边沿阶草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870E56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Ophiopogon</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intermedius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9AF6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AD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53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B0D89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7C3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0F2E0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D25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6BF8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F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385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麦冬</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02F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Ophiopogon</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japonicus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55B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67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CB1E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9EB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56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EAE3E9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4DB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1612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488D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542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萱草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069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Hemerocallis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fulva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D8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E8E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42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9CC1C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A91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39A26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CF8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04E65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76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CF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花叶山菅兰</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FCE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Dianella ensifolia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7B2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4F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88127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E83A3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CA5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C306B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3A8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1A31C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E5E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CAA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金边阔叶麦冬</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E342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Liriope muscari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5FFD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百合科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473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17430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249089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3F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F36EF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C7D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植被缓冲带、植草沟</w:t>
            </w:r>
          </w:p>
        </w:tc>
      </w:tr>
      <w:tr w14:paraId="01E51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02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836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薄荷</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140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Mentha</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haplocalyx</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124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唇形科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4B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C610E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0269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CD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EB643D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525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69F26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85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F15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随意草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AE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Physostegia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virginiana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E0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唇形科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70D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DF225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D17C5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A68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喜光忌暴晒</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01E67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44B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335E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B87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1F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针茅</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00C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Stipa capillata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A18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68BC7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1CFC1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8142E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DBA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E0F2C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DA5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1C6CC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DD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F21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蒲苇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EA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Cortaderia</w:t>
            </w:r>
            <w:r>
              <w:rPr>
                <w:rStyle w:val="46"/>
                <w:rFonts w:eastAsia="宋体"/>
                <w:kern w:val="2"/>
                <w:sz w:val="18"/>
                <w:szCs w:val="18"/>
                <w:lang w:val="en-US" w:eastAsia="zh-CN" w:bidi="ar"/>
              </w:rPr>
              <w:br w:type="textWrapping"/>
            </w:r>
            <w:r>
              <w:rPr>
                <w:rStyle w:val="45"/>
                <w:rFonts w:hint="default"/>
                <w:kern w:val="2"/>
                <w:sz w:val="18"/>
                <w:szCs w:val="18"/>
                <w:lang w:val="en-US" w:eastAsia="zh-CN" w:bidi="ar"/>
              </w:rPr>
              <w:t>selloana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651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2E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7DE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63DFF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A7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3CCB6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E99F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7CAD1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ECE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300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花叶蒲苇</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29E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Carex oshimensis</w:t>
            </w:r>
            <w:r>
              <w:rPr>
                <w:rStyle w:val="45"/>
                <w:rFonts w:hint="default"/>
                <w:kern w:val="2"/>
                <w:sz w:val="18"/>
                <w:szCs w:val="18"/>
                <w:lang w:val="en-US" w:eastAsia="zh-CN" w:bidi="ar"/>
              </w:rPr>
              <w:br w:type="textWrapping"/>
            </w:r>
            <w:r>
              <w:rPr>
                <w:rStyle w:val="45"/>
                <w:rFonts w:hint="default"/>
                <w:kern w:val="2"/>
                <w:sz w:val="18"/>
                <w:szCs w:val="18"/>
                <w:lang w:val="en-US" w:eastAsia="zh-CN" w:bidi="ar"/>
              </w:rPr>
              <w:t>Evergold'</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2A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948F3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24A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A89FA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A6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E46062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D65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生物滞留设施、湿塘与雨水湿地、干塘、植草沟、植被缓冲带</w:t>
            </w:r>
          </w:p>
        </w:tc>
      </w:tr>
      <w:tr w14:paraId="52CB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3E8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FD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细叶芒</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9CBDE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Miscanthus</w:t>
            </w:r>
            <w:r>
              <w:rPr>
                <w:rStyle w:val="45"/>
                <w:rFonts w:hint="default"/>
                <w:kern w:val="2"/>
                <w:sz w:val="18"/>
                <w:szCs w:val="18"/>
                <w:lang w:val="en-US" w:eastAsia="zh-CN" w:bidi="ar"/>
              </w:rPr>
              <w:br w:type="textWrapping"/>
            </w:r>
            <w:r>
              <w:rPr>
                <w:rStyle w:val="45"/>
                <w:rFonts w:hint="default"/>
                <w:kern w:val="2"/>
                <w:sz w:val="18"/>
                <w:szCs w:val="18"/>
                <w:lang w:val="en-US" w:eastAsia="zh-CN" w:bidi="ar"/>
              </w:rPr>
              <w:t>sinensis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E3D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BF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1BFB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F4646B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75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9194E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CC2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生物滞留设施、干塘、植草沟、植被缓冲带</w:t>
            </w:r>
          </w:p>
        </w:tc>
      </w:tr>
      <w:tr w14:paraId="07B18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F3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A87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花叶芒</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22FEB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Miscanthus</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sinensis'Variegatu</w:t>
            </w:r>
            <w:r>
              <w:rPr>
                <w:rStyle w:val="45"/>
                <w:rFonts w:hint="default"/>
                <w:kern w:val="2"/>
                <w:sz w:val="18"/>
                <w:szCs w:val="18"/>
                <w:lang w:val="en-US" w:eastAsia="zh-CN" w:bidi="ar"/>
              </w:rPr>
              <w:t>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C1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401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5434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98B1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EBC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D259E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094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植草沟、植被缓冲带、干塘</w:t>
            </w:r>
          </w:p>
        </w:tc>
      </w:tr>
      <w:tr w14:paraId="2FBD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E8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C900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斑叶芒</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70A9B7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Miscanthus</w:t>
            </w:r>
            <w:r>
              <w:rPr>
                <w:rStyle w:val="45"/>
                <w:rFonts w:hint="eastAsia"/>
                <w:kern w:val="2"/>
                <w:sz w:val="18"/>
                <w:szCs w:val="18"/>
                <w:lang w:val="en-US" w:eastAsia="zh-CN" w:bidi="ar"/>
              </w:rPr>
              <w:t xml:space="preserve"> </w:t>
            </w:r>
            <w:r>
              <w:rPr>
                <w:rStyle w:val="45"/>
                <w:rFonts w:hint="default"/>
                <w:kern w:val="2"/>
                <w:sz w:val="18"/>
                <w:szCs w:val="18"/>
                <w:lang w:val="en-US" w:eastAsia="zh-CN" w:bidi="ar"/>
              </w:rPr>
              <w:t>sinensis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6E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7CF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9C21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23D5B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BD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89648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68D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湿塘与雨水湿地、干塘、植草沟、植被缓冲带、生态浮岛</w:t>
            </w:r>
          </w:p>
        </w:tc>
      </w:tr>
      <w:tr w14:paraId="043C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D8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771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狼尾草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404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Pennisetum</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alopecuroides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40C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E88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522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DAB1E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D68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8FEAB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71D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生物滞留设施、湿塘与雨水湿地、干塘、植草沟、植被缓冲带</w:t>
            </w:r>
          </w:p>
        </w:tc>
      </w:tr>
      <w:tr w14:paraId="66491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85B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423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日本血草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E0A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Imperata</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cylindrical</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Rubra'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46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D6410F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E2F12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3F076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87A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96B40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EF2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3B5EB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11B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78B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甜根子草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253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Saccharum</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spontaneum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AE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9F3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73D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D54EF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123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CB63B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BC00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植被缓冲带、干塘</w:t>
            </w:r>
          </w:p>
        </w:tc>
      </w:tr>
      <w:tr w14:paraId="19E37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11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59F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乱子草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91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Muhlenbergia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hugelii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B74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C6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A87CC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95A5D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C9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7925EA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9F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生物滞留设施、植草沟、干塘</w:t>
            </w:r>
          </w:p>
        </w:tc>
      </w:tr>
      <w:tr w14:paraId="16E5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F6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FC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巴茅</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598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Miscanthus</w:t>
            </w:r>
            <w:r>
              <w:rPr>
                <w:rStyle w:val="45"/>
                <w:rFonts w:hint="eastAsia"/>
                <w:kern w:val="2"/>
                <w:sz w:val="18"/>
                <w:szCs w:val="18"/>
                <w:lang w:val="en-US" w:eastAsia="zh-CN" w:bidi="ar"/>
              </w:rPr>
              <w:t xml:space="preserve"> </w:t>
            </w:r>
            <w:r>
              <w:rPr>
                <w:rStyle w:val="45"/>
                <w:rFonts w:hint="default"/>
                <w:kern w:val="2"/>
                <w:sz w:val="18"/>
                <w:szCs w:val="18"/>
                <w:lang w:val="en-US" w:eastAsia="zh-CN" w:bidi="ar"/>
              </w:rPr>
              <w:t>floridulu</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3B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064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33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7E1F68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C1B7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D1E3D2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1EA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生物滞留设施、植草沟、植被缓冲带、湿塘与雨水湿地、干塘</w:t>
            </w:r>
          </w:p>
        </w:tc>
      </w:tr>
      <w:tr w14:paraId="426E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8D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BD4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大叶油草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74515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Axonopus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compressus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A4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989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41F06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B10BD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76B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0BE20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55C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1BE27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171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4FA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花叶络石</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843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Trachelospermum</w:t>
            </w:r>
            <w:r>
              <w:rPr>
                <w:rStyle w:val="45"/>
                <w:rFonts w:hint="eastAsia"/>
                <w:kern w:val="2"/>
                <w:sz w:val="18"/>
                <w:szCs w:val="18"/>
                <w:lang w:val="en-US" w:eastAsia="zh-CN" w:bidi="ar"/>
              </w:rPr>
              <w:t xml:space="preserve"> </w:t>
            </w:r>
            <w:r>
              <w:rPr>
                <w:rStyle w:val="45"/>
                <w:rFonts w:hint="default"/>
                <w:kern w:val="2"/>
                <w:sz w:val="18"/>
                <w:szCs w:val="18"/>
                <w:lang w:val="en-US" w:eastAsia="zh-CN" w:bidi="ar"/>
              </w:rPr>
              <w:t>jasminoidesFlame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918A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21B47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0A8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A0F91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E19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C8BE0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F45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植草沟、植被缓冲带、干塘</w:t>
            </w:r>
          </w:p>
        </w:tc>
      </w:tr>
      <w:tr w14:paraId="113B5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A0A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1CC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花叶蔓长春花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7C9A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Vinca major</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cv.Variegata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7B5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4ADAB4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9C3656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75100B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FA5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D3CA8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E50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6504D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41A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C4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花叶良姜</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A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Alpinia sanderae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B7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750A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121B6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1AB56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332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B6DE8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56B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296BC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CADC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F1D0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佛甲草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98475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Sedum lineare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E6F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景天科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EF3D2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908C3F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2F9645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E87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C76B6E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A4B3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10C0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A00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1CF8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凹叶景天</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02D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Sedum</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emarginatum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F65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景天科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D9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0BF782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4AD07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9E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FB9AE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923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2F504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BC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7522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大叶景天</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24D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Hylotelephium</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erythrostictum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8CE1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景天科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4BC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5D220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54F183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28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B3ACB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DEB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E243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49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71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红叶景天</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B766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Angiospermae</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086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景天科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640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4E88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6D144C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3AD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62B04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F1B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52F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D22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2141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蛇鞭草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8058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Liatris spicata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D01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菊科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C60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4443B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69BCB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2296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13004F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A49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6FD0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24A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30</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9CF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其菊</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035621C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Wedelia chinensis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FE6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菊科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6E9F7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A03F3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5AA28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78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A22DA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828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4BFEB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68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A30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尖尾风</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1C7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Callicarpa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longissima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122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萝摩科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989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43D03B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6CB20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BC2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31FCA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B9E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CBB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51A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4B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苔草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D3F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Carex tristachya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173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F9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DBE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0B6F67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F47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1817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83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生物滞留设施、湿塘与雨水湿地、干塘、植草沟、植被缓冲带</w:t>
            </w:r>
          </w:p>
        </w:tc>
      </w:tr>
      <w:tr w14:paraId="6F1C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BA3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B77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金叶苔草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EAD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Carex</w:t>
            </w:r>
            <w:r>
              <w:rPr>
                <w:rStyle w:val="45"/>
                <w:rFonts w:hint="eastAsia"/>
                <w:kern w:val="2"/>
                <w:sz w:val="18"/>
                <w:szCs w:val="18"/>
                <w:lang w:val="en-US" w:eastAsia="zh-CN" w:bidi="ar"/>
              </w:rPr>
              <w:t xml:space="preserve"> </w:t>
            </w:r>
            <w:r>
              <w:rPr>
                <w:rStyle w:val="45"/>
                <w:rFonts w:hint="default"/>
                <w:kern w:val="2"/>
                <w:sz w:val="18"/>
                <w:szCs w:val="18"/>
                <w:lang w:val="en-US" w:eastAsia="zh-CN" w:bidi="ar"/>
              </w:rPr>
              <w:t>'Evergold'</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ED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莎草科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E7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0C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7D034E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F3D0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916DE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EA5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植草沟、植被缓冲带、干塘</w:t>
            </w:r>
          </w:p>
        </w:tc>
      </w:tr>
      <w:tr w14:paraId="669D7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E10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B0A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肾蕨</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2485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Nephrolepis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auriculata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99F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肾蕨科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A7A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190CD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82CEB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E759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喜半荫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6B1CB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E76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干塘、生物滞留设施、植草沟、植被缓冲带</w:t>
            </w:r>
          </w:p>
        </w:tc>
      </w:tr>
      <w:tr w14:paraId="0B98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2B55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2B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葱兰</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84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Zephyranthes</w:t>
            </w:r>
            <w:r>
              <w:rPr>
                <w:rStyle w:val="45"/>
                <w:rFonts w:hint="eastAsia"/>
                <w:kern w:val="2"/>
                <w:sz w:val="18"/>
                <w:szCs w:val="18"/>
                <w:lang w:val="en-US" w:eastAsia="zh-CN" w:bidi="ar"/>
              </w:rPr>
              <w:t xml:space="preserve"> </w:t>
            </w:r>
            <w:r>
              <w:rPr>
                <w:rStyle w:val="45"/>
                <w:rFonts w:hint="default"/>
                <w:kern w:val="2"/>
                <w:sz w:val="18"/>
                <w:szCs w:val="18"/>
                <w:lang w:val="en-US" w:eastAsia="zh-CN" w:bidi="ar"/>
              </w:rPr>
              <w:t>candida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396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石蒜科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B3691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C345D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A7D4B2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1D3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FEA540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55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753E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08D7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E51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龟背竹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C3876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Monstera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deliciosa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9C7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EF35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center"/>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35C09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9DF50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8460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39FD4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511F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5DDC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2E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07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春羽</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ED32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Philodenronsellou</w:t>
            </w:r>
            <w:r>
              <w:rPr>
                <w:rStyle w:val="45"/>
                <w:rFonts w:hint="default"/>
                <w:kern w:val="2"/>
                <w:sz w:val="18"/>
                <w:szCs w:val="18"/>
                <w:lang w:val="en-US" w:eastAsia="zh-CN" w:bidi="ar"/>
              </w:rPr>
              <w:t>mKoch</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2438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2F80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81247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2BEB9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FC8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E00EA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59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B44A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397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38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D4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海芋</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59EF18C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Alocasia</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macrorrhiza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DC8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999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B1B0E5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435FBC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14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喜半荫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323FCC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740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30D11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5D87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39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A88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合果芋</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05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Syngonium</w:t>
            </w:r>
            <w:r>
              <w:rPr>
                <w:rStyle w:val="45"/>
                <w:rFonts w:hint="eastAsia"/>
                <w:kern w:val="2"/>
                <w:sz w:val="18"/>
                <w:szCs w:val="18"/>
                <w:lang w:val="en-US" w:eastAsia="zh-CN" w:bidi="ar"/>
              </w:rPr>
              <w:t xml:space="preserve"> </w:t>
            </w:r>
            <w:r>
              <w:rPr>
                <w:rStyle w:val="45"/>
                <w:rFonts w:hint="default"/>
                <w:kern w:val="2"/>
                <w:sz w:val="18"/>
                <w:szCs w:val="18"/>
                <w:lang w:val="en-US" w:eastAsia="zh-CN" w:bidi="ar"/>
              </w:rPr>
              <w:t>podophyllum</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8133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A476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0AD58A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AD120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375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忌暴晒</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F1FF3B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2A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3C88F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7B0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40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E40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石菖蒲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63F8DE4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Acorus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tatarinowii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E8B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68D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AC2FE6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21F20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2132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0EC15EB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5E6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07F29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1F8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0A3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金边石菖蒲</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78F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Acorus gramineus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E6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天南星科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40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652672E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97808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935C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E4F1DB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4D2E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湿塘与雨水湿地</w:t>
            </w:r>
          </w:p>
        </w:tc>
      </w:tr>
      <w:tr w14:paraId="28F8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60C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90CE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马蹄金</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6F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Dichondra</w:t>
            </w:r>
            <w:r>
              <w:rPr>
                <w:rStyle w:val="45"/>
                <w:rFonts w:hint="eastAsia"/>
                <w:kern w:val="2"/>
                <w:sz w:val="18"/>
                <w:szCs w:val="18"/>
                <w:lang w:val="en-US" w:eastAsia="zh-CN" w:bidi="ar"/>
              </w:rPr>
              <w:t xml:space="preserve"> </w:t>
            </w:r>
            <w:r>
              <w:rPr>
                <w:rStyle w:val="45"/>
                <w:rFonts w:hint="default"/>
                <w:kern w:val="2"/>
                <w:sz w:val="18"/>
                <w:szCs w:val="18"/>
                <w:lang w:val="en-US" w:eastAsia="zh-CN" w:bidi="ar"/>
              </w:rPr>
              <w:t>repens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584A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旋花科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AF39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4C122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1F70E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F896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w:t>
            </w:r>
            <w:r>
              <w:rPr>
                <w:rStyle w:val="45"/>
                <w:rFonts w:hint="default"/>
                <w:kern w:val="2"/>
                <w:sz w:val="18"/>
                <w:szCs w:val="18"/>
                <w:lang w:val="en-US" w:eastAsia="zh-CN" w:bidi="ar"/>
              </w:rPr>
              <w:br w:type="textWrapping"/>
            </w:r>
            <w:r>
              <w:rPr>
                <w:rStyle w:val="45"/>
                <w:rFonts w:hint="default"/>
                <w:kern w:val="2"/>
                <w:sz w:val="18"/>
                <w:szCs w:val="18"/>
                <w:lang w:val="en-US" w:eastAsia="zh-CN" w:bidi="ar"/>
              </w:rPr>
              <w:t>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63065FD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65E3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5E7B1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B6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3A2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冷水花</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768701E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Pilea notata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63F1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荨麻科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604877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A7B2A6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3E988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B75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630109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C9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植被缓冲带</w:t>
            </w:r>
          </w:p>
        </w:tc>
      </w:tr>
      <w:tr w14:paraId="312B6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EC9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3A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吊竹梅</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398C67A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Tradescantia</w:t>
            </w:r>
            <w:r>
              <w:rPr>
                <w:rStyle w:val="45"/>
                <w:rFonts w:hint="eastAsia"/>
                <w:kern w:val="2"/>
                <w:sz w:val="18"/>
                <w:szCs w:val="18"/>
                <w:lang w:val="en-US" w:eastAsia="zh-CN" w:bidi="ar"/>
              </w:rPr>
              <w:t xml:space="preserve"> </w:t>
            </w:r>
            <w:r>
              <w:rPr>
                <w:rStyle w:val="45"/>
                <w:rFonts w:hint="default"/>
                <w:kern w:val="2"/>
                <w:sz w:val="18"/>
                <w:szCs w:val="18"/>
                <w:lang w:val="en-US" w:eastAsia="zh-CN" w:bidi="ar"/>
              </w:rPr>
              <w:t>zebrina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52D6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鸭跖草科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EA9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202E185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8B6C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084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忌暴晒</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CD87F0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EF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38FE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3A7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45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355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小蚌兰</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10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Rhoeo spathaceo</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368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鸭跖草科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1E02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B94DD8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248743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A6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78C2687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E75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84F0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41EB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46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268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紫鸭趾草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7E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Tradescantiaalbiflora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B634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鸭趾草科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064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3A28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3765113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114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4E9282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115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F01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3980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47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6E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玉簪</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3C4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Hosta plantaginea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43A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玉簪科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46C301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F8AAF1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5BDE301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BFE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2C228C3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CAD9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生物滞留设施、植草沟</w:t>
            </w:r>
          </w:p>
        </w:tc>
      </w:tr>
      <w:tr w14:paraId="44DEA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E0E1F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Style w:val="45"/>
                <w:rFonts w:hint="eastAsia" w:asciiTheme="majorEastAsia" w:hAnsiTheme="majorEastAsia" w:eastAsiaTheme="majorEastAsia" w:cstheme="majorEastAsia"/>
                <w:kern w:val="2"/>
                <w:sz w:val="18"/>
                <w:szCs w:val="18"/>
                <w:lang w:val="en-US" w:eastAsia="zh-CN" w:bidi="ar"/>
              </w:rPr>
              <w:t>藤本类</w:t>
            </w:r>
          </w:p>
        </w:tc>
      </w:tr>
      <w:tr w14:paraId="033DB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E14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3C2E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花叶扶芳藤</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102F368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Euonymus</w:t>
            </w:r>
            <w:r>
              <w:rPr>
                <w:rFonts w:hint="eastAsia" w:ascii="宋体" w:hAnsi="宋体" w:cs="宋体"/>
                <w:i w:val="0"/>
                <w:iCs w:val="0"/>
                <w:color w:val="000000"/>
                <w:kern w:val="0"/>
                <w:sz w:val="18"/>
                <w:szCs w:val="18"/>
                <w:u w:val="none"/>
                <w:lang w:val="en-US" w:eastAsia="zh-CN" w:bidi="ar"/>
              </w:rPr>
              <w:t xml:space="preserve"> </w:t>
            </w:r>
            <w:r>
              <w:rPr>
                <w:rStyle w:val="45"/>
                <w:rFonts w:hint="default"/>
                <w:kern w:val="2"/>
                <w:sz w:val="18"/>
                <w:szCs w:val="18"/>
                <w:lang w:val="en-US" w:eastAsia="zh-CN" w:bidi="ar"/>
              </w:rPr>
              <w:t>fortunei</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E78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卫矛科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C7D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05693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07545D1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E71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喜光耐荫</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4D41293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B6CD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6068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E7C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E81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花叶络石</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6C37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Trachelospermum</w:t>
            </w:r>
            <w:r>
              <w:rPr>
                <w:rFonts w:hint="eastAsia" w:ascii="宋体" w:hAnsi="宋体" w:cs="宋体"/>
                <w:i w:val="0"/>
                <w:iCs w:val="0"/>
                <w:color w:val="000000"/>
                <w:kern w:val="0"/>
                <w:sz w:val="18"/>
                <w:szCs w:val="18"/>
                <w:u w:val="none"/>
                <w:lang w:val="en-US" w:eastAsia="zh-CN" w:bidi="ar"/>
              </w:rPr>
              <w:t xml:space="preserve"> </w:t>
            </w:r>
            <w:r>
              <w:rPr>
                <w:rFonts w:hint="default" w:ascii="宋体" w:hAnsi="宋体" w:eastAsia="宋体" w:cs="宋体"/>
                <w:i w:val="0"/>
                <w:iCs w:val="0"/>
                <w:color w:val="000000"/>
                <w:kern w:val="0"/>
                <w:sz w:val="18"/>
                <w:szCs w:val="18"/>
                <w:u w:val="none"/>
                <w:lang w:val="en-US" w:eastAsia="zh-CN" w:bidi="ar"/>
              </w:rPr>
              <w:t>jasminoides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FD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夹竹桃科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F3270E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7FB6736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4CAB12C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BC9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BABB5D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437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08141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258E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20C2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紫藤</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CA3F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Wisteria sinensis</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775D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蝶形花科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9A85">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A1EF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 xml:space="preserve"> √</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7C1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both"/>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76DA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E200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singl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6A12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生物滞留设施、植被缓冲带</w:t>
            </w:r>
          </w:p>
        </w:tc>
      </w:tr>
      <w:tr w14:paraId="69264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84C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4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880A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凌霄</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top"/>
          </w:tcPr>
          <w:p w14:paraId="4E840DE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Campsis</w:t>
            </w:r>
            <w:r>
              <w:rPr>
                <w:rStyle w:val="49"/>
                <w:rFonts w:eastAsia="宋体"/>
                <w:kern w:val="2"/>
                <w:sz w:val="18"/>
                <w:szCs w:val="18"/>
                <w:lang w:val="en-US" w:eastAsia="zh-CN" w:bidi="ar"/>
              </w:rPr>
              <w:br w:type="textWrapping"/>
            </w:r>
            <w:r>
              <w:rPr>
                <w:rStyle w:val="45"/>
                <w:rFonts w:hint="default"/>
                <w:kern w:val="2"/>
                <w:sz w:val="18"/>
                <w:szCs w:val="18"/>
                <w:lang w:val="en-US" w:eastAsia="zh-CN" w:bidi="ar"/>
              </w:rPr>
              <w:t>grandiflora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EEC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紫葳科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B35D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EE4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 xml:space="preserve"> </w:t>
            </w:r>
            <w:r>
              <w:rPr>
                <w:rStyle w:val="45"/>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E8CEC61">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D6E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喜光稍</w:t>
            </w:r>
            <w:r>
              <w:rPr>
                <w:rStyle w:val="45"/>
                <w:rFonts w:hint="default"/>
                <w:kern w:val="2"/>
                <w:sz w:val="18"/>
                <w:szCs w:val="18"/>
                <w:lang w:val="en-US" w:eastAsia="zh-CN" w:bidi="ar"/>
              </w:rPr>
              <w:t>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5CC521B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1629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生物滞留设施</w:t>
            </w:r>
          </w:p>
        </w:tc>
      </w:tr>
      <w:tr w14:paraId="78F97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top"/>
          </w:tcPr>
          <w:p w14:paraId="0EE6989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val="en-US" w:eastAsia="zh-CN"/>
              </w:rPr>
            </w:pPr>
            <w:r>
              <w:rPr>
                <w:rStyle w:val="45"/>
                <w:rFonts w:hint="eastAsia" w:asciiTheme="majorEastAsia" w:hAnsiTheme="majorEastAsia" w:eastAsiaTheme="majorEastAsia" w:cstheme="majorEastAsia"/>
                <w:kern w:val="2"/>
                <w:sz w:val="18"/>
                <w:szCs w:val="18"/>
                <w:lang w:val="en-US" w:eastAsia="zh-CN" w:bidi="ar"/>
              </w:rPr>
              <w:t xml:space="preserve"> 草坪类</w:t>
            </w:r>
          </w:p>
        </w:tc>
      </w:tr>
      <w:tr w14:paraId="0582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0FB4">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1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BAA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狗牙根</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A9A4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Cynodon dactylon</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19F2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AD84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top"/>
          </w:tcPr>
          <w:p w14:paraId="117B0D5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2B64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E5D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7C43">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singl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4C692">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植草沟、生物滞留设施、干塘、植被缓冲带</w:t>
            </w:r>
          </w:p>
        </w:tc>
      </w:tr>
      <w:tr w14:paraId="417B1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F55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2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252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高羊茅</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EA8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Festuca elata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E842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1D0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369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 xml:space="preserve"> </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00C70">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B5D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喜光耐半阴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2EEC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Style w:val="53"/>
                <w:rFonts w:hint="default" w:ascii="Calibri" w:hAnsi="Calibri" w:eastAsia="宋体" w:cs="Times New Roman"/>
                <w:kern w:val="2"/>
                <w:sz w:val="18"/>
                <w:szCs w:val="18"/>
                <w:lang w:val="en-US" w:eastAsia="zh-CN" w:bidi="ar"/>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8B3B">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植草沟、植被缓冲带</w:t>
            </w:r>
          </w:p>
        </w:tc>
      </w:tr>
      <w:tr w14:paraId="15D7E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jc w:val="center"/>
        </w:trPr>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DEDCC">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eastAsia" w:asciiTheme="majorEastAsia" w:hAnsiTheme="majorEastAsia" w:eastAsiaTheme="majorEastAsia" w:cstheme="majorEastAsia"/>
                <w:i w:val="0"/>
                <w:iCs w:val="0"/>
                <w:color w:val="000000"/>
                <w:kern w:val="2"/>
                <w:sz w:val="18"/>
                <w:szCs w:val="18"/>
                <w:u w:val="none"/>
                <w:lang w:eastAsia="zh-CN"/>
              </w:rPr>
            </w:pPr>
            <w:r>
              <w:rPr>
                <w:rFonts w:hint="eastAsia" w:asciiTheme="majorEastAsia" w:hAnsiTheme="majorEastAsia" w:eastAsiaTheme="majorEastAsia" w:cstheme="majorEastAsia"/>
                <w:i w:val="0"/>
                <w:iCs w:val="0"/>
                <w:color w:val="000000"/>
                <w:kern w:val="0"/>
                <w:sz w:val="18"/>
                <w:szCs w:val="18"/>
                <w:u w:val="none"/>
                <w:lang w:val="en-US" w:eastAsia="zh-CN" w:bidi="ar"/>
              </w:rPr>
              <w:t xml:space="preserve">3 </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6D1B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结缕草</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586ED">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Zoysia japonica</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E6B6">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禾本科</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793F">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E3788">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180" w:firstLineChars="10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 xml:space="preserve"> √</w:t>
            </w:r>
          </w:p>
        </w:tc>
        <w:tc>
          <w:tcPr>
            <w:tcW w:w="1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4EB97">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52"/>
                <w:rFonts w:hint="default"/>
                <w:kern w:val="2"/>
                <w:sz w:val="18"/>
                <w:szCs w:val="18"/>
                <w:lang w:val="en-US" w:eastAsia="zh-CN" w:bidi="ar"/>
              </w:rPr>
              <w:t>√</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61EA">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r>
              <w:rPr>
                <w:rStyle w:val="45"/>
                <w:rFonts w:hint="default"/>
                <w:kern w:val="2"/>
                <w:sz w:val="18"/>
                <w:szCs w:val="18"/>
                <w:lang w:val="en-US" w:eastAsia="zh-CN" w:bidi="ar"/>
              </w:rPr>
              <w:t>喜光稍耐阴</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top"/>
          </w:tcPr>
          <w:p w14:paraId="1429D98E">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Arial" w:hAnsi="Arial" w:cs="Arial"/>
                <w:i w:val="0"/>
                <w:iCs w:val="0"/>
                <w:color w:val="000000"/>
                <w:kern w:val="2"/>
                <w:sz w:val="18"/>
                <w:szCs w:val="18"/>
                <w:u w:val="none"/>
                <w:lang w:eastAsia="zh-CN"/>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447A9">
            <w:pPr>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20" w:lineRule="exact"/>
              <w:ind w:left="0" w:right="0" w:firstLine="0" w:firstLineChars="0"/>
              <w:jc w:val="left"/>
              <w:textAlignment w:val="top"/>
              <w:rPr>
                <w:rFonts w:hint="default" w:ascii="宋体" w:hAnsi="宋体" w:eastAsia="宋体" w:cs="宋体"/>
                <w:i w:val="0"/>
                <w:iCs w:val="0"/>
                <w:color w:val="000000"/>
                <w:kern w:val="2"/>
                <w:sz w:val="18"/>
                <w:szCs w:val="18"/>
                <w:u w:val="none"/>
                <w:lang w:eastAsia="zh-CN"/>
              </w:rPr>
            </w:pPr>
            <w:r>
              <w:rPr>
                <w:rFonts w:hint="default" w:ascii="宋体" w:hAnsi="宋体" w:eastAsia="宋体" w:cs="宋体"/>
                <w:i w:val="0"/>
                <w:iCs w:val="0"/>
                <w:color w:val="000000"/>
                <w:kern w:val="0"/>
                <w:sz w:val="18"/>
                <w:szCs w:val="18"/>
                <w:u w:val="none"/>
                <w:lang w:val="en-US" w:eastAsia="zh-CN" w:bidi="ar"/>
              </w:rPr>
              <w:t>植草沟、生物滞留设施、干塘、植被缓冲带</w:t>
            </w:r>
          </w:p>
        </w:tc>
      </w:tr>
    </w:tbl>
    <w:p w14:paraId="69C26061">
      <w:pPr>
        <w:ind w:left="0" w:leftChars="0" w:firstLine="0" w:firstLineChars="0"/>
        <w:rPr>
          <w:rFonts w:hint="default"/>
          <w:lang w:eastAsia="zh-CN"/>
        </w:rPr>
      </w:pPr>
    </w:p>
    <w:p w14:paraId="27198EB0">
      <w:pPr>
        <w:rPr>
          <w:rFonts w:hint="default"/>
          <w:lang w:eastAsia="zh-CN"/>
        </w:rPr>
      </w:pPr>
    </w:p>
    <w:p w14:paraId="3A401EDD">
      <w:pPr>
        <w:pStyle w:val="3"/>
        <w:jc w:val="center"/>
        <w:rPr>
          <w:rFonts w:hint="default" w:ascii="Times New Roman" w:hAnsi="Times New Roman" w:cs="Times New Roman"/>
          <w:lang w:eastAsia="zh-CN"/>
        </w:rPr>
      </w:pPr>
      <w:bookmarkStart w:id="20" w:name="_Toc127169863"/>
      <w:bookmarkStart w:id="21" w:name="_Toc134459179"/>
      <w:r>
        <w:rPr>
          <w:rFonts w:hint="default" w:ascii="Times New Roman" w:hAnsi="Times New Roman" w:cs="Times New Roman"/>
          <w:lang w:eastAsia="zh-CN"/>
        </w:rPr>
        <w:t>本标准用词说明</w:t>
      </w:r>
      <w:bookmarkEnd w:id="20"/>
      <w:bookmarkEnd w:id="21"/>
    </w:p>
    <w:p w14:paraId="2B016AE5">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1、为了便于在执行本标准条文时区别对待，对要求严格程度不同的用词说明如下：</w:t>
      </w:r>
    </w:p>
    <w:p w14:paraId="2F772189">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（1） 表示很严格，必须执行的：正面词采用“必须”；反面词采用“严禁”；</w:t>
      </w:r>
    </w:p>
    <w:p w14:paraId="1D1E76DF">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（2）  表示严格，在正常情况下应执行的：正面词采用“应”；反面词采用“不应”或“不得”；</w:t>
      </w:r>
    </w:p>
    <w:p w14:paraId="6D32C46C">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（3） 表示允许稍有选择，在条件许可时首先应执行的：正面词采用“宜”；反面词采用“不宜”；</w:t>
      </w:r>
    </w:p>
    <w:p w14:paraId="2F82DC61">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（4） 表示有选择，在一定条件下可以执行的，采用“可”。</w:t>
      </w:r>
    </w:p>
    <w:p w14:paraId="2597BC87">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spacing w:val="-10"/>
          <w:lang w:eastAsia="zh-CN"/>
        </w:rPr>
        <w:t>2、条文中指明应按其他有关标准执行的写法为“应符合……的规定”或“应按……执行”。</w:t>
      </w:r>
      <w:bookmarkStart w:id="22" w:name="_Toc134459180"/>
      <w:bookmarkStart w:id="23" w:name="_Toc127169864"/>
    </w:p>
    <w:p w14:paraId="2D4382E6">
      <w:pPr>
        <w:rPr>
          <w:rFonts w:hint="default" w:ascii="Times New Roman" w:hAnsi="Times New Roman" w:cs="Times New Roman"/>
          <w:spacing w:val="-10"/>
          <w:lang w:eastAsia="zh-CN"/>
        </w:rPr>
      </w:pPr>
      <w:r>
        <w:rPr>
          <w:rFonts w:hint="default" w:ascii="Times New Roman" w:hAnsi="Times New Roman" w:cs="Times New Roman"/>
          <w:spacing w:val="-10"/>
          <w:lang w:eastAsia="zh-CN"/>
        </w:rPr>
        <w:br w:type="page"/>
      </w:r>
    </w:p>
    <w:p w14:paraId="04D006FC">
      <w:pPr>
        <w:pStyle w:val="3"/>
        <w:jc w:val="center"/>
        <w:rPr>
          <w:rFonts w:hint="default" w:ascii="Times New Roman" w:hAnsi="Times New Roman" w:cs="Times New Roman"/>
          <w:lang w:eastAsia="zh-CN"/>
        </w:rPr>
      </w:pPr>
      <w:r>
        <w:rPr>
          <w:rFonts w:hint="default" w:ascii="Times New Roman" w:hAnsi="Times New Roman" w:cs="Times New Roman"/>
          <w:lang w:eastAsia="zh-CN"/>
        </w:rPr>
        <w:t>引用标准目录</w:t>
      </w:r>
      <w:bookmarkEnd w:id="22"/>
      <w:bookmarkEnd w:id="23"/>
    </w:p>
    <w:p w14:paraId="44327FBE">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w:t>
      </w:r>
      <w:r>
        <w:rPr>
          <w:rFonts w:hint="default" w:ascii="Times New Roman" w:hAnsi="Times New Roman" w:cs="Times New Roman"/>
          <w:spacing w:val="-10"/>
          <w:lang w:eastAsia="zh-CN"/>
        </w:rPr>
        <w:t xml:space="preserve"> 《城市绿地设计规范》</w:t>
      </w:r>
      <w:r>
        <w:rPr>
          <w:rFonts w:hint="default" w:ascii="Times New Roman" w:hAnsi="Times New Roman" w:eastAsia="Times New Roman" w:cs="Times New Roman"/>
          <w:lang w:val="en-US" w:eastAsia="zh-CN"/>
        </w:rPr>
        <w:t>GB 50420</w:t>
      </w:r>
    </w:p>
    <w:p w14:paraId="605B7D94">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2</w:t>
      </w:r>
      <w:r>
        <w:rPr>
          <w:rFonts w:hint="default" w:ascii="Times New Roman" w:hAnsi="Times New Roman" w:cs="Times New Roman"/>
          <w:spacing w:val="-10"/>
          <w:lang w:eastAsia="zh-CN"/>
        </w:rPr>
        <w:t xml:space="preserve"> 《园林绿化工程项目规范》</w:t>
      </w:r>
      <w:r>
        <w:rPr>
          <w:rFonts w:hint="default" w:ascii="Times New Roman" w:hAnsi="Times New Roman" w:eastAsia="Times New Roman" w:cs="Times New Roman"/>
          <w:lang w:val="en-US" w:eastAsia="zh-CN"/>
        </w:rPr>
        <w:t>GB 55014</w:t>
      </w:r>
    </w:p>
    <w:p w14:paraId="30ED83A3">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3</w:t>
      </w:r>
      <w:r>
        <w:rPr>
          <w:rFonts w:hint="default" w:ascii="Times New Roman" w:hAnsi="Times New Roman" w:cs="Times New Roman"/>
          <w:spacing w:val="-10"/>
          <w:lang w:eastAsia="zh-CN"/>
        </w:rPr>
        <w:t xml:space="preserve"> 《公园设计规范》</w:t>
      </w:r>
      <w:r>
        <w:rPr>
          <w:rFonts w:hint="default" w:ascii="Times New Roman" w:hAnsi="Times New Roman" w:eastAsia="Times New Roman" w:cs="Times New Roman"/>
          <w:lang w:val="en-US" w:eastAsia="zh-CN"/>
        </w:rPr>
        <w:t>GB 51192</w:t>
      </w:r>
    </w:p>
    <w:p w14:paraId="74034EC3">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4</w:t>
      </w:r>
      <w:r>
        <w:rPr>
          <w:rFonts w:hint="default" w:ascii="Times New Roman" w:hAnsi="Times New Roman" w:cs="Times New Roman"/>
          <w:spacing w:val="-10"/>
          <w:lang w:eastAsia="zh-CN"/>
        </w:rPr>
        <w:t xml:space="preserve"> 《室外排水设计标准》</w:t>
      </w:r>
      <w:r>
        <w:rPr>
          <w:rFonts w:hint="default" w:ascii="Times New Roman" w:hAnsi="Times New Roman" w:eastAsia="Times New Roman" w:cs="Times New Roman"/>
          <w:lang w:val="en-US" w:eastAsia="zh-CN"/>
        </w:rPr>
        <w:t>GB 50014-2021</w:t>
      </w:r>
    </w:p>
    <w:p w14:paraId="183A8774">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《建筑与小区雨水控制及利用工程技术规范》</w:t>
      </w:r>
      <w:r>
        <w:rPr>
          <w:rFonts w:hint="default" w:ascii="Times New Roman" w:hAnsi="Times New Roman" w:eastAsia="Times New Roman" w:cs="Times New Roman"/>
          <w:lang w:val="en-US" w:eastAsia="zh-CN"/>
        </w:rPr>
        <w:t>GB 50400</w:t>
      </w:r>
      <w:r>
        <w:rPr>
          <w:rFonts w:hint="default" w:ascii="Times New Roman" w:hAnsi="Times New Roman" w:eastAsia="宋体" w:cs="Times New Roman"/>
          <w:color w:val="000000"/>
          <w:kern w:val="0"/>
          <w:sz w:val="21"/>
          <w:szCs w:val="21"/>
          <w:lang w:val="en-US" w:eastAsia="zh-CN" w:bidi="ar"/>
        </w:rPr>
        <w:t xml:space="preserve"> </w:t>
      </w:r>
    </w:p>
    <w:p w14:paraId="01714AC2">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6</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《屋面工程技术规范》</w:t>
      </w:r>
      <w:r>
        <w:rPr>
          <w:rFonts w:hint="default" w:ascii="Times New Roman" w:hAnsi="Times New Roman" w:eastAsia="Times New Roman" w:cs="Times New Roman"/>
          <w:lang w:val="en-US" w:eastAsia="zh-CN"/>
        </w:rPr>
        <w:t>GB50345</w:t>
      </w:r>
      <w:r>
        <w:rPr>
          <w:rFonts w:hint="default" w:ascii="Times New Roman" w:hAnsi="Times New Roman" w:eastAsia="宋体" w:cs="Times New Roman"/>
          <w:color w:val="000000"/>
          <w:kern w:val="0"/>
          <w:sz w:val="21"/>
          <w:szCs w:val="21"/>
          <w:lang w:val="en-US" w:eastAsia="zh-CN" w:bidi="ar"/>
        </w:rPr>
        <w:t xml:space="preserve"> </w:t>
      </w:r>
    </w:p>
    <w:p w14:paraId="5B510E3E">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7</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《坡屋面工程技术规范》</w:t>
      </w:r>
      <w:r>
        <w:rPr>
          <w:rFonts w:hint="default" w:ascii="Times New Roman" w:hAnsi="Times New Roman" w:eastAsia="Times New Roman" w:cs="Times New Roman"/>
          <w:lang w:val="en-US" w:eastAsia="zh-CN"/>
        </w:rPr>
        <w:t>GB50693</w:t>
      </w:r>
      <w:r>
        <w:rPr>
          <w:rFonts w:hint="default" w:ascii="Times New Roman" w:hAnsi="Times New Roman" w:eastAsia="宋体" w:cs="Times New Roman"/>
          <w:color w:val="000000"/>
          <w:kern w:val="0"/>
          <w:sz w:val="21"/>
          <w:szCs w:val="21"/>
          <w:lang w:val="en-US" w:eastAsia="zh-CN" w:bidi="ar"/>
        </w:rPr>
        <w:t xml:space="preserve"> </w:t>
      </w:r>
    </w:p>
    <w:p w14:paraId="57D1147A">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《地下工程防水技术规范》</w:t>
      </w:r>
      <w:r>
        <w:rPr>
          <w:rFonts w:hint="default" w:ascii="Times New Roman" w:hAnsi="Times New Roman" w:eastAsia="Times New Roman" w:cs="Times New Roman"/>
          <w:lang w:val="en-US" w:eastAsia="zh-CN"/>
        </w:rPr>
        <w:t>GB50108</w:t>
      </w:r>
      <w:r>
        <w:rPr>
          <w:rFonts w:hint="default" w:ascii="Times New Roman" w:hAnsi="Times New Roman" w:eastAsia="宋体" w:cs="Times New Roman"/>
          <w:color w:val="000000"/>
          <w:kern w:val="0"/>
          <w:sz w:val="21"/>
          <w:szCs w:val="21"/>
          <w:lang w:val="en-US" w:eastAsia="zh-CN" w:bidi="ar"/>
        </w:rPr>
        <w:t xml:space="preserve"> </w:t>
      </w:r>
    </w:p>
    <w:p w14:paraId="0610571F">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9</w:t>
      </w:r>
      <w:r>
        <w:rPr>
          <w:rFonts w:hint="default" w:ascii="Times New Roman" w:hAnsi="Times New Roman" w:eastAsia="宋体" w:cs="Times New Roman"/>
          <w:color w:val="000000"/>
          <w:kern w:val="0"/>
          <w:sz w:val="21"/>
          <w:szCs w:val="21"/>
          <w:lang w:val="en-US" w:eastAsia="zh-CN" w:bidi="ar"/>
        </w:rPr>
        <w:t>《绿化植物废弃物处置和应用技术规程》</w:t>
      </w:r>
      <w:r>
        <w:rPr>
          <w:rFonts w:hint="default" w:ascii="Times New Roman" w:hAnsi="Times New Roman" w:eastAsia="Times New Roman" w:cs="Times New Roman"/>
          <w:lang w:val="en-US" w:eastAsia="zh-CN"/>
        </w:rPr>
        <w:t>GB/T 31755</w:t>
      </w:r>
    </w:p>
    <w:p w14:paraId="19CE1AC9">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10</w:t>
      </w:r>
      <w:r>
        <w:rPr>
          <w:rFonts w:hint="default" w:ascii="Times New Roman" w:hAnsi="Times New Roman" w:eastAsia="宋体" w:cs="Times New Roman"/>
          <w:color w:val="000000"/>
          <w:kern w:val="0"/>
          <w:sz w:val="21"/>
          <w:szCs w:val="21"/>
          <w:lang w:val="en-US" w:eastAsia="zh-CN" w:bidi="ar"/>
        </w:rPr>
        <w:t>《绿化用有机基质》</w:t>
      </w:r>
      <w:r>
        <w:rPr>
          <w:rFonts w:hint="default" w:ascii="Times New Roman" w:hAnsi="Times New Roman" w:eastAsia="Times New Roman" w:cs="Times New Roman"/>
          <w:lang w:val="en-US" w:eastAsia="zh-CN"/>
        </w:rPr>
        <w:t>GB/T 33891</w:t>
      </w:r>
    </w:p>
    <w:p w14:paraId="0357DAC4">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11</w:t>
      </w:r>
      <w:r>
        <w:rPr>
          <w:rFonts w:hint="default" w:ascii="Times New Roman" w:hAnsi="Times New Roman" w:cs="Times New Roman"/>
          <w:spacing w:val="-10"/>
          <w:lang w:eastAsia="zh-CN"/>
        </w:rPr>
        <w:t>《园林绿化工程施工及验收规范》</w:t>
      </w:r>
      <w:r>
        <w:rPr>
          <w:rFonts w:hint="default" w:ascii="Times New Roman" w:hAnsi="Times New Roman" w:eastAsia="Times New Roman" w:cs="Times New Roman"/>
          <w:lang w:val="en-US" w:eastAsia="zh-CN"/>
        </w:rPr>
        <w:t>CJJ 82</w:t>
      </w:r>
    </w:p>
    <w:p w14:paraId="3F36865C">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12</w:t>
      </w:r>
      <w:r>
        <w:rPr>
          <w:rFonts w:hint="default" w:ascii="Times New Roman" w:hAnsi="Times New Roman" w:cs="Times New Roman"/>
          <w:spacing w:val="-10"/>
          <w:lang w:eastAsia="zh-CN"/>
        </w:rPr>
        <w:t>《城市道路绿化规划与设计规范》</w:t>
      </w:r>
      <w:r>
        <w:rPr>
          <w:rFonts w:hint="default" w:ascii="Times New Roman" w:hAnsi="Times New Roman" w:eastAsia="Times New Roman" w:cs="Times New Roman"/>
          <w:lang w:val="en-US" w:eastAsia="zh-CN"/>
        </w:rPr>
        <w:t>CJJ 75</w:t>
      </w:r>
    </w:p>
    <w:p w14:paraId="6F416365">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13</w:t>
      </w:r>
      <w:r>
        <w:rPr>
          <w:rFonts w:hint="default" w:ascii="Times New Roman" w:hAnsi="Times New Roman" w:cs="Times New Roman"/>
          <w:spacing w:val="-10"/>
          <w:lang w:eastAsia="zh-CN"/>
        </w:rPr>
        <w:t>《风景园林制图标准》</w:t>
      </w:r>
      <w:r>
        <w:rPr>
          <w:rFonts w:hint="default" w:ascii="Times New Roman" w:hAnsi="Times New Roman" w:eastAsia="Times New Roman" w:cs="Times New Roman"/>
          <w:lang w:val="en-US" w:eastAsia="zh-CN"/>
        </w:rPr>
        <w:t>CJJ/T61</w:t>
      </w:r>
    </w:p>
    <w:p w14:paraId="759C2083">
      <w:pPr>
        <w:keepNext w:val="0"/>
        <w:keepLines w:val="0"/>
        <w:widowControl/>
        <w:suppressLineNumbers w:val="0"/>
        <w:ind w:left="0" w:leftChars="0"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14</w:t>
      </w:r>
      <w:r>
        <w:rPr>
          <w:rFonts w:hint="default" w:ascii="Times New Roman" w:hAnsi="Times New Roman" w:cs="Times New Roman"/>
          <w:spacing w:val="-10"/>
          <w:lang w:eastAsia="zh-CN"/>
        </w:rPr>
        <w:t>《城乡建设用地竖向规划规范》</w:t>
      </w:r>
      <w:r>
        <w:rPr>
          <w:rFonts w:hint="default" w:ascii="Times New Roman" w:hAnsi="Times New Roman" w:eastAsia="Times New Roman" w:cs="Times New Roman"/>
          <w:lang w:val="en-US" w:eastAsia="zh-CN"/>
        </w:rPr>
        <w:t>CJJ83</w:t>
      </w:r>
    </w:p>
    <w:p w14:paraId="4A289466">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15</w:t>
      </w:r>
      <w:r>
        <w:rPr>
          <w:rFonts w:hint="default" w:ascii="Times New Roman" w:hAnsi="Times New Roman" w:eastAsia="宋体" w:cs="Times New Roman"/>
          <w:color w:val="000000"/>
          <w:kern w:val="0"/>
          <w:sz w:val="21"/>
          <w:szCs w:val="21"/>
          <w:lang w:val="en-US" w:eastAsia="zh-CN" w:bidi="ar"/>
        </w:rPr>
        <w:t>《绿化种植土壤》</w:t>
      </w:r>
      <w:r>
        <w:rPr>
          <w:rFonts w:hint="default" w:ascii="Times New Roman" w:hAnsi="Times New Roman" w:eastAsia="Times New Roman" w:cs="Times New Roman"/>
          <w:lang w:val="en-US" w:eastAsia="zh-CN"/>
        </w:rPr>
        <w:t>CJ/T 340</w:t>
      </w:r>
      <w:r>
        <w:rPr>
          <w:rFonts w:hint="default" w:ascii="Times New Roman" w:hAnsi="Times New Roman" w:cs="Times New Roman"/>
          <w:spacing w:val="-10"/>
          <w:lang w:val="en-US" w:eastAsia="zh-CN"/>
        </w:rPr>
        <w:t xml:space="preserve"> </w:t>
      </w:r>
    </w:p>
    <w:p w14:paraId="048935E8">
      <w:pPr>
        <w:ind w:left="0" w:leftChars="0" w:firstLine="0" w:firstLineChars="0"/>
        <w:rPr>
          <w:rFonts w:hint="default" w:ascii="Times New Roman" w:hAnsi="Times New Roman" w:cs="Times New Roman"/>
          <w:spacing w:val="-10"/>
          <w:lang w:eastAsia="zh-CN"/>
        </w:rPr>
      </w:pPr>
      <w:r>
        <w:rPr>
          <w:rFonts w:hint="default" w:ascii="Times New Roman" w:hAnsi="Times New Roman" w:eastAsia="宋体" w:cs="Times New Roman"/>
          <w:b/>
          <w:bCs/>
          <w:color w:val="000000"/>
          <w:kern w:val="0"/>
          <w:sz w:val="21"/>
          <w:szCs w:val="21"/>
          <w:lang w:val="en-US" w:eastAsia="zh-CN" w:bidi="ar"/>
        </w:rPr>
        <w:t>1</w:t>
      </w:r>
      <w:r>
        <w:rPr>
          <w:rFonts w:hint="default" w:ascii="Times New Roman" w:hAnsi="Times New Roman" w:cs="Times New Roman"/>
          <w:b/>
          <w:bCs/>
          <w:color w:val="000000"/>
          <w:kern w:val="0"/>
          <w:sz w:val="21"/>
          <w:szCs w:val="21"/>
          <w:lang w:val="en-US" w:eastAsia="zh-CN" w:bidi="ar"/>
        </w:rPr>
        <w:t>6</w:t>
      </w:r>
      <w:r>
        <w:rPr>
          <w:rFonts w:hint="default" w:ascii="Times New Roman" w:hAnsi="Times New Roman" w:eastAsia="宋体" w:cs="Times New Roman"/>
          <w:color w:val="000000"/>
          <w:kern w:val="0"/>
          <w:sz w:val="21"/>
          <w:szCs w:val="21"/>
          <w:lang w:val="en-US" w:eastAsia="zh-CN" w:bidi="ar"/>
        </w:rPr>
        <w:t>《种植屋面工程技术规程》</w:t>
      </w:r>
      <w:r>
        <w:rPr>
          <w:rFonts w:hint="default" w:ascii="Times New Roman" w:hAnsi="Times New Roman" w:eastAsia="Times New Roman" w:cs="Times New Roman"/>
          <w:lang w:val="en-US" w:eastAsia="zh-CN"/>
        </w:rPr>
        <w:t>JGJ155</w:t>
      </w:r>
    </w:p>
    <w:p w14:paraId="01F431F6">
      <w:pPr>
        <w:keepNext w:val="0"/>
        <w:keepLines w:val="0"/>
        <w:widowControl/>
        <w:suppressLineNumbers w:val="0"/>
        <w:ind w:left="0" w:leftChars="0"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17</w:t>
      </w:r>
      <w:r>
        <w:rPr>
          <w:rFonts w:hint="default" w:ascii="Times New Roman" w:hAnsi="Times New Roman" w:eastAsia="宋体" w:cs="Times New Roman"/>
          <w:color w:val="000000"/>
          <w:kern w:val="0"/>
          <w:sz w:val="21"/>
          <w:szCs w:val="21"/>
          <w:lang w:val="en-US" w:eastAsia="zh-CN" w:bidi="ar"/>
        </w:rPr>
        <w:t>住建部《海绵城市建设技术指南—低影响开发雨水系统构建》</w:t>
      </w:r>
    </w:p>
    <w:p w14:paraId="7DEFDDC7">
      <w:pPr>
        <w:keepNext w:val="0"/>
        <w:keepLines w:val="0"/>
        <w:widowControl/>
        <w:suppressLineNumbers w:val="0"/>
        <w:ind w:left="0" w:leftChars="0" w:firstLine="0" w:firstLineChars="0"/>
        <w:jc w:val="left"/>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18</w:t>
      </w:r>
      <w:r>
        <w:rPr>
          <w:rFonts w:hint="default" w:ascii="Times New Roman" w:hAnsi="Times New Roman" w:eastAsia="宋体" w:cs="Times New Roman"/>
          <w:color w:val="000000"/>
          <w:kern w:val="0"/>
          <w:sz w:val="21"/>
          <w:szCs w:val="21"/>
          <w:lang w:val="en-US" w:eastAsia="zh-CN" w:bidi="ar"/>
        </w:rPr>
        <w:t>《城市绿地防灾避险设计导则》</w:t>
      </w:r>
    </w:p>
    <w:p w14:paraId="6AE533FA">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19</w:t>
      </w:r>
      <w:r>
        <w:rPr>
          <w:rFonts w:hint="default" w:ascii="Times New Roman" w:hAnsi="Times New Roman" w:cs="Times New Roman"/>
          <w:spacing w:val="-10"/>
          <w:lang w:eastAsia="zh-CN"/>
        </w:rPr>
        <w:t>《三明市城市绿化条例》</w:t>
      </w:r>
    </w:p>
    <w:p w14:paraId="0E62D8B8">
      <w:pPr>
        <w:ind w:left="0" w:leftChars="0" w:firstLine="0" w:firstLineChars="0"/>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20</w:t>
      </w:r>
      <w:r>
        <w:rPr>
          <w:rFonts w:hint="default" w:ascii="Times New Roman" w:hAnsi="Times New Roman" w:cs="Times New Roman"/>
          <w:spacing w:val="-10"/>
          <w:lang w:eastAsia="zh-CN"/>
        </w:rPr>
        <w:t>《三明市城市绿化导则》</w:t>
      </w:r>
    </w:p>
    <w:p w14:paraId="6C1E720D">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21</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福建省《园林绿化种植土质量标准》</w:t>
      </w:r>
      <w:r>
        <w:rPr>
          <w:rFonts w:hint="default" w:ascii="Times New Roman" w:hAnsi="Times New Roman" w:eastAsia="Times New Roman" w:cs="Times New Roman"/>
          <w:lang w:val="en-US" w:eastAsia="zh-CN"/>
        </w:rPr>
        <w:t>DBJ/T 13-132</w:t>
      </w:r>
      <w:r>
        <w:rPr>
          <w:rFonts w:hint="default" w:ascii="Times New Roman" w:hAnsi="Times New Roman" w:cs="Times New Roman"/>
          <w:spacing w:val="-10"/>
          <w:lang w:val="en-US" w:eastAsia="zh-CN"/>
        </w:rPr>
        <w:t xml:space="preserve"> </w:t>
      </w:r>
    </w:p>
    <w:p w14:paraId="00DD7F6F">
      <w:pPr>
        <w:keepNext w:val="0"/>
        <w:keepLines w:val="0"/>
        <w:widowControl/>
        <w:suppressLineNumbers w:val="0"/>
        <w:ind w:left="0" w:leftChars="0" w:firstLine="0" w:firstLineChars="0"/>
        <w:jc w:val="left"/>
        <w:rPr>
          <w:rFonts w:hint="default" w:ascii="Times New Roman" w:hAnsi="Times New Roman" w:cs="Times New Roman"/>
          <w:spacing w:val="-10"/>
          <w:lang w:val="en-US" w:eastAsia="zh-CN"/>
        </w:rPr>
      </w:pPr>
      <w:r>
        <w:rPr>
          <w:rFonts w:hint="default" w:ascii="Times New Roman" w:hAnsi="Times New Roman" w:cs="Times New Roman"/>
          <w:b/>
          <w:bCs/>
          <w:color w:val="000000"/>
          <w:kern w:val="0"/>
          <w:sz w:val="21"/>
          <w:szCs w:val="21"/>
          <w:lang w:val="en-US" w:eastAsia="zh-CN" w:bidi="ar"/>
        </w:rPr>
        <w:t>22</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福建省《城市园林植物种植技术规程》</w:t>
      </w:r>
      <w:r>
        <w:rPr>
          <w:rFonts w:hint="default" w:ascii="Times New Roman" w:hAnsi="Times New Roman" w:eastAsia="Times New Roman" w:cs="Times New Roman"/>
          <w:lang w:val="en-US" w:eastAsia="zh-CN"/>
        </w:rPr>
        <w:t>DBJ/T 13-148</w:t>
      </w:r>
      <w:r>
        <w:rPr>
          <w:rFonts w:hint="default" w:ascii="Times New Roman" w:hAnsi="Times New Roman" w:cs="Times New Roman"/>
          <w:spacing w:val="-10"/>
          <w:lang w:val="en-US" w:eastAsia="zh-CN"/>
        </w:rPr>
        <w:t xml:space="preserve"> </w:t>
      </w:r>
    </w:p>
    <w:p w14:paraId="3819E5E9">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eastAsia="宋体" w:cs="Times New Roman"/>
          <w:b/>
          <w:bCs/>
          <w:color w:val="000000"/>
          <w:kern w:val="0"/>
          <w:sz w:val="21"/>
          <w:szCs w:val="21"/>
          <w:lang w:val="en-US" w:eastAsia="zh-CN" w:bidi="ar"/>
        </w:rPr>
        <w:t>2</w:t>
      </w:r>
      <w:r>
        <w:rPr>
          <w:rFonts w:hint="default" w:ascii="Times New Roman" w:hAnsi="Times New Roman"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福建省《城市绿化工程质量验收规程》</w:t>
      </w:r>
      <w:r>
        <w:rPr>
          <w:rFonts w:hint="default" w:ascii="Times New Roman" w:hAnsi="Times New Roman" w:eastAsia="Times New Roman" w:cs="Times New Roman"/>
          <w:lang w:val="en-US" w:eastAsia="zh-CN"/>
        </w:rPr>
        <w:t xml:space="preserve">DBJ 13-90 </w:t>
      </w:r>
    </w:p>
    <w:p w14:paraId="2188281B">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cs="Times New Roman"/>
          <w:b/>
          <w:bCs/>
          <w:color w:val="000000"/>
          <w:kern w:val="0"/>
          <w:sz w:val="21"/>
          <w:szCs w:val="21"/>
          <w:lang w:val="en-US" w:eastAsia="zh-CN" w:bidi="ar"/>
        </w:rPr>
        <w:t>24</w:t>
      </w:r>
      <w:r>
        <w:rPr>
          <w:rFonts w:hint="default" w:ascii="Times New Roman" w:hAnsi="Times New Roman" w:eastAsia="宋体" w:cs="Times New Roman"/>
          <w:color w:val="000000"/>
          <w:kern w:val="0"/>
          <w:sz w:val="21"/>
          <w:szCs w:val="21"/>
          <w:lang w:val="en-US" w:eastAsia="zh-CN" w:bidi="ar"/>
        </w:rPr>
        <w:t xml:space="preserve">《福建省城市绿地建设导则》 </w:t>
      </w:r>
    </w:p>
    <w:p w14:paraId="3964F3E9">
      <w:pPr>
        <w:ind w:left="0" w:leftChars="0" w:firstLine="0" w:firstLineChars="0"/>
        <w:jc w:val="both"/>
        <w:rPr>
          <w:rFonts w:hint="default" w:ascii="Times New Roman" w:hAnsi="Times New Roman" w:cs="Times New Roman"/>
          <w:spacing w:val="-10"/>
          <w:lang w:eastAsia="zh-CN"/>
        </w:rPr>
      </w:pPr>
      <w:r>
        <w:rPr>
          <w:rFonts w:hint="default" w:ascii="Times New Roman" w:hAnsi="Times New Roman" w:cs="Times New Roman"/>
          <w:b/>
          <w:bCs/>
          <w:color w:val="000000"/>
          <w:kern w:val="0"/>
          <w:sz w:val="21"/>
          <w:szCs w:val="21"/>
          <w:lang w:val="en-US" w:eastAsia="zh-CN" w:bidi="ar"/>
        </w:rPr>
        <w:t>25</w:t>
      </w:r>
      <w:r>
        <w:rPr>
          <w:rFonts w:hint="default" w:ascii="Times New Roman" w:hAnsi="Times New Roman" w:eastAsia="宋体" w:cs="Times New Roman"/>
          <w:color w:val="000000"/>
          <w:kern w:val="0"/>
          <w:sz w:val="21"/>
          <w:szCs w:val="21"/>
          <w:lang w:val="en-US" w:eastAsia="zh-CN" w:bidi="ar"/>
        </w:rPr>
        <w:t>《福建省海绵城市建设技术导则》</w:t>
      </w:r>
    </w:p>
    <w:p w14:paraId="0322F071">
      <w:pPr>
        <w:ind w:firstLine="0" w:firstLineChars="0"/>
        <w:jc w:val="both"/>
        <w:rPr>
          <w:rFonts w:hint="default" w:ascii="Times New Roman" w:hAnsi="Times New Roman" w:cs="Times New Roman"/>
          <w:lang w:eastAsia="zh-CN"/>
        </w:rPr>
      </w:pPr>
    </w:p>
    <w:sectPr>
      <w:headerReference r:id="rId9" w:type="default"/>
      <w:footerReference r:id="rId10" w:type="default"/>
      <w:footerReference r:id="rId11" w:type="even"/>
      <w:type w:val="nextColumn"/>
      <w:pgSz w:w="7938" w:h="11510"/>
      <w:pgMar w:top="1134" w:right="1021" w:bottom="1021" w:left="1021" w:header="0" w:footer="737" w:gutter="0"/>
      <w:pgNumType w:fmt="decimal" w:start="1"/>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Bold">
    <w:altName w:val="Adobe Caslon Pro Bold"/>
    <w:panose1 w:val="00000000000000000000"/>
    <w:charset w:val="00"/>
    <w:family w:val="auto"/>
    <w:pitch w:val="default"/>
    <w:sig w:usb0="00000000" w:usb1="00000000" w:usb2="00000000" w:usb3="00000000" w:csb0="00000000" w:csb1="00000000"/>
  </w:font>
  <w:font w:name="Arial Rounded MT Bold">
    <w:altName w:val="Arial"/>
    <w:panose1 w:val="020F0704030504030204"/>
    <w:charset w:val="00"/>
    <w:family w:val="auto"/>
    <w:pitch w:val="default"/>
    <w:sig w:usb0="00000000" w:usb1="00000000" w:usb2="00000000" w:usb3="00000000" w:csb0="20000001" w:csb1="00000000"/>
  </w:font>
  <w:font w:name="Adobe Caslon Pro Bold">
    <w:panose1 w:val="0205070206050A020403"/>
    <w:charset w:val="00"/>
    <w:family w:val="auto"/>
    <w:pitch w:val="default"/>
    <w:sig w:usb0="00000007" w:usb1="00000001" w:usb2="00000000" w:usb3="00000000" w:csb0="20000093"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2050D">
    <w:pPr>
      <w:pStyle w:val="11"/>
      <w:ind w:firstLine="360"/>
      <w:jc w:val="center"/>
      <w:rPr>
        <w:rFonts w:hint="eastAsia" w:ascii="宋体" w:hAnsi="宋体"/>
      </w:rPr>
    </w:pPr>
    <w:r>
      <w:rPr>
        <w:rFonts w:hint="eastAsia"/>
        <w:lang w:eastAsia="zh-CN"/>
      </w:rPr>
      <w:t xml:space="preserve">                                           </w:t>
    </w:r>
    <w:r>
      <w:rPr>
        <w:lang w:eastAsia="zh-CN"/>
      </w:rPr>
      <w:t xml:space="preserve">                                                                     </w:t>
    </w:r>
    <w:r>
      <w:rPr>
        <w:rFonts w:hint="eastAsia"/>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62A4B">
    <w:pPr>
      <w:pStyle w:val="11"/>
      <w:ind w:firstLine="0" w:firstLineChars="0"/>
      <w:rPr>
        <w:lang w:eastAsia="zh-CN"/>
      </w:rPr>
    </w:pPr>
    <w:r>
      <w:rPr>
        <w:rFonts w:hint="eastAsia"/>
        <w:lang w:eastAsia="zh-CN"/>
      </w:rPr>
      <w:t xml:space="preserve">            </w:t>
    </w:r>
    <w:r>
      <w:rPr>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7FBB5">
    <w:pPr>
      <w:pStyle w:val="11"/>
      <w:ind w:firstLine="360"/>
      <w:jc w:val="center"/>
    </w:pPr>
  </w:p>
  <w:p w14:paraId="65A85AB7">
    <w:pPr>
      <w:pStyle w:val="11"/>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09F0">
                          <w:pPr>
                            <w:pStyle w:val="11"/>
                            <w:ind w:firstLine="360"/>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eastAsia="zh-CN"/>
                            </w:rPr>
                            <w:t>19</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CE09F0">
                    <w:pPr>
                      <w:pStyle w:val="11"/>
                      <w:ind w:firstLine="360"/>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eastAsia="zh-CN"/>
                      </w:rPr>
                      <w:t>19</w:t>
                    </w:r>
                    <w:r>
                      <w:rPr>
                        <w:rFonts w:ascii="宋体" w:hAnsi="宋体"/>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892"/>
                          </w:sdtPr>
                          <w:sdtEndPr>
                            <w:rPr>
                              <w:sz w:val="21"/>
                              <w:szCs w:val="21"/>
                            </w:rPr>
                          </w:sdtEndPr>
                          <w:sdtContent>
                            <w:p w14:paraId="446BE8F9">
                              <w:pPr>
                                <w:pStyle w:val="11"/>
                                <w:ind w:firstLine="360"/>
                                <w:jc w:val="center"/>
                                <w:rPr>
                                  <w:sz w:val="21"/>
                                  <w:szCs w:val="21"/>
                                </w:rPr>
                              </w:pPr>
                              <w:r>
                                <w:rPr>
                                  <w:rFonts w:hint="eastAsia"/>
                                  <w:lang w:eastAsia="zh-CN"/>
                                </w:rPr>
                                <w:t xml:space="preserve">                                                                                                                </w:t>
                              </w:r>
                              <w:r>
                                <w:rPr>
                                  <w:rFonts w:hint="eastAsia"/>
                                  <w:sz w:val="21"/>
                                  <w:szCs w:val="21"/>
                                  <w:lang w:eastAsia="zh-CN"/>
                                </w:rPr>
                                <w:t xml:space="preserve">  </w:t>
                              </w:r>
                            </w:p>
                          </w:sdtContent>
                        </w:sdt>
                        <w:p w14:paraId="6A18F10C">
                          <w:pPr>
                            <w:rPr>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70892"/>
                    </w:sdtPr>
                    <w:sdtEndPr>
                      <w:rPr>
                        <w:sz w:val="21"/>
                        <w:szCs w:val="21"/>
                      </w:rPr>
                    </w:sdtEndPr>
                    <w:sdtContent>
                      <w:p w14:paraId="446BE8F9">
                        <w:pPr>
                          <w:pStyle w:val="11"/>
                          <w:ind w:firstLine="360"/>
                          <w:jc w:val="center"/>
                          <w:rPr>
                            <w:sz w:val="21"/>
                            <w:szCs w:val="21"/>
                          </w:rPr>
                        </w:pPr>
                        <w:r>
                          <w:rPr>
                            <w:rFonts w:hint="eastAsia"/>
                            <w:lang w:eastAsia="zh-CN"/>
                          </w:rPr>
                          <w:t xml:space="preserve">                                                                                                                </w:t>
                        </w:r>
                        <w:r>
                          <w:rPr>
                            <w:rFonts w:hint="eastAsia"/>
                            <w:sz w:val="21"/>
                            <w:szCs w:val="21"/>
                            <w:lang w:eastAsia="zh-CN"/>
                          </w:rPr>
                          <w:t xml:space="preserve">  </w:t>
                        </w:r>
                      </w:p>
                    </w:sdtContent>
                  </w:sdt>
                  <w:p w14:paraId="6A18F10C">
                    <w:pPr>
                      <w:rPr>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8368E">
    <w:pPr>
      <w:pStyle w:val="11"/>
      <w:ind w:firstLine="540" w:firstLineChars="300"/>
      <w:rPr>
        <w:rFonts w:hint="eastAsia" w:ascii="宋体" w:hAnsi="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BCF2F">
                          <w:pPr>
                            <w:pStyle w:val="11"/>
                            <w:ind w:firstLine="540" w:firstLineChars="300"/>
                          </w:pPr>
                          <w:r>
                            <w:rPr>
                              <w:rFonts w:ascii="宋体" w:hAnsi="宋体"/>
                              <w:lang w:eastAsia="zh-CN"/>
                            </w:rPr>
                            <w:fldChar w:fldCharType="begin"/>
                          </w:r>
                          <w:r>
                            <w:rPr>
                              <w:rFonts w:ascii="宋体" w:hAnsi="宋体"/>
                              <w:lang w:eastAsia="zh-CN"/>
                            </w:rPr>
                            <w:instrText xml:space="preserve">PAGE   \* MERGEFORMAT</w:instrText>
                          </w:r>
                          <w:r>
                            <w:rPr>
                              <w:rFonts w:ascii="宋体" w:hAnsi="宋体"/>
                              <w:lang w:eastAsia="zh-CN"/>
                            </w:rPr>
                            <w:fldChar w:fldCharType="separate"/>
                          </w:r>
                          <w:r>
                            <w:rPr>
                              <w:rFonts w:ascii="宋体" w:hAnsi="宋体"/>
                              <w:lang w:val="zh-CN" w:eastAsia="zh-CN"/>
                            </w:rPr>
                            <w:t>20</w:t>
                          </w:r>
                          <w:r>
                            <w:rPr>
                              <w:rFonts w:ascii="宋体" w:hAnsi="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04BCF2F">
                    <w:pPr>
                      <w:pStyle w:val="11"/>
                      <w:ind w:firstLine="540" w:firstLineChars="300"/>
                    </w:pPr>
                    <w:r>
                      <w:rPr>
                        <w:rFonts w:ascii="宋体" w:hAnsi="宋体"/>
                        <w:lang w:eastAsia="zh-CN"/>
                      </w:rPr>
                      <w:fldChar w:fldCharType="begin"/>
                    </w:r>
                    <w:r>
                      <w:rPr>
                        <w:rFonts w:ascii="宋体" w:hAnsi="宋体"/>
                        <w:lang w:eastAsia="zh-CN"/>
                      </w:rPr>
                      <w:instrText xml:space="preserve">PAGE   \* MERGEFORMAT</w:instrText>
                    </w:r>
                    <w:r>
                      <w:rPr>
                        <w:rFonts w:ascii="宋体" w:hAnsi="宋体"/>
                        <w:lang w:eastAsia="zh-CN"/>
                      </w:rPr>
                      <w:fldChar w:fldCharType="separate"/>
                    </w:r>
                    <w:r>
                      <w:rPr>
                        <w:rFonts w:ascii="宋体" w:hAnsi="宋体"/>
                        <w:lang w:val="zh-CN" w:eastAsia="zh-CN"/>
                      </w:rPr>
                      <w:t>20</w:t>
                    </w:r>
                    <w:r>
                      <w:rPr>
                        <w:rFonts w:ascii="宋体" w:hAnsi="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C7E12">
    <w:pPr>
      <w:ind w:firstLine="40"/>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9E871">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CA714">
    <w:pPr>
      <w:ind w:firstLine="40"/>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630"/>
  <w:evenAndOddHeaders w:val="1"/>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mMzNkYzcxYjY5MmQ2MjdkOTE0ZmUxNTYxYzdhNjEifQ=="/>
  </w:docVars>
  <w:rsids>
    <w:rsidRoot w:val="00172A27"/>
    <w:rsid w:val="00002642"/>
    <w:rsid w:val="000075A9"/>
    <w:rsid w:val="00007643"/>
    <w:rsid w:val="0001073F"/>
    <w:rsid w:val="00011760"/>
    <w:rsid w:val="000133EE"/>
    <w:rsid w:val="00016271"/>
    <w:rsid w:val="000203D0"/>
    <w:rsid w:val="000204BD"/>
    <w:rsid w:val="00020910"/>
    <w:rsid w:val="000242E5"/>
    <w:rsid w:val="0003312E"/>
    <w:rsid w:val="00033AF9"/>
    <w:rsid w:val="00036AF0"/>
    <w:rsid w:val="00036B94"/>
    <w:rsid w:val="000405E2"/>
    <w:rsid w:val="00041CEE"/>
    <w:rsid w:val="00045DEE"/>
    <w:rsid w:val="000513A0"/>
    <w:rsid w:val="00052E9B"/>
    <w:rsid w:val="00054134"/>
    <w:rsid w:val="00061675"/>
    <w:rsid w:val="0006793A"/>
    <w:rsid w:val="00075ADE"/>
    <w:rsid w:val="0008008A"/>
    <w:rsid w:val="000802E1"/>
    <w:rsid w:val="00080ECA"/>
    <w:rsid w:val="00094C10"/>
    <w:rsid w:val="000952C6"/>
    <w:rsid w:val="000A12F8"/>
    <w:rsid w:val="000B0FE9"/>
    <w:rsid w:val="000B16E4"/>
    <w:rsid w:val="000B1EDD"/>
    <w:rsid w:val="000B1FE5"/>
    <w:rsid w:val="000B35CA"/>
    <w:rsid w:val="000B3FE1"/>
    <w:rsid w:val="000B56CC"/>
    <w:rsid w:val="000C6DF7"/>
    <w:rsid w:val="000D2929"/>
    <w:rsid w:val="000D493F"/>
    <w:rsid w:val="000D628F"/>
    <w:rsid w:val="000E380A"/>
    <w:rsid w:val="000F2944"/>
    <w:rsid w:val="000F484E"/>
    <w:rsid w:val="000F60E3"/>
    <w:rsid w:val="001003A9"/>
    <w:rsid w:val="001020C8"/>
    <w:rsid w:val="001048BD"/>
    <w:rsid w:val="0010755B"/>
    <w:rsid w:val="0011563F"/>
    <w:rsid w:val="001163F4"/>
    <w:rsid w:val="00116F53"/>
    <w:rsid w:val="001215C5"/>
    <w:rsid w:val="00123762"/>
    <w:rsid w:val="00127EC4"/>
    <w:rsid w:val="001329FB"/>
    <w:rsid w:val="001377FB"/>
    <w:rsid w:val="001420C9"/>
    <w:rsid w:val="00143598"/>
    <w:rsid w:val="00150F0E"/>
    <w:rsid w:val="001536A3"/>
    <w:rsid w:val="00154A96"/>
    <w:rsid w:val="0015551C"/>
    <w:rsid w:val="00156742"/>
    <w:rsid w:val="00160BCC"/>
    <w:rsid w:val="001621C7"/>
    <w:rsid w:val="00171505"/>
    <w:rsid w:val="00172A27"/>
    <w:rsid w:val="0017491E"/>
    <w:rsid w:val="001830E0"/>
    <w:rsid w:val="00185CB8"/>
    <w:rsid w:val="00192FBB"/>
    <w:rsid w:val="001938D6"/>
    <w:rsid w:val="00193ACA"/>
    <w:rsid w:val="00195746"/>
    <w:rsid w:val="001A2F4F"/>
    <w:rsid w:val="001A300B"/>
    <w:rsid w:val="001B0BA7"/>
    <w:rsid w:val="001B5678"/>
    <w:rsid w:val="001B733F"/>
    <w:rsid w:val="001B7644"/>
    <w:rsid w:val="001B7821"/>
    <w:rsid w:val="001C1662"/>
    <w:rsid w:val="001C1FCA"/>
    <w:rsid w:val="001D1C8D"/>
    <w:rsid w:val="001D3F55"/>
    <w:rsid w:val="001D4418"/>
    <w:rsid w:val="001D78FF"/>
    <w:rsid w:val="00200C40"/>
    <w:rsid w:val="002069E0"/>
    <w:rsid w:val="00214C44"/>
    <w:rsid w:val="002233CD"/>
    <w:rsid w:val="002238D3"/>
    <w:rsid w:val="00223E61"/>
    <w:rsid w:val="00233C9D"/>
    <w:rsid w:val="00233FFF"/>
    <w:rsid w:val="002353E8"/>
    <w:rsid w:val="00235CF5"/>
    <w:rsid w:val="0024207A"/>
    <w:rsid w:val="002447A2"/>
    <w:rsid w:val="00245340"/>
    <w:rsid w:val="002461F6"/>
    <w:rsid w:val="00246732"/>
    <w:rsid w:val="002472FA"/>
    <w:rsid w:val="00253165"/>
    <w:rsid w:val="00253F9A"/>
    <w:rsid w:val="00255EC6"/>
    <w:rsid w:val="0025721C"/>
    <w:rsid w:val="002606CC"/>
    <w:rsid w:val="00265AAB"/>
    <w:rsid w:val="002675E4"/>
    <w:rsid w:val="0027018F"/>
    <w:rsid w:val="00272CA0"/>
    <w:rsid w:val="002765E8"/>
    <w:rsid w:val="002802A4"/>
    <w:rsid w:val="00281A25"/>
    <w:rsid w:val="002924A0"/>
    <w:rsid w:val="00292972"/>
    <w:rsid w:val="002932AC"/>
    <w:rsid w:val="002A32F5"/>
    <w:rsid w:val="002B4DF9"/>
    <w:rsid w:val="002C4B78"/>
    <w:rsid w:val="002C4BA4"/>
    <w:rsid w:val="002C7D74"/>
    <w:rsid w:val="002D021A"/>
    <w:rsid w:val="002D1C92"/>
    <w:rsid w:val="002E00F9"/>
    <w:rsid w:val="002E33BD"/>
    <w:rsid w:val="002E372E"/>
    <w:rsid w:val="002E3FCE"/>
    <w:rsid w:val="002E40A1"/>
    <w:rsid w:val="002E725F"/>
    <w:rsid w:val="002E72F3"/>
    <w:rsid w:val="002F0617"/>
    <w:rsid w:val="002F4F6E"/>
    <w:rsid w:val="002F6AE5"/>
    <w:rsid w:val="00300E18"/>
    <w:rsid w:val="00301FBF"/>
    <w:rsid w:val="0030288E"/>
    <w:rsid w:val="00304209"/>
    <w:rsid w:val="0030516F"/>
    <w:rsid w:val="003061D0"/>
    <w:rsid w:val="00311C8B"/>
    <w:rsid w:val="00312EF8"/>
    <w:rsid w:val="00314A71"/>
    <w:rsid w:val="00320793"/>
    <w:rsid w:val="00324C28"/>
    <w:rsid w:val="00324FC7"/>
    <w:rsid w:val="003277BF"/>
    <w:rsid w:val="0032788A"/>
    <w:rsid w:val="003300A1"/>
    <w:rsid w:val="003329A0"/>
    <w:rsid w:val="00336B62"/>
    <w:rsid w:val="00336FEF"/>
    <w:rsid w:val="0033731A"/>
    <w:rsid w:val="003409E3"/>
    <w:rsid w:val="003419C6"/>
    <w:rsid w:val="00342828"/>
    <w:rsid w:val="00342CEE"/>
    <w:rsid w:val="00345775"/>
    <w:rsid w:val="0035584B"/>
    <w:rsid w:val="00357264"/>
    <w:rsid w:val="00361045"/>
    <w:rsid w:val="00362115"/>
    <w:rsid w:val="00364388"/>
    <w:rsid w:val="00375091"/>
    <w:rsid w:val="00375728"/>
    <w:rsid w:val="003768DC"/>
    <w:rsid w:val="00376B37"/>
    <w:rsid w:val="00380AA5"/>
    <w:rsid w:val="00382846"/>
    <w:rsid w:val="00382EF0"/>
    <w:rsid w:val="0038615A"/>
    <w:rsid w:val="00397E6F"/>
    <w:rsid w:val="003B07F7"/>
    <w:rsid w:val="003B1189"/>
    <w:rsid w:val="003B57E6"/>
    <w:rsid w:val="003B6B34"/>
    <w:rsid w:val="003B79DD"/>
    <w:rsid w:val="003C0BD1"/>
    <w:rsid w:val="003C2008"/>
    <w:rsid w:val="003C7C6D"/>
    <w:rsid w:val="003D4F20"/>
    <w:rsid w:val="003D6A5D"/>
    <w:rsid w:val="003D793E"/>
    <w:rsid w:val="003E7304"/>
    <w:rsid w:val="003E7648"/>
    <w:rsid w:val="003F0D92"/>
    <w:rsid w:val="003F3E8B"/>
    <w:rsid w:val="003F5457"/>
    <w:rsid w:val="004008C2"/>
    <w:rsid w:val="00402D36"/>
    <w:rsid w:val="00410B36"/>
    <w:rsid w:val="004110CD"/>
    <w:rsid w:val="00417976"/>
    <w:rsid w:val="00420DD0"/>
    <w:rsid w:val="00434012"/>
    <w:rsid w:val="0043601B"/>
    <w:rsid w:val="00436556"/>
    <w:rsid w:val="00440F28"/>
    <w:rsid w:val="00441C7E"/>
    <w:rsid w:val="00442E0D"/>
    <w:rsid w:val="004445AF"/>
    <w:rsid w:val="00452304"/>
    <w:rsid w:val="00454270"/>
    <w:rsid w:val="00456BA6"/>
    <w:rsid w:val="00465600"/>
    <w:rsid w:val="00466164"/>
    <w:rsid w:val="004720C8"/>
    <w:rsid w:val="00472440"/>
    <w:rsid w:val="00474A10"/>
    <w:rsid w:val="00475385"/>
    <w:rsid w:val="00476C3F"/>
    <w:rsid w:val="00482E7D"/>
    <w:rsid w:val="004860E1"/>
    <w:rsid w:val="00491418"/>
    <w:rsid w:val="004918BD"/>
    <w:rsid w:val="004A087C"/>
    <w:rsid w:val="004A7874"/>
    <w:rsid w:val="004A7925"/>
    <w:rsid w:val="004C1911"/>
    <w:rsid w:val="004C5CFE"/>
    <w:rsid w:val="004C72F1"/>
    <w:rsid w:val="004D0857"/>
    <w:rsid w:val="004D4851"/>
    <w:rsid w:val="004D6AE7"/>
    <w:rsid w:val="004D791D"/>
    <w:rsid w:val="004E1309"/>
    <w:rsid w:val="004E629D"/>
    <w:rsid w:val="004F0AE0"/>
    <w:rsid w:val="004F2E91"/>
    <w:rsid w:val="004F40C5"/>
    <w:rsid w:val="00502B88"/>
    <w:rsid w:val="00502BA2"/>
    <w:rsid w:val="00504EF0"/>
    <w:rsid w:val="005064C1"/>
    <w:rsid w:val="00514782"/>
    <w:rsid w:val="00517EE0"/>
    <w:rsid w:val="0053110C"/>
    <w:rsid w:val="00532E1B"/>
    <w:rsid w:val="0053362F"/>
    <w:rsid w:val="0053509A"/>
    <w:rsid w:val="005355EA"/>
    <w:rsid w:val="00535D12"/>
    <w:rsid w:val="00536A2D"/>
    <w:rsid w:val="00540394"/>
    <w:rsid w:val="00541255"/>
    <w:rsid w:val="00542037"/>
    <w:rsid w:val="00546C50"/>
    <w:rsid w:val="0055119D"/>
    <w:rsid w:val="005515BC"/>
    <w:rsid w:val="00552000"/>
    <w:rsid w:val="005526E0"/>
    <w:rsid w:val="005548AD"/>
    <w:rsid w:val="00561C5D"/>
    <w:rsid w:val="0056351E"/>
    <w:rsid w:val="00564377"/>
    <w:rsid w:val="005761F1"/>
    <w:rsid w:val="0058213D"/>
    <w:rsid w:val="00587984"/>
    <w:rsid w:val="00592AD3"/>
    <w:rsid w:val="00592C69"/>
    <w:rsid w:val="005A1F2E"/>
    <w:rsid w:val="005A5BA7"/>
    <w:rsid w:val="005A5C51"/>
    <w:rsid w:val="005B30DF"/>
    <w:rsid w:val="005B4AE4"/>
    <w:rsid w:val="005B55DF"/>
    <w:rsid w:val="005B7085"/>
    <w:rsid w:val="005C05EA"/>
    <w:rsid w:val="005C4CE7"/>
    <w:rsid w:val="005D3BF6"/>
    <w:rsid w:val="005D75F7"/>
    <w:rsid w:val="005E1EA3"/>
    <w:rsid w:val="005E795A"/>
    <w:rsid w:val="005F22A3"/>
    <w:rsid w:val="005F3743"/>
    <w:rsid w:val="005F3B73"/>
    <w:rsid w:val="006024FC"/>
    <w:rsid w:val="00605302"/>
    <w:rsid w:val="0061171D"/>
    <w:rsid w:val="0062153A"/>
    <w:rsid w:val="00623477"/>
    <w:rsid w:val="00633345"/>
    <w:rsid w:val="00633BEE"/>
    <w:rsid w:val="00633E94"/>
    <w:rsid w:val="00634D27"/>
    <w:rsid w:val="00642155"/>
    <w:rsid w:val="00642CE1"/>
    <w:rsid w:val="00642F7D"/>
    <w:rsid w:val="00646809"/>
    <w:rsid w:val="0064745E"/>
    <w:rsid w:val="0065450A"/>
    <w:rsid w:val="0065616C"/>
    <w:rsid w:val="00660267"/>
    <w:rsid w:val="00660CBA"/>
    <w:rsid w:val="006663EE"/>
    <w:rsid w:val="0066717B"/>
    <w:rsid w:val="00670CD2"/>
    <w:rsid w:val="00672A8E"/>
    <w:rsid w:val="00673BF0"/>
    <w:rsid w:val="006812CD"/>
    <w:rsid w:val="00681E95"/>
    <w:rsid w:val="0068327C"/>
    <w:rsid w:val="00684EEF"/>
    <w:rsid w:val="00686C39"/>
    <w:rsid w:val="006902A1"/>
    <w:rsid w:val="00693855"/>
    <w:rsid w:val="006A4943"/>
    <w:rsid w:val="006A6AB8"/>
    <w:rsid w:val="006B0555"/>
    <w:rsid w:val="006B36C0"/>
    <w:rsid w:val="006C6030"/>
    <w:rsid w:val="006C6E23"/>
    <w:rsid w:val="006D3592"/>
    <w:rsid w:val="006D3D18"/>
    <w:rsid w:val="006D770B"/>
    <w:rsid w:val="006E2AD6"/>
    <w:rsid w:val="006E33C6"/>
    <w:rsid w:val="006E3CBF"/>
    <w:rsid w:val="006E50C1"/>
    <w:rsid w:val="006E7AA1"/>
    <w:rsid w:val="006F0AD0"/>
    <w:rsid w:val="006F5836"/>
    <w:rsid w:val="006F5DFE"/>
    <w:rsid w:val="006F664E"/>
    <w:rsid w:val="006F679B"/>
    <w:rsid w:val="00701344"/>
    <w:rsid w:val="00702DF0"/>
    <w:rsid w:val="00703365"/>
    <w:rsid w:val="00703D70"/>
    <w:rsid w:val="00711465"/>
    <w:rsid w:val="00712121"/>
    <w:rsid w:val="0071590E"/>
    <w:rsid w:val="007203B5"/>
    <w:rsid w:val="00727527"/>
    <w:rsid w:val="00735C13"/>
    <w:rsid w:val="00737003"/>
    <w:rsid w:val="0074765B"/>
    <w:rsid w:val="0075089B"/>
    <w:rsid w:val="00751401"/>
    <w:rsid w:val="00752122"/>
    <w:rsid w:val="00752A02"/>
    <w:rsid w:val="0075643A"/>
    <w:rsid w:val="007600D0"/>
    <w:rsid w:val="007613A6"/>
    <w:rsid w:val="00761EDB"/>
    <w:rsid w:val="00761FCF"/>
    <w:rsid w:val="007665DC"/>
    <w:rsid w:val="007712B4"/>
    <w:rsid w:val="00774F84"/>
    <w:rsid w:val="007778DD"/>
    <w:rsid w:val="00777F12"/>
    <w:rsid w:val="007819AF"/>
    <w:rsid w:val="00783230"/>
    <w:rsid w:val="0078368A"/>
    <w:rsid w:val="00784DA6"/>
    <w:rsid w:val="0078576C"/>
    <w:rsid w:val="00790269"/>
    <w:rsid w:val="00797AA2"/>
    <w:rsid w:val="00797DD0"/>
    <w:rsid w:val="007A3A5D"/>
    <w:rsid w:val="007A648A"/>
    <w:rsid w:val="007B0D7C"/>
    <w:rsid w:val="007B4A57"/>
    <w:rsid w:val="007C5C2F"/>
    <w:rsid w:val="007C6F0D"/>
    <w:rsid w:val="007C775D"/>
    <w:rsid w:val="007D0D0F"/>
    <w:rsid w:val="007E01FF"/>
    <w:rsid w:val="007E04F8"/>
    <w:rsid w:val="007E164D"/>
    <w:rsid w:val="007E1944"/>
    <w:rsid w:val="007E231B"/>
    <w:rsid w:val="007E24D3"/>
    <w:rsid w:val="007E2D1C"/>
    <w:rsid w:val="007E358A"/>
    <w:rsid w:val="007E38BC"/>
    <w:rsid w:val="007E4512"/>
    <w:rsid w:val="007E6AC8"/>
    <w:rsid w:val="007F1B90"/>
    <w:rsid w:val="007F40CF"/>
    <w:rsid w:val="007F5737"/>
    <w:rsid w:val="007F5F9B"/>
    <w:rsid w:val="007F7C2F"/>
    <w:rsid w:val="007F7DD8"/>
    <w:rsid w:val="0080535D"/>
    <w:rsid w:val="00806542"/>
    <w:rsid w:val="0081285D"/>
    <w:rsid w:val="00813F23"/>
    <w:rsid w:val="008201F7"/>
    <w:rsid w:val="00820DD1"/>
    <w:rsid w:val="0082436B"/>
    <w:rsid w:val="00824A1F"/>
    <w:rsid w:val="00826674"/>
    <w:rsid w:val="00831960"/>
    <w:rsid w:val="00835B57"/>
    <w:rsid w:val="00841583"/>
    <w:rsid w:val="0084171C"/>
    <w:rsid w:val="00842C2C"/>
    <w:rsid w:val="00845AC8"/>
    <w:rsid w:val="0085080B"/>
    <w:rsid w:val="008519C5"/>
    <w:rsid w:val="00852141"/>
    <w:rsid w:val="00854609"/>
    <w:rsid w:val="00857F07"/>
    <w:rsid w:val="0086245A"/>
    <w:rsid w:val="00862719"/>
    <w:rsid w:val="0086682D"/>
    <w:rsid w:val="00867D3E"/>
    <w:rsid w:val="00867F4C"/>
    <w:rsid w:val="00871DFC"/>
    <w:rsid w:val="00873AD0"/>
    <w:rsid w:val="00881B10"/>
    <w:rsid w:val="00881E27"/>
    <w:rsid w:val="008821E4"/>
    <w:rsid w:val="00884F8C"/>
    <w:rsid w:val="00886DDB"/>
    <w:rsid w:val="00891086"/>
    <w:rsid w:val="00894EB2"/>
    <w:rsid w:val="008A1D39"/>
    <w:rsid w:val="008A23E2"/>
    <w:rsid w:val="008A2D96"/>
    <w:rsid w:val="008B2ED9"/>
    <w:rsid w:val="008C017A"/>
    <w:rsid w:val="008C179D"/>
    <w:rsid w:val="008C2717"/>
    <w:rsid w:val="008C2EE5"/>
    <w:rsid w:val="008C32FE"/>
    <w:rsid w:val="008C3D42"/>
    <w:rsid w:val="008C629A"/>
    <w:rsid w:val="008C7107"/>
    <w:rsid w:val="008D21B7"/>
    <w:rsid w:val="008D6148"/>
    <w:rsid w:val="008E1567"/>
    <w:rsid w:val="008F3B4A"/>
    <w:rsid w:val="00902CB9"/>
    <w:rsid w:val="009045B1"/>
    <w:rsid w:val="009149E6"/>
    <w:rsid w:val="00915272"/>
    <w:rsid w:val="0092084A"/>
    <w:rsid w:val="00923365"/>
    <w:rsid w:val="00925848"/>
    <w:rsid w:val="00925EA8"/>
    <w:rsid w:val="0093129D"/>
    <w:rsid w:val="00931C32"/>
    <w:rsid w:val="00933FB9"/>
    <w:rsid w:val="00935629"/>
    <w:rsid w:val="009366F1"/>
    <w:rsid w:val="0093735D"/>
    <w:rsid w:val="00941CF8"/>
    <w:rsid w:val="00943021"/>
    <w:rsid w:val="00944C4B"/>
    <w:rsid w:val="0094510F"/>
    <w:rsid w:val="00945798"/>
    <w:rsid w:val="00952411"/>
    <w:rsid w:val="00953842"/>
    <w:rsid w:val="00953C0B"/>
    <w:rsid w:val="00957B97"/>
    <w:rsid w:val="0096371D"/>
    <w:rsid w:val="00970565"/>
    <w:rsid w:val="00972896"/>
    <w:rsid w:val="0097442B"/>
    <w:rsid w:val="00975817"/>
    <w:rsid w:val="009818D7"/>
    <w:rsid w:val="00985464"/>
    <w:rsid w:val="0098627C"/>
    <w:rsid w:val="009932C0"/>
    <w:rsid w:val="0099702D"/>
    <w:rsid w:val="009A0037"/>
    <w:rsid w:val="009A19FB"/>
    <w:rsid w:val="009A51E2"/>
    <w:rsid w:val="009A5C93"/>
    <w:rsid w:val="009A7332"/>
    <w:rsid w:val="009B1D1A"/>
    <w:rsid w:val="009B277C"/>
    <w:rsid w:val="009B6FAF"/>
    <w:rsid w:val="009C0968"/>
    <w:rsid w:val="009C292A"/>
    <w:rsid w:val="009C75BE"/>
    <w:rsid w:val="009D0CD1"/>
    <w:rsid w:val="009D2E90"/>
    <w:rsid w:val="009D4022"/>
    <w:rsid w:val="009D437B"/>
    <w:rsid w:val="009D437D"/>
    <w:rsid w:val="009E13BB"/>
    <w:rsid w:val="009E2903"/>
    <w:rsid w:val="009E5AF5"/>
    <w:rsid w:val="009F0AEE"/>
    <w:rsid w:val="009F0BE2"/>
    <w:rsid w:val="009F219B"/>
    <w:rsid w:val="009F2415"/>
    <w:rsid w:val="009F4B46"/>
    <w:rsid w:val="00A014C4"/>
    <w:rsid w:val="00A01625"/>
    <w:rsid w:val="00A057F0"/>
    <w:rsid w:val="00A07FF5"/>
    <w:rsid w:val="00A116D5"/>
    <w:rsid w:val="00A13923"/>
    <w:rsid w:val="00A21097"/>
    <w:rsid w:val="00A31D42"/>
    <w:rsid w:val="00A353B3"/>
    <w:rsid w:val="00A357F4"/>
    <w:rsid w:val="00A42DFD"/>
    <w:rsid w:val="00A46AD1"/>
    <w:rsid w:val="00A53FDC"/>
    <w:rsid w:val="00A5661D"/>
    <w:rsid w:val="00A57249"/>
    <w:rsid w:val="00A6162B"/>
    <w:rsid w:val="00A642DF"/>
    <w:rsid w:val="00A678DE"/>
    <w:rsid w:val="00A704EB"/>
    <w:rsid w:val="00A8475B"/>
    <w:rsid w:val="00A875B8"/>
    <w:rsid w:val="00A946F0"/>
    <w:rsid w:val="00A97609"/>
    <w:rsid w:val="00A977D8"/>
    <w:rsid w:val="00AA0DC4"/>
    <w:rsid w:val="00AA30D9"/>
    <w:rsid w:val="00AA3D23"/>
    <w:rsid w:val="00AA3DAF"/>
    <w:rsid w:val="00AB11DE"/>
    <w:rsid w:val="00AB6577"/>
    <w:rsid w:val="00AC2E79"/>
    <w:rsid w:val="00AC3627"/>
    <w:rsid w:val="00AC5F80"/>
    <w:rsid w:val="00AC60F8"/>
    <w:rsid w:val="00AD2672"/>
    <w:rsid w:val="00AD2B1A"/>
    <w:rsid w:val="00AD30C5"/>
    <w:rsid w:val="00AD46CA"/>
    <w:rsid w:val="00AD7991"/>
    <w:rsid w:val="00AF22AD"/>
    <w:rsid w:val="00AF2386"/>
    <w:rsid w:val="00AF2AEF"/>
    <w:rsid w:val="00AF2FA0"/>
    <w:rsid w:val="00AF5185"/>
    <w:rsid w:val="00AF542A"/>
    <w:rsid w:val="00AF629F"/>
    <w:rsid w:val="00B00CC5"/>
    <w:rsid w:val="00B012CD"/>
    <w:rsid w:val="00B01EF9"/>
    <w:rsid w:val="00B02BCE"/>
    <w:rsid w:val="00B038C0"/>
    <w:rsid w:val="00B068E6"/>
    <w:rsid w:val="00B10631"/>
    <w:rsid w:val="00B107AA"/>
    <w:rsid w:val="00B10E77"/>
    <w:rsid w:val="00B15AC0"/>
    <w:rsid w:val="00B177B7"/>
    <w:rsid w:val="00B220FF"/>
    <w:rsid w:val="00B2557E"/>
    <w:rsid w:val="00B278C7"/>
    <w:rsid w:val="00B31E84"/>
    <w:rsid w:val="00B322E8"/>
    <w:rsid w:val="00B33D75"/>
    <w:rsid w:val="00B35C85"/>
    <w:rsid w:val="00B371D1"/>
    <w:rsid w:val="00B47578"/>
    <w:rsid w:val="00B47E73"/>
    <w:rsid w:val="00B5144D"/>
    <w:rsid w:val="00B55667"/>
    <w:rsid w:val="00B62E7B"/>
    <w:rsid w:val="00B634FE"/>
    <w:rsid w:val="00B64096"/>
    <w:rsid w:val="00B644AD"/>
    <w:rsid w:val="00B670A0"/>
    <w:rsid w:val="00B67ABB"/>
    <w:rsid w:val="00B70EAB"/>
    <w:rsid w:val="00B72F1B"/>
    <w:rsid w:val="00B74FA0"/>
    <w:rsid w:val="00B80A70"/>
    <w:rsid w:val="00B82570"/>
    <w:rsid w:val="00B9266D"/>
    <w:rsid w:val="00B9399E"/>
    <w:rsid w:val="00B94AA2"/>
    <w:rsid w:val="00B94D2E"/>
    <w:rsid w:val="00B95013"/>
    <w:rsid w:val="00B96E00"/>
    <w:rsid w:val="00B975D8"/>
    <w:rsid w:val="00BA3861"/>
    <w:rsid w:val="00BB2B2E"/>
    <w:rsid w:val="00BB70B9"/>
    <w:rsid w:val="00BC08ED"/>
    <w:rsid w:val="00BC3EE5"/>
    <w:rsid w:val="00BC43C3"/>
    <w:rsid w:val="00BC4F0E"/>
    <w:rsid w:val="00BD1415"/>
    <w:rsid w:val="00BD316B"/>
    <w:rsid w:val="00BE38FD"/>
    <w:rsid w:val="00BE7173"/>
    <w:rsid w:val="00BF01A8"/>
    <w:rsid w:val="00BF5736"/>
    <w:rsid w:val="00BF71B4"/>
    <w:rsid w:val="00C04790"/>
    <w:rsid w:val="00C05A2D"/>
    <w:rsid w:val="00C07DBB"/>
    <w:rsid w:val="00C131CF"/>
    <w:rsid w:val="00C13E9B"/>
    <w:rsid w:val="00C14842"/>
    <w:rsid w:val="00C20CC0"/>
    <w:rsid w:val="00C24AE6"/>
    <w:rsid w:val="00C25726"/>
    <w:rsid w:val="00C26653"/>
    <w:rsid w:val="00C27AA2"/>
    <w:rsid w:val="00C33C1A"/>
    <w:rsid w:val="00C3406F"/>
    <w:rsid w:val="00C34392"/>
    <w:rsid w:val="00C64412"/>
    <w:rsid w:val="00C67841"/>
    <w:rsid w:val="00C72ADE"/>
    <w:rsid w:val="00C8398D"/>
    <w:rsid w:val="00C8452E"/>
    <w:rsid w:val="00C90F0C"/>
    <w:rsid w:val="00C92598"/>
    <w:rsid w:val="00C937C4"/>
    <w:rsid w:val="00C95096"/>
    <w:rsid w:val="00C95EDE"/>
    <w:rsid w:val="00C96BE2"/>
    <w:rsid w:val="00CA2B08"/>
    <w:rsid w:val="00CA5799"/>
    <w:rsid w:val="00CA79E6"/>
    <w:rsid w:val="00CB1AD9"/>
    <w:rsid w:val="00CB5551"/>
    <w:rsid w:val="00CC63A8"/>
    <w:rsid w:val="00CC65BC"/>
    <w:rsid w:val="00CC7154"/>
    <w:rsid w:val="00CC7CF6"/>
    <w:rsid w:val="00CC7ED5"/>
    <w:rsid w:val="00CD5552"/>
    <w:rsid w:val="00CE2027"/>
    <w:rsid w:val="00CE22B2"/>
    <w:rsid w:val="00CE6A28"/>
    <w:rsid w:val="00CE759D"/>
    <w:rsid w:val="00CF1CBE"/>
    <w:rsid w:val="00CF2367"/>
    <w:rsid w:val="00CF2B96"/>
    <w:rsid w:val="00CF2F9E"/>
    <w:rsid w:val="00CF4AF3"/>
    <w:rsid w:val="00D01F03"/>
    <w:rsid w:val="00D06185"/>
    <w:rsid w:val="00D07597"/>
    <w:rsid w:val="00D107CD"/>
    <w:rsid w:val="00D12B02"/>
    <w:rsid w:val="00D13CC0"/>
    <w:rsid w:val="00D164D5"/>
    <w:rsid w:val="00D1687C"/>
    <w:rsid w:val="00D23595"/>
    <w:rsid w:val="00D25D55"/>
    <w:rsid w:val="00D30199"/>
    <w:rsid w:val="00D30628"/>
    <w:rsid w:val="00D326D7"/>
    <w:rsid w:val="00D34336"/>
    <w:rsid w:val="00D344DC"/>
    <w:rsid w:val="00D4159F"/>
    <w:rsid w:val="00D44374"/>
    <w:rsid w:val="00D47FC0"/>
    <w:rsid w:val="00D50976"/>
    <w:rsid w:val="00D5412B"/>
    <w:rsid w:val="00D564A7"/>
    <w:rsid w:val="00D57898"/>
    <w:rsid w:val="00D6154E"/>
    <w:rsid w:val="00D62F9F"/>
    <w:rsid w:val="00D664C5"/>
    <w:rsid w:val="00D77BDE"/>
    <w:rsid w:val="00D816B5"/>
    <w:rsid w:val="00D82CD6"/>
    <w:rsid w:val="00D849E2"/>
    <w:rsid w:val="00D87391"/>
    <w:rsid w:val="00D879C1"/>
    <w:rsid w:val="00D92E7B"/>
    <w:rsid w:val="00D97A1B"/>
    <w:rsid w:val="00DA45DD"/>
    <w:rsid w:val="00DA6F5C"/>
    <w:rsid w:val="00DA73C7"/>
    <w:rsid w:val="00DA7FD1"/>
    <w:rsid w:val="00DB06E8"/>
    <w:rsid w:val="00DB2114"/>
    <w:rsid w:val="00DB44F1"/>
    <w:rsid w:val="00DB63B2"/>
    <w:rsid w:val="00DC09CA"/>
    <w:rsid w:val="00DC0A7D"/>
    <w:rsid w:val="00DC5391"/>
    <w:rsid w:val="00DD385C"/>
    <w:rsid w:val="00DD7414"/>
    <w:rsid w:val="00DE243D"/>
    <w:rsid w:val="00DE29D7"/>
    <w:rsid w:val="00DE349A"/>
    <w:rsid w:val="00DE43C2"/>
    <w:rsid w:val="00DE47B6"/>
    <w:rsid w:val="00DE4F00"/>
    <w:rsid w:val="00DE7233"/>
    <w:rsid w:val="00DF1E09"/>
    <w:rsid w:val="00E004FF"/>
    <w:rsid w:val="00E02E5B"/>
    <w:rsid w:val="00E03C9D"/>
    <w:rsid w:val="00E16D19"/>
    <w:rsid w:val="00E214BD"/>
    <w:rsid w:val="00E23615"/>
    <w:rsid w:val="00E241CF"/>
    <w:rsid w:val="00E2430E"/>
    <w:rsid w:val="00E245F6"/>
    <w:rsid w:val="00E24FBE"/>
    <w:rsid w:val="00E26676"/>
    <w:rsid w:val="00E26728"/>
    <w:rsid w:val="00E27821"/>
    <w:rsid w:val="00E3066A"/>
    <w:rsid w:val="00E37135"/>
    <w:rsid w:val="00E416EE"/>
    <w:rsid w:val="00E42F64"/>
    <w:rsid w:val="00E43C80"/>
    <w:rsid w:val="00E447FE"/>
    <w:rsid w:val="00E5153D"/>
    <w:rsid w:val="00E51CAD"/>
    <w:rsid w:val="00E5257D"/>
    <w:rsid w:val="00E53624"/>
    <w:rsid w:val="00E53804"/>
    <w:rsid w:val="00E55D3F"/>
    <w:rsid w:val="00E55EAC"/>
    <w:rsid w:val="00E56BC2"/>
    <w:rsid w:val="00E63DA2"/>
    <w:rsid w:val="00E63F9C"/>
    <w:rsid w:val="00E70AB3"/>
    <w:rsid w:val="00E749B4"/>
    <w:rsid w:val="00E76945"/>
    <w:rsid w:val="00E86DDF"/>
    <w:rsid w:val="00E9045C"/>
    <w:rsid w:val="00E92A19"/>
    <w:rsid w:val="00E9379C"/>
    <w:rsid w:val="00EA00C9"/>
    <w:rsid w:val="00EA53F6"/>
    <w:rsid w:val="00EB0F95"/>
    <w:rsid w:val="00EB545F"/>
    <w:rsid w:val="00EC26FC"/>
    <w:rsid w:val="00EC5CA6"/>
    <w:rsid w:val="00EC68CC"/>
    <w:rsid w:val="00ED2F54"/>
    <w:rsid w:val="00ED404D"/>
    <w:rsid w:val="00ED4998"/>
    <w:rsid w:val="00EE5EC6"/>
    <w:rsid w:val="00EE629C"/>
    <w:rsid w:val="00EE64AD"/>
    <w:rsid w:val="00EE6AA3"/>
    <w:rsid w:val="00EF0CED"/>
    <w:rsid w:val="00EF7717"/>
    <w:rsid w:val="00F01FF7"/>
    <w:rsid w:val="00F0440D"/>
    <w:rsid w:val="00F14389"/>
    <w:rsid w:val="00F178C1"/>
    <w:rsid w:val="00F247F2"/>
    <w:rsid w:val="00F27395"/>
    <w:rsid w:val="00F273FF"/>
    <w:rsid w:val="00F32453"/>
    <w:rsid w:val="00F34F18"/>
    <w:rsid w:val="00F36B18"/>
    <w:rsid w:val="00F429A4"/>
    <w:rsid w:val="00F46DE0"/>
    <w:rsid w:val="00F51861"/>
    <w:rsid w:val="00F57A0A"/>
    <w:rsid w:val="00F615F0"/>
    <w:rsid w:val="00F6172E"/>
    <w:rsid w:val="00F638AA"/>
    <w:rsid w:val="00F6664B"/>
    <w:rsid w:val="00F742FE"/>
    <w:rsid w:val="00F81359"/>
    <w:rsid w:val="00F84D54"/>
    <w:rsid w:val="00F868FD"/>
    <w:rsid w:val="00F90D01"/>
    <w:rsid w:val="00F96F03"/>
    <w:rsid w:val="00FA15FB"/>
    <w:rsid w:val="00FA243A"/>
    <w:rsid w:val="00FA3877"/>
    <w:rsid w:val="00FA4326"/>
    <w:rsid w:val="00FA51DB"/>
    <w:rsid w:val="00FA5D53"/>
    <w:rsid w:val="00FA66AF"/>
    <w:rsid w:val="00FB4F44"/>
    <w:rsid w:val="00FB5ED1"/>
    <w:rsid w:val="00FC0589"/>
    <w:rsid w:val="00FC0F32"/>
    <w:rsid w:val="00FC1FEF"/>
    <w:rsid w:val="00FC2B9F"/>
    <w:rsid w:val="00FC4F50"/>
    <w:rsid w:val="00FC6CE8"/>
    <w:rsid w:val="00FC78ED"/>
    <w:rsid w:val="00FD381D"/>
    <w:rsid w:val="00FD69F8"/>
    <w:rsid w:val="00FE2124"/>
    <w:rsid w:val="00FE2249"/>
    <w:rsid w:val="00FE2608"/>
    <w:rsid w:val="00FE29F9"/>
    <w:rsid w:val="00FE7C27"/>
    <w:rsid w:val="00FF05E7"/>
    <w:rsid w:val="00FF1790"/>
    <w:rsid w:val="00FF7DAD"/>
    <w:rsid w:val="018D30EF"/>
    <w:rsid w:val="01DE5A2E"/>
    <w:rsid w:val="03BD5612"/>
    <w:rsid w:val="04565449"/>
    <w:rsid w:val="047B558C"/>
    <w:rsid w:val="05C6795F"/>
    <w:rsid w:val="08CE6317"/>
    <w:rsid w:val="09380658"/>
    <w:rsid w:val="09E162A4"/>
    <w:rsid w:val="0B165EB6"/>
    <w:rsid w:val="0E513B30"/>
    <w:rsid w:val="11397CA3"/>
    <w:rsid w:val="118B5473"/>
    <w:rsid w:val="11D33998"/>
    <w:rsid w:val="11D666D9"/>
    <w:rsid w:val="12DC6788"/>
    <w:rsid w:val="12EE26FA"/>
    <w:rsid w:val="134E49AB"/>
    <w:rsid w:val="13AE5449"/>
    <w:rsid w:val="141616A4"/>
    <w:rsid w:val="188F5FCF"/>
    <w:rsid w:val="19C31523"/>
    <w:rsid w:val="1A172DF9"/>
    <w:rsid w:val="1B642B45"/>
    <w:rsid w:val="1CAC3868"/>
    <w:rsid w:val="20850537"/>
    <w:rsid w:val="210A47CC"/>
    <w:rsid w:val="25561C03"/>
    <w:rsid w:val="25A450EF"/>
    <w:rsid w:val="26997893"/>
    <w:rsid w:val="2A4D10C0"/>
    <w:rsid w:val="2A567EE9"/>
    <w:rsid w:val="2A5A0930"/>
    <w:rsid w:val="2BA86894"/>
    <w:rsid w:val="2BAB0C35"/>
    <w:rsid w:val="2CA72B14"/>
    <w:rsid w:val="2CB56FE7"/>
    <w:rsid w:val="2D5D1094"/>
    <w:rsid w:val="2E26661C"/>
    <w:rsid w:val="2F0C6C2D"/>
    <w:rsid w:val="2FC81481"/>
    <w:rsid w:val="30787344"/>
    <w:rsid w:val="31B163D9"/>
    <w:rsid w:val="31CA56EC"/>
    <w:rsid w:val="31D07CCF"/>
    <w:rsid w:val="31D33ABE"/>
    <w:rsid w:val="34221A50"/>
    <w:rsid w:val="345307B1"/>
    <w:rsid w:val="35B91E84"/>
    <w:rsid w:val="38385AC9"/>
    <w:rsid w:val="39411548"/>
    <w:rsid w:val="3995304A"/>
    <w:rsid w:val="3C7F4556"/>
    <w:rsid w:val="3CF0369E"/>
    <w:rsid w:val="3E1813D5"/>
    <w:rsid w:val="3FD940B8"/>
    <w:rsid w:val="412070D7"/>
    <w:rsid w:val="43A85972"/>
    <w:rsid w:val="43D76367"/>
    <w:rsid w:val="440B306C"/>
    <w:rsid w:val="45284994"/>
    <w:rsid w:val="455235D7"/>
    <w:rsid w:val="45A715D5"/>
    <w:rsid w:val="45D54A22"/>
    <w:rsid w:val="47172E89"/>
    <w:rsid w:val="4A835D4F"/>
    <w:rsid w:val="4AC079BF"/>
    <w:rsid w:val="4BD957DB"/>
    <w:rsid w:val="4C5B3FBD"/>
    <w:rsid w:val="4CA07244"/>
    <w:rsid w:val="4E910370"/>
    <w:rsid w:val="4EE52698"/>
    <w:rsid w:val="4F5669DF"/>
    <w:rsid w:val="4F7A033F"/>
    <w:rsid w:val="4F9A18BD"/>
    <w:rsid w:val="50CF52DE"/>
    <w:rsid w:val="52407804"/>
    <w:rsid w:val="52EE341E"/>
    <w:rsid w:val="55AA17E8"/>
    <w:rsid w:val="58612063"/>
    <w:rsid w:val="5C0A30AC"/>
    <w:rsid w:val="5C26503B"/>
    <w:rsid w:val="5FD11DAE"/>
    <w:rsid w:val="615109B8"/>
    <w:rsid w:val="65F06892"/>
    <w:rsid w:val="68C060D1"/>
    <w:rsid w:val="690C5B56"/>
    <w:rsid w:val="692A1518"/>
    <w:rsid w:val="69D166E4"/>
    <w:rsid w:val="6A386990"/>
    <w:rsid w:val="6C2D66C0"/>
    <w:rsid w:val="6E6220E5"/>
    <w:rsid w:val="6FEC235E"/>
    <w:rsid w:val="708A7205"/>
    <w:rsid w:val="7107197E"/>
    <w:rsid w:val="716A585F"/>
    <w:rsid w:val="71C62B4D"/>
    <w:rsid w:val="720864B1"/>
    <w:rsid w:val="730E3CD9"/>
    <w:rsid w:val="73C51294"/>
    <w:rsid w:val="7533534A"/>
    <w:rsid w:val="77CC2A1C"/>
    <w:rsid w:val="79FA674E"/>
    <w:rsid w:val="7D535349"/>
    <w:rsid w:val="7FB66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line="360" w:lineRule="auto"/>
      <w:ind w:firstLine="200" w:firstLineChars="200"/>
    </w:pPr>
    <w:rPr>
      <w:rFonts w:eastAsia="宋体" w:asciiTheme="minorHAnsi" w:hAnsiTheme="minorHAnsi" w:cstheme="minorBidi"/>
      <w:sz w:val="21"/>
      <w:szCs w:val="22"/>
      <w:lang w:val="en-US" w:eastAsia="en-US" w:bidi="ar-SA"/>
    </w:rPr>
  </w:style>
  <w:style w:type="paragraph" w:styleId="2">
    <w:name w:val="heading 1"/>
    <w:basedOn w:val="1"/>
    <w:next w:val="1"/>
    <w:qFormat/>
    <w:uiPriority w:val="1"/>
    <w:pPr>
      <w:spacing w:before="14"/>
      <w:ind w:firstLine="0" w:firstLineChars="0"/>
      <w:outlineLvl w:val="0"/>
    </w:pPr>
    <w:rPr>
      <w:rFonts w:ascii="宋体" w:hAnsi="宋体"/>
      <w:b/>
      <w:sz w:val="44"/>
      <w:szCs w:val="28"/>
    </w:rPr>
  </w:style>
  <w:style w:type="paragraph" w:styleId="3">
    <w:name w:val="heading 2"/>
    <w:basedOn w:val="1"/>
    <w:next w:val="1"/>
    <w:qFormat/>
    <w:uiPriority w:val="1"/>
    <w:pPr>
      <w:ind w:firstLine="0" w:firstLineChars="0"/>
      <w:jc w:val="center"/>
      <w:outlineLvl w:val="1"/>
    </w:pPr>
    <w:rPr>
      <w:rFonts w:ascii="Times New Roman" w:hAnsi="Times New Roman"/>
      <w:b/>
      <w:bCs/>
      <w:sz w:val="28"/>
      <w:szCs w:val="21"/>
    </w:rPr>
  </w:style>
  <w:style w:type="paragraph" w:styleId="4">
    <w:name w:val="heading 3"/>
    <w:basedOn w:val="1"/>
    <w:next w:val="1"/>
    <w:link w:val="21"/>
    <w:unhideWhenUsed/>
    <w:qFormat/>
    <w:uiPriority w:val="9"/>
    <w:pPr>
      <w:spacing w:before="260" w:after="260" w:line="240" w:lineRule="auto"/>
      <w:ind w:firstLine="0" w:firstLineChars="0"/>
      <w:jc w:val="center"/>
      <w:outlineLvl w:val="2"/>
    </w:pPr>
    <w:rPr>
      <w:b/>
      <w:bCs/>
      <w:szCs w:val="32"/>
    </w:rPr>
  </w:style>
  <w:style w:type="paragraph" w:styleId="5">
    <w:name w:val="heading 4"/>
    <w:basedOn w:val="1"/>
    <w:next w:val="1"/>
    <w:link w:val="22"/>
    <w:unhideWhenUsed/>
    <w:qFormat/>
    <w:uiPriority w:val="9"/>
    <w:pPr>
      <w:spacing w:before="160" w:after="170" w:line="240" w:lineRule="auto"/>
      <w:ind w:firstLine="0" w:firstLineChars="0"/>
      <w:outlineLvl w:val="3"/>
    </w:pPr>
    <w:rPr>
      <w:rFonts w:asciiTheme="majorHAnsi" w:hAnsiTheme="majorHAnsi" w:cstheme="majorBidi"/>
      <w:b/>
      <w:bCs/>
      <w:szCs w:val="28"/>
    </w:rPr>
  </w:style>
  <w:style w:type="paragraph" w:styleId="6">
    <w:name w:val="heading 5"/>
    <w:basedOn w:val="1"/>
    <w:next w:val="1"/>
    <w:link w:val="23"/>
    <w:unhideWhenUsed/>
    <w:qFormat/>
    <w:uiPriority w:val="9"/>
    <w:pPr>
      <w:keepNext/>
      <w:keepLines/>
      <w:spacing w:before="280" w:after="290" w:line="376" w:lineRule="auto"/>
      <w:outlineLvl w:val="4"/>
    </w:pPr>
    <w:rPr>
      <w:b/>
      <w:bCs/>
      <w:szCs w:val="28"/>
    </w:rPr>
  </w:style>
  <w:style w:type="character" w:default="1" w:styleId="18">
    <w:name w:val="Default Paragraph Font"/>
    <w:unhideWhenUsed/>
    <w:qFormat/>
    <w:uiPriority w:val="1"/>
  </w:style>
  <w:style w:type="table" w:default="1" w:styleId="1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annotation text"/>
    <w:basedOn w:val="1"/>
    <w:link w:val="24"/>
    <w:unhideWhenUsed/>
    <w:qFormat/>
    <w:uiPriority w:val="99"/>
  </w:style>
  <w:style w:type="paragraph" w:styleId="8">
    <w:name w:val="Body Text"/>
    <w:basedOn w:val="1"/>
    <w:link w:val="26"/>
    <w:qFormat/>
    <w:uiPriority w:val="1"/>
    <w:pPr>
      <w:spacing w:before="28"/>
      <w:ind w:left="105"/>
    </w:pPr>
    <w:rPr>
      <w:rFonts w:ascii="宋体" w:hAnsi="宋体"/>
      <w:szCs w:val="21"/>
    </w:rPr>
  </w:style>
  <w:style w:type="paragraph" w:styleId="9">
    <w:name w:val="toc 3"/>
    <w:basedOn w:val="1"/>
    <w:next w:val="1"/>
    <w:qFormat/>
    <w:uiPriority w:val="39"/>
    <w:pPr>
      <w:spacing w:before="133"/>
    </w:pPr>
    <w:rPr>
      <w:rFonts w:ascii="宋体" w:hAnsi="宋体"/>
      <w:bCs/>
    </w:rPr>
  </w:style>
  <w:style w:type="paragraph" w:styleId="10">
    <w:name w:val="Balloon Text"/>
    <w:basedOn w:val="1"/>
    <w:link w:val="27"/>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rPr>
      <w:rFonts w:ascii="宋体" w:hAnsi="宋体"/>
      <w:bCs/>
      <w:szCs w:val="21"/>
    </w:rPr>
  </w:style>
  <w:style w:type="paragraph" w:styleId="14">
    <w:name w:val="toc 2"/>
    <w:basedOn w:val="1"/>
    <w:next w:val="1"/>
    <w:qFormat/>
    <w:uiPriority w:val="39"/>
    <w:pPr>
      <w:ind w:firstLine="0" w:firstLineChars="0"/>
    </w:pPr>
    <w:rPr>
      <w:rFonts w:ascii="宋体" w:hAnsi="宋体"/>
      <w:szCs w:val="21"/>
    </w:rPr>
  </w:style>
  <w:style w:type="paragraph" w:styleId="15">
    <w:name w:val="annotation subject"/>
    <w:basedOn w:val="7"/>
    <w:next w:val="7"/>
    <w:link w:val="25"/>
    <w:unhideWhenUsed/>
    <w:qFormat/>
    <w:uiPriority w:val="99"/>
    <w:rPr>
      <w:b/>
      <w:bCs/>
    </w:rPr>
  </w:style>
  <w:style w:type="table" w:styleId="17">
    <w:name w:val="Table Grid"/>
    <w:basedOn w:val="16"/>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unhideWhenUsed/>
    <w:qFormat/>
    <w:uiPriority w:val="99"/>
    <w:rPr>
      <w:sz w:val="21"/>
      <w:szCs w:val="21"/>
    </w:rPr>
  </w:style>
  <w:style w:type="character" w:customStyle="1" w:styleId="21">
    <w:name w:val="标题 3 字符"/>
    <w:basedOn w:val="18"/>
    <w:link w:val="4"/>
    <w:qFormat/>
    <w:uiPriority w:val="9"/>
    <w:rPr>
      <w:rFonts w:eastAsia="宋体" w:asciiTheme="minorHAnsi" w:hAnsiTheme="minorHAnsi" w:cstheme="minorBidi"/>
      <w:b/>
      <w:bCs/>
      <w:sz w:val="21"/>
      <w:szCs w:val="32"/>
      <w:lang w:eastAsia="en-US"/>
    </w:rPr>
  </w:style>
  <w:style w:type="character" w:customStyle="1" w:styleId="22">
    <w:name w:val="标题 4 字符"/>
    <w:basedOn w:val="18"/>
    <w:link w:val="5"/>
    <w:qFormat/>
    <w:uiPriority w:val="9"/>
    <w:rPr>
      <w:rFonts w:eastAsia="宋体"/>
      <w:b/>
      <w:bCs/>
      <w:sz w:val="21"/>
      <w:szCs w:val="28"/>
      <w:lang w:eastAsia="en-US"/>
    </w:rPr>
  </w:style>
  <w:style w:type="character" w:customStyle="1" w:styleId="23">
    <w:name w:val="标题 5 字符"/>
    <w:basedOn w:val="18"/>
    <w:link w:val="6"/>
    <w:qFormat/>
    <w:uiPriority w:val="9"/>
    <w:rPr>
      <w:rFonts w:asciiTheme="minorHAnsi" w:hAnsiTheme="minorHAnsi" w:eastAsiaTheme="minorEastAsia" w:cstheme="minorBidi"/>
      <w:b/>
      <w:bCs/>
      <w:sz w:val="28"/>
      <w:szCs w:val="28"/>
      <w:lang w:eastAsia="en-US"/>
    </w:rPr>
  </w:style>
  <w:style w:type="character" w:customStyle="1" w:styleId="24">
    <w:name w:val="批注文字 字符"/>
    <w:basedOn w:val="18"/>
    <w:link w:val="7"/>
    <w:semiHidden/>
    <w:qFormat/>
    <w:uiPriority w:val="99"/>
  </w:style>
  <w:style w:type="character" w:customStyle="1" w:styleId="25">
    <w:name w:val="批注主题 字符"/>
    <w:basedOn w:val="24"/>
    <w:link w:val="15"/>
    <w:semiHidden/>
    <w:qFormat/>
    <w:uiPriority w:val="99"/>
    <w:rPr>
      <w:b/>
      <w:bCs/>
    </w:rPr>
  </w:style>
  <w:style w:type="character" w:customStyle="1" w:styleId="26">
    <w:name w:val="正文文本 字符"/>
    <w:basedOn w:val="18"/>
    <w:link w:val="8"/>
    <w:qFormat/>
    <w:uiPriority w:val="1"/>
    <w:rPr>
      <w:rFonts w:ascii="宋体" w:hAnsi="宋体" w:eastAsia="宋体" w:cstheme="minorBidi"/>
      <w:sz w:val="21"/>
      <w:szCs w:val="21"/>
      <w:lang w:eastAsia="en-US"/>
    </w:rPr>
  </w:style>
  <w:style w:type="character" w:customStyle="1" w:styleId="27">
    <w:name w:val="批注框文本 字符"/>
    <w:basedOn w:val="18"/>
    <w:link w:val="10"/>
    <w:semiHidden/>
    <w:qFormat/>
    <w:uiPriority w:val="99"/>
    <w:rPr>
      <w:sz w:val="18"/>
      <w:szCs w:val="18"/>
    </w:rPr>
  </w:style>
  <w:style w:type="character" w:customStyle="1" w:styleId="28">
    <w:name w:val="页脚 字符"/>
    <w:basedOn w:val="18"/>
    <w:link w:val="11"/>
    <w:qFormat/>
    <w:uiPriority w:val="99"/>
    <w:rPr>
      <w:sz w:val="18"/>
      <w:szCs w:val="18"/>
    </w:rPr>
  </w:style>
  <w:style w:type="character" w:customStyle="1" w:styleId="29">
    <w:name w:val="页眉 字符"/>
    <w:basedOn w:val="18"/>
    <w:link w:val="12"/>
    <w:qFormat/>
    <w:uiPriority w:val="99"/>
    <w:rPr>
      <w:sz w:val="18"/>
      <w:szCs w:val="18"/>
    </w:rPr>
  </w:style>
  <w:style w:type="table" w:customStyle="1" w:styleId="30">
    <w:name w:val="Table Normal"/>
    <w:unhideWhenUsed/>
    <w:qFormat/>
    <w:uiPriority w:val="2"/>
    <w:tblPr>
      <w:tblCellMar>
        <w:top w:w="0" w:type="dxa"/>
        <w:left w:w="0" w:type="dxa"/>
        <w:bottom w:w="0" w:type="dxa"/>
        <w:right w:w="0" w:type="dxa"/>
      </w:tblCellMar>
    </w:tblPr>
  </w:style>
  <w:style w:type="character" w:customStyle="1" w:styleId="31">
    <w:name w:val="Placeholder Text"/>
    <w:basedOn w:val="18"/>
    <w:semiHidden/>
    <w:qFormat/>
    <w:uiPriority w:val="99"/>
    <w:rPr>
      <w:color w:val="808080"/>
    </w:rPr>
  </w:style>
  <w:style w:type="paragraph" w:customStyle="1" w:styleId="32">
    <w:name w:val="TOC 标题1"/>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color w:val="376092" w:themeColor="accent1" w:themeShade="BF"/>
      <w:sz w:val="32"/>
      <w:szCs w:val="32"/>
      <w:lang w:eastAsia="zh-CN"/>
    </w:rPr>
  </w:style>
  <w:style w:type="paragraph" w:customStyle="1" w:styleId="33">
    <w:name w:val="规范标题3"/>
    <w:basedOn w:val="4"/>
    <w:link w:val="34"/>
    <w:qFormat/>
    <w:uiPriority w:val="0"/>
    <w:pPr>
      <w:spacing w:line="415" w:lineRule="auto"/>
      <w:ind w:firstLine="561"/>
    </w:pPr>
    <w:rPr>
      <w:rFonts w:ascii="Times New Roman" w:hAnsi="Times New Roman" w:cs="Times New Roman"/>
      <w:b w:val="0"/>
      <w:kern w:val="2"/>
      <w:sz w:val="28"/>
      <w:lang w:eastAsia="zh-CN"/>
    </w:rPr>
  </w:style>
  <w:style w:type="character" w:customStyle="1" w:styleId="34">
    <w:name w:val="规范标题3 字符"/>
    <w:basedOn w:val="21"/>
    <w:link w:val="33"/>
    <w:qFormat/>
    <w:uiPriority w:val="0"/>
    <w:rPr>
      <w:rFonts w:ascii="Times New Roman" w:hAnsi="Times New Roman" w:eastAsia="宋体" w:cs="Times New Roman"/>
      <w:b w:val="0"/>
      <w:kern w:val="2"/>
      <w:sz w:val="28"/>
      <w:szCs w:val="32"/>
      <w:lang w:eastAsia="zh-CN"/>
    </w:rPr>
  </w:style>
  <w:style w:type="paragraph" w:customStyle="1" w:styleId="35">
    <w:name w:val="TOC 标题2"/>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color w:val="376092" w:themeColor="accent1" w:themeShade="BF"/>
      <w:sz w:val="32"/>
      <w:szCs w:val="32"/>
      <w:lang w:eastAsia="zh-CN"/>
    </w:rPr>
  </w:style>
  <w:style w:type="paragraph" w:customStyle="1" w:styleId="36">
    <w:name w:val="修订1"/>
    <w:hidden/>
    <w:semiHidden/>
    <w:qFormat/>
    <w:uiPriority w:val="99"/>
    <w:rPr>
      <w:rFonts w:asciiTheme="minorHAnsi" w:hAnsiTheme="minorHAnsi" w:eastAsiaTheme="minorEastAsia" w:cstheme="minorBidi"/>
      <w:sz w:val="22"/>
      <w:szCs w:val="22"/>
      <w:lang w:val="en-US" w:eastAsia="en-US" w:bidi="ar-SA"/>
    </w:rPr>
  </w:style>
  <w:style w:type="paragraph" w:customStyle="1" w:styleId="37">
    <w:name w:val="TOC 标题3"/>
    <w:basedOn w:val="2"/>
    <w:next w:val="1"/>
    <w:unhideWhenUsed/>
    <w:qFormat/>
    <w:uiPriority w:val="39"/>
    <w:pPr>
      <w:keepNext/>
      <w:keepLines/>
      <w:widowControl/>
      <w:spacing w:before="480" w:line="276" w:lineRule="auto"/>
      <w:outlineLvl w:val="9"/>
    </w:pPr>
    <w:rPr>
      <w:rFonts w:asciiTheme="majorHAnsi" w:hAnsiTheme="majorHAnsi" w:eastAsiaTheme="majorEastAsia" w:cstheme="majorBidi"/>
      <w:bCs/>
      <w:color w:val="376092" w:themeColor="accent1" w:themeShade="BF"/>
      <w:sz w:val="28"/>
      <w:lang w:eastAsia="zh-CN"/>
    </w:rPr>
  </w:style>
  <w:style w:type="paragraph" w:customStyle="1" w:styleId="38">
    <w:name w:val="List Paragraph"/>
    <w:basedOn w:val="1"/>
    <w:qFormat/>
    <w:uiPriority w:val="1"/>
    <w:pPr>
      <w:autoSpaceDE w:val="0"/>
      <w:autoSpaceDN w:val="0"/>
      <w:ind w:left="499"/>
    </w:pPr>
    <w:rPr>
      <w:rFonts w:ascii="宋体" w:hAnsi="宋体" w:cs="宋体" w:eastAsiaTheme="minorEastAsia"/>
      <w:sz w:val="28"/>
    </w:rPr>
  </w:style>
  <w:style w:type="paragraph" w:customStyle="1" w:styleId="39">
    <w:name w:val="Table Paragraph"/>
    <w:basedOn w:val="1"/>
    <w:qFormat/>
    <w:uiPriority w:val="1"/>
    <w:pPr>
      <w:autoSpaceDE w:val="0"/>
      <w:autoSpaceDN w:val="0"/>
    </w:pPr>
    <w:rPr>
      <w:rFonts w:ascii="宋体" w:hAnsi="宋体" w:cs="宋体" w:eastAsiaTheme="minorEastAsia"/>
      <w:sz w:val="28"/>
    </w:rPr>
  </w:style>
  <w:style w:type="paragraph" w:customStyle="1" w:styleId="40">
    <w:name w:val="No Spacing"/>
    <w:qFormat/>
    <w:uiPriority w:val="1"/>
    <w:pPr>
      <w:widowControl w:val="0"/>
      <w:autoSpaceDE w:val="0"/>
      <w:autoSpaceDN w:val="0"/>
      <w:ind w:firstLine="200" w:firstLineChars="200"/>
    </w:pPr>
    <w:rPr>
      <w:rFonts w:ascii="宋体" w:hAnsi="宋体" w:cs="宋体" w:eastAsiaTheme="minorEastAsia"/>
      <w:sz w:val="28"/>
      <w:szCs w:val="22"/>
      <w:lang w:val="en-US" w:eastAsia="en-US" w:bidi="ar-SA"/>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节有编号及标题"/>
    <w:basedOn w:val="1"/>
    <w:qFormat/>
    <w:uiPriority w:val="0"/>
    <w:pPr>
      <w:widowControl/>
      <w:spacing w:beforeLines="100" w:afterLines="100" w:line="240" w:lineRule="auto"/>
      <w:jc w:val="both"/>
      <w:outlineLvl w:val="1"/>
    </w:pPr>
    <w:rPr>
      <w:rFonts w:ascii="黑体" w:hAnsi="宋体" w:eastAsia="黑体" w:cs="Times New Roman"/>
      <w:color w:val="000000"/>
      <w:kern w:val="2"/>
      <w:szCs w:val="21"/>
      <w:lang w:eastAsia="zh-CN"/>
    </w:rPr>
  </w:style>
  <w:style w:type="table" w:customStyle="1" w:styleId="43">
    <w:name w:val="网格型1"/>
    <w:basedOn w:val="1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
    <w:name w:val="Revision"/>
    <w:hidden/>
    <w:unhideWhenUsed/>
    <w:qFormat/>
    <w:uiPriority w:val="99"/>
    <w:rPr>
      <w:rFonts w:eastAsia="宋体" w:asciiTheme="minorHAnsi" w:hAnsiTheme="minorHAnsi" w:cstheme="minorBidi"/>
      <w:sz w:val="21"/>
      <w:szCs w:val="22"/>
      <w:lang w:val="en-US" w:eastAsia="en-US" w:bidi="ar-SA"/>
    </w:rPr>
  </w:style>
  <w:style w:type="character" w:customStyle="1" w:styleId="45">
    <w:name w:val="font21"/>
    <w:basedOn w:val="18"/>
    <w:qFormat/>
    <w:uiPriority w:val="0"/>
    <w:rPr>
      <w:rFonts w:ascii="宋体" w:hAnsi="宋体" w:eastAsia="宋体" w:cs="宋体"/>
      <w:color w:val="000000"/>
      <w:sz w:val="26"/>
      <w:szCs w:val="26"/>
      <w:u w:val="none"/>
    </w:rPr>
  </w:style>
  <w:style w:type="character" w:customStyle="1" w:styleId="46">
    <w:name w:val="font81"/>
    <w:basedOn w:val="18"/>
    <w:qFormat/>
    <w:uiPriority w:val="0"/>
    <w:rPr>
      <w:rFonts w:hint="default" w:ascii="Arial" w:hAnsi="Arial" w:cs="Arial"/>
      <w:color w:val="000000"/>
      <w:sz w:val="7"/>
      <w:szCs w:val="7"/>
      <w:u w:val="none"/>
    </w:rPr>
  </w:style>
  <w:style w:type="character" w:customStyle="1" w:styleId="47">
    <w:name w:val="font91"/>
    <w:basedOn w:val="18"/>
    <w:qFormat/>
    <w:uiPriority w:val="0"/>
    <w:rPr>
      <w:rFonts w:hint="default" w:ascii="Arial" w:hAnsi="Arial" w:cs="Arial"/>
      <w:color w:val="000000"/>
      <w:sz w:val="12"/>
      <w:szCs w:val="12"/>
      <w:u w:val="none"/>
    </w:rPr>
  </w:style>
  <w:style w:type="character" w:customStyle="1" w:styleId="48">
    <w:name w:val="font101"/>
    <w:basedOn w:val="18"/>
    <w:qFormat/>
    <w:uiPriority w:val="0"/>
    <w:rPr>
      <w:rFonts w:hint="default" w:ascii="Arial" w:hAnsi="Arial" w:cs="Arial"/>
      <w:color w:val="000000"/>
      <w:sz w:val="10"/>
      <w:szCs w:val="10"/>
      <w:u w:val="none"/>
    </w:rPr>
  </w:style>
  <w:style w:type="character" w:customStyle="1" w:styleId="49">
    <w:name w:val="font51"/>
    <w:basedOn w:val="18"/>
    <w:qFormat/>
    <w:uiPriority w:val="0"/>
    <w:rPr>
      <w:rFonts w:hint="default" w:ascii="Arial" w:hAnsi="Arial" w:cs="Arial"/>
      <w:color w:val="000000"/>
      <w:sz w:val="6"/>
      <w:szCs w:val="6"/>
      <w:u w:val="none"/>
    </w:rPr>
  </w:style>
  <w:style w:type="character" w:customStyle="1" w:styleId="50">
    <w:name w:val="font111"/>
    <w:basedOn w:val="18"/>
    <w:qFormat/>
    <w:uiPriority w:val="0"/>
    <w:rPr>
      <w:rFonts w:hint="default" w:ascii="Arial" w:hAnsi="Arial" w:cs="Arial"/>
      <w:color w:val="000000"/>
      <w:sz w:val="13"/>
      <w:szCs w:val="13"/>
      <w:u w:val="none"/>
    </w:rPr>
  </w:style>
  <w:style w:type="character" w:customStyle="1" w:styleId="51">
    <w:name w:val="font122"/>
    <w:basedOn w:val="18"/>
    <w:qFormat/>
    <w:uiPriority w:val="0"/>
    <w:rPr>
      <w:rFonts w:hint="default" w:ascii="Arial" w:hAnsi="Arial" w:cs="Arial"/>
      <w:color w:val="000000"/>
      <w:sz w:val="15"/>
      <w:szCs w:val="15"/>
      <w:u w:val="none"/>
    </w:rPr>
  </w:style>
  <w:style w:type="character" w:customStyle="1" w:styleId="52">
    <w:name w:val="font131"/>
    <w:basedOn w:val="18"/>
    <w:qFormat/>
    <w:uiPriority w:val="0"/>
    <w:rPr>
      <w:rFonts w:ascii="宋体" w:hAnsi="宋体" w:eastAsia="宋体" w:cs="宋体"/>
      <w:color w:val="000000"/>
      <w:sz w:val="18"/>
      <w:szCs w:val="18"/>
      <w:u w:val="none"/>
    </w:rPr>
  </w:style>
  <w:style w:type="character" w:customStyle="1" w:styleId="53">
    <w:name w:val="font141"/>
    <w:basedOn w:val="18"/>
    <w:qFormat/>
    <w:uiPriority w:val="0"/>
    <w:rPr>
      <w:rFonts w:hint="default" w:ascii="Arial" w:hAnsi="Arial" w:cs="Arial"/>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9546</Words>
  <Characters>10423</Characters>
  <Lines>124</Lines>
  <Paragraphs>35</Paragraphs>
  <TotalTime>22</TotalTime>
  <ScaleCrop>false</ScaleCrop>
  <LinksUpToDate>false</LinksUpToDate>
  <CharactersWithSpaces>10740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2022-01-25T02:37:00Z</dcterms:created>
  <dc:creator>蓝</dc:creator>
  <cp:lastModifiedBy>木易成林</cp:lastModifiedBy>
  <cp:lastPrinted>2024-09-09T00:24:00Z</cp:lastPrinted>
  <dcterms:modified xsi:type="dcterms:W3CDTF">2024-12-03T07:54:00Z</dcterms:modified>
  <dc:title>龙岩市海绵城市建设绿地设计导则</dc:title>
  <cp:revision>280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2018-09-18T00:00:00Z</vt:filetime>
  </property>
  <property fmtid="{D5CDD505-2E9C-101B-9397-08002B2CF9AE}" pid="3" name="Creator">
    <vt:lpwstr>Microsoft® Word 2010</vt:lpwstr>
  </property>
  <property fmtid="{D5CDD505-2E9C-101B-9397-08002B2CF9AE}" pid="4" name="LastSaved">
    <vt:filetime>2021-12-07T00:00:00Z</vt:filetime>
  </property>
  <property fmtid="{D5CDD505-2E9C-101B-9397-08002B2CF9AE}" pid="5" name="KSOProductBuildVer">
    <vt:lpwstr>2052-12.1.0.18912</vt:lpwstr>
  </property>
  <property fmtid="{D5CDD505-2E9C-101B-9397-08002B2CF9AE}" pid="6" name="ICV">
    <vt:lpwstr>8680A665AD8A4D3281036D2F365C3E30_13</vt:lpwstr>
  </property>
</Properties>
</file>