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华文中宋" w:hAnsi="华文中宋" w:eastAsia="华文中宋"/>
          <w:sz w:val="44"/>
          <w:szCs w:val="28"/>
        </w:rPr>
      </w:pPr>
    </w:p>
    <w:p>
      <w:pPr>
        <w:adjustRightInd w:val="0"/>
        <w:snapToGrid w:val="0"/>
        <w:spacing w:line="360" w:lineRule="auto"/>
        <w:jc w:val="center"/>
        <w:rPr>
          <w:rFonts w:ascii="华文中宋" w:hAnsi="华文中宋" w:eastAsia="华文中宋"/>
          <w:sz w:val="44"/>
          <w:szCs w:val="28"/>
        </w:rPr>
      </w:pPr>
    </w:p>
    <w:p>
      <w:pPr>
        <w:adjustRightInd w:val="0"/>
        <w:snapToGrid w:val="0"/>
        <w:spacing w:line="360" w:lineRule="auto"/>
        <w:jc w:val="center"/>
        <w:rPr>
          <w:rFonts w:ascii="华文中宋" w:hAnsi="华文中宋" w:eastAsia="华文中宋"/>
          <w:sz w:val="44"/>
          <w:szCs w:val="28"/>
        </w:rPr>
      </w:pPr>
    </w:p>
    <w:p>
      <w:pPr>
        <w:adjustRightInd w:val="0"/>
        <w:snapToGrid w:val="0"/>
        <w:spacing w:line="360" w:lineRule="auto"/>
        <w:jc w:val="center"/>
        <w:rPr>
          <w:rFonts w:ascii="华文中宋" w:hAnsi="华文中宋" w:eastAsia="华文中宋"/>
          <w:sz w:val="44"/>
          <w:szCs w:val="28"/>
        </w:rPr>
      </w:pPr>
      <w:r>
        <w:rPr>
          <w:rFonts w:hint="eastAsia" w:ascii="华文中宋" w:hAnsi="华文中宋" w:eastAsia="华文中宋"/>
          <w:sz w:val="44"/>
          <w:szCs w:val="28"/>
        </w:rPr>
        <w:t>国家基本医疗保险、工伤保险和生育保险</w:t>
      </w:r>
    </w:p>
    <w:p>
      <w:pPr>
        <w:adjustRightInd w:val="0"/>
        <w:snapToGrid w:val="0"/>
        <w:spacing w:line="360" w:lineRule="auto"/>
        <w:jc w:val="center"/>
        <w:rPr>
          <w:rFonts w:ascii="华文中宋" w:hAnsi="华文中宋" w:eastAsia="华文中宋"/>
          <w:sz w:val="44"/>
          <w:szCs w:val="28"/>
        </w:rPr>
      </w:pPr>
      <w:r>
        <w:rPr>
          <w:rFonts w:hint="eastAsia" w:ascii="华文中宋" w:hAnsi="华文中宋" w:eastAsia="华文中宋"/>
          <w:sz w:val="44"/>
          <w:szCs w:val="28"/>
        </w:rPr>
        <w:t>药品目录</w:t>
      </w:r>
    </w:p>
    <w:p>
      <w:pPr>
        <w:adjustRightInd w:val="0"/>
        <w:snapToGrid w:val="0"/>
        <w:spacing w:line="360" w:lineRule="auto"/>
        <w:jc w:val="left"/>
        <w:rPr>
          <w:rFonts w:ascii="楷体" w:hAnsi="楷体" w:eastAsia="楷体" w:cs="楷体"/>
          <w:sz w:val="32"/>
          <w:szCs w:val="32"/>
        </w:rPr>
      </w:pPr>
    </w:p>
    <w:p>
      <w:pPr>
        <w:adjustRightInd w:val="0"/>
        <w:snapToGrid w:val="0"/>
        <w:spacing w:line="360" w:lineRule="auto"/>
        <w:jc w:val="left"/>
        <w:rPr>
          <w:rFonts w:ascii="楷体" w:hAnsi="楷体" w:eastAsia="楷体" w:cs="楷体"/>
          <w:sz w:val="32"/>
          <w:szCs w:val="32"/>
        </w:rPr>
      </w:pPr>
    </w:p>
    <w:p>
      <w:pPr>
        <w:tabs>
          <w:tab w:val="right" w:leader="dot" w:pos="7980"/>
        </w:tabs>
        <w:adjustRightInd w:val="0"/>
        <w:snapToGrid w:val="0"/>
        <w:spacing w:line="360" w:lineRule="auto"/>
        <w:jc w:val="left"/>
        <w:rPr>
          <w:rFonts w:ascii="楷体" w:hAnsi="楷体" w:eastAsia="楷体" w:cs="楷体"/>
          <w:sz w:val="24"/>
          <w:szCs w:val="24"/>
        </w:rPr>
      </w:pPr>
      <w:r>
        <w:rPr>
          <w:rFonts w:hint="eastAsia" w:ascii="楷体" w:hAnsi="楷体" w:eastAsia="楷体" w:cs="楷体"/>
          <w:sz w:val="32"/>
          <w:szCs w:val="32"/>
        </w:rPr>
        <w:t>一、凡例</w:t>
      </w:r>
      <w:r>
        <w:rPr>
          <w:rFonts w:hint="eastAsia" w:ascii="楷体" w:hAnsi="楷体" w:eastAsia="楷体" w:cs="楷体"/>
          <w:sz w:val="32"/>
          <w:szCs w:val="32"/>
        </w:rPr>
        <w:tab/>
      </w:r>
      <w:r>
        <w:rPr>
          <w:rFonts w:hint="eastAsia" w:ascii="楷体" w:hAnsi="楷体" w:eastAsia="楷体" w:cs="楷体"/>
          <w:sz w:val="32"/>
          <w:szCs w:val="32"/>
        </w:rPr>
        <w:t xml:space="preserve"> </w:t>
      </w:r>
      <w:r>
        <w:rPr>
          <w:rFonts w:hint="eastAsia" w:ascii="楷体" w:hAnsi="楷体" w:eastAsia="楷体" w:cs="楷体"/>
          <w:sz w:val="24"/>
          <w:szCs w:val="24"/>
        </w:rPr>
        <w:t>（1）</w:t>
      </w:r>
    </w:p>
    <w:p>
      <w:pPr>
        <w:tabs>
          <w:tab w:val="right" w:leader="dot" w:pos="7980"/>
        </w:tabs>
        <w:adjustRightInd w:val="0"/>
        <w:snapToGrid w:val="0"/>
        <w:spacing w:line="360" w:lineRule="auto"/>
        <w:jc w:val="left"/>
        <w:rPr>
          <w:rFonts w:ascii="楷体" w:hAnsi="楷体" w:eastAsia="楷体" w:cs="楷体"/>
          <w:sz w:val="32"/>
          <w:szCs w:val="32"/>
        </w:rPr>
      </w:pPr>
      <w:r>
        <w:rPr>
          <w:rFonts w:hint="eastAsia" w:ascii="楷体" w:hAnsi="楷体" w:eastAsia="楷体" w:cs="楷体"/>
          <w:sz w:val="32"/>
          <w:szCs w:val="32"/>
        </w:rPr>
        <w:t>二、西药部分</w:t>
      </w:r>
      <w:r>
        <w:rPr>
          <w:rFonts w:hint="eastAsia" w:ascii="楷体" w:hAnsi="楷体" w:eastAsia="楷体" w:cs="楷体"/>
          <w:sz w:val="32"/>
          <w:szCs w:val="32"/>
        </w:rPr>
        <w:tab/>
      </w:r>
      <w:r>
        <w:rPr>
          <w:rFonts w:hint="eastAsia" w:ascii="楷体" w:hAnsi="楷体" w:eastAsia="楷体" w:cs="楷体"/>
          <w:sz w:val="24"/>
          <w:szCs w:val="24"/>
        </w:rPr>
        <w:t>（8）</w:t>
      </w:r>
    </w:p>
    <w:p>
      <w:pPr>
        <w:tabs>
          <w:tab w:val="right" w:leader="dot" w:pos="7980"/>
        </w:tabs>
        <w:adjustRightInd w:val="0"/>
        <w:snapToGrid w:val="0"/>
        <w:spacing w:line="360" w:lineRule="auto"/>
        <w:jc w:val="left"/>
        <w:rPr>
          <w:rFonts w:ascii="楷体" w:hAnsi="楷体" w:eastAsia="楷体" w:cs="楷体"/>
          <w:sz w:val="32"/>
          <w:szCs w:val="32"/>
        </w:rPr>
      </w:pPr>
      <w:r>
        <w:rPr>
          <w:rFonts w:hint="eastAsia" w:ascii="楷体" w:hAnsi="楷体" w:eastAsia="楷体" w:cs="楷体"/>
          <w:sz w:val="32"/>
          <w:szCs w:val="32"/>
        </w:rPr>
        <w:t>三、中成药部分</w:t>
      </w:r>
      <w:r>
        <w:rPr>
          <w:rFonts w:hint="eastAsia" w:ascii="楷体" w:hAnsi="楷体" w:eastAsia="楷体" w:cs="楷体"/>
          <w:sz w:val="32"/>
          <w:szCs w:val="32"/>
        </w:rPr>
        <w:tab/>
      </w:r>
      <w:r>
        <w:rPr>
          <w:rFonts w:hint="eastAsia" w:ascii="楷体" w:hAnsi="楷体" w:eastAsia="楷体" w:cs="楷体"/>
          <w:sz w:val="24"/>
          <w:szCs w:val="24"/>
        </w:rPr>
        <w:t>（78）</w:t>
      </w:r>
    </w:p>
    <w:p>
      <w:pPr>
        <w:tabs>
          <w:tab w:val="right" w:leader="dot" w:pos="7980"/>
        </w:tabs>
        <w:adjustRightInd w:val="0"/>
        <w:snapToGrid w:val="0"/>
        <w:spacing w:line="360" w:lineRule="auto"/>
        <w:jc w:val="left"/>
        <w:rPr>
          <w:rFonts w:ascii="楷体" w:hAnsi="楷体" w:eastAsia="楷体" w:cs="楷体"/>
          <w:sz w:val="32"/>
          <w:szCs w:val="32"/>
        </w:rPr>
      </w:pPr>
      <w:r>
        <w:rPr>
          <w:rFonts w:hint="eastAsia" w:ascii="楷体" w:hAnsi="楷体" w:eastAsia="楷体" w:cs="楷体"/>
          <w:sz w:val="32"/>
          <w:szCs w:val="32"/>
        </w:rPr>
        <w:t>四、协议期内谈判药品部分</w:t>
      </w:r>
      <w:r>
        <w:rPr>
          <w:rFonts w:hint="eastAsia" w:ascii="楷体" w:hAnsi="楷体" w:eastAsia="楷体" w:cs="楷体"/>
          <w:sz w:val="32"/>
          <w:szCs w:val="32"/>
        </w:rPr>
        <w:tab/>
      </w:r>
      <w:r>
        <w:rPr>
          <w:rFonts w:hint="eastAsia" w:ascii="楷体" w:hAnsi="楷体" w:eastAsia="楷体" w:cs="楷体"/>
          <w:sz w:val="24"/>
          <w:szCs w:val="24"/>
        </w:rPr>
        <w:t>（134）</w:t>
      </w:r>
    </w:p>
    <w:p>
      <w:pPr>
        <w:tabs>
          <w:tab w:val="right" w:leader="dot" w:pos="7980"/>
        </w:tabs>
        <w:adjustRightInd w:val="0"/>
        <w:snapToGrid w:val="0"/>
        <w:spacing w:line="360" w:lineRule="auto"/>
        <w:rPr>
          <w:rFonts w:ascii="楷体" w:hAnsi="楷体" w:eastAsia="楷体" w:cs="楷体"/>
          <w:sz w:val="32"/>
          <w:szCs w:val="32"/>
        </w:rPr>
      </w:pPr>
      <w:r>
        <w:rPr>
          <w:rFonts w:hint="eastAsia" w:ascii="楷体" w:hAnsi="楷体" w:eastAsia="楷体" w:cs="楷体"/>
          <w:sz w:val="32"/>
          <w:szCs w:val="32"/>
        </w:rPr>
        <w:t>五、中药饮片部分</w:t>
      </w:r>
      <w:r>
        <w:rPr>
          <w:rFonts w:hint="eastAsia" w:ascii="楷体" w:hAnsi="楷体" w:eastAsia="楷体" w:cs="楷体"/>
          <w:sz w:val="32"/>
          <w:szCs w:val="32"/>
        </w:rPr>
        <w:tab/>
      </w:r>
      <w:r>
        <w:rPr>
          <w:rFonts w:hint="eastAsia" w:ascii="楷体" w:hAnsi="楷体" w:eastAsia="楷体" w:cs="楷体"/>
          <w:sz w:val="24"/>
          <w:szCs w:val="24"/>
        </w:rPr>
        <w:t>（152）</w:t>
      </w:r>
    </w:p>
    <w:p>
      <w:pPr>
        <w:tabs>
          <w:tab w:val="right" w:leader="dot" w:pos="7980"/>
        </w:tabs>
        <w:adjustRightInd w:val="0"/>
        <w:snapToGrid w:val="0"/>
        <w:spacing w:line="360" w:lineRule="auto"/>
        <w:rPr>
          <w:rFonts w:ascii="楷体" w:hAnsi="楷体" w:eastAsia="楷体" w:cs="楷体"/>
          <w:sz w:val="32"/>
          <w:szCs w:val="32"/>
        </w:rPr>
      </w:pPr>
    </w:p>
    <w:p>
      <w:pPr>
        <w:tabs>
          <w:tab w:val="right" w:leader="dot" w:pos="7980"/>
        </w:tabs>
        <w:adjustRightInd w:val="0"/>
        <w:snapToGrid w:val="0"/>
        <w:spacing w:line="360" w:lineRule="auto"/>
        <w:rPr>
          <w:rFonts w:ascii="黑体" w:hAnsi="黑体" w:eastAsia="黑体" w:cs="楷体"/>
          <w:sz w:val="30"/>
          <w:szCs w:val="30"/>
        </w:rPr>
      </w:pPr>
      <w:r>
        <w:rPr>
          <w:rFonts w:hint="eastAsia" w:ascii="黑体" w:hAnsi="黑体" w:eastAsia="黑体" w:cs="楷体"/>
          <w:sz w:val="30"/>
          <w:szCs w:val="30"/>
        </w:rPr>
        <w:t>索 引</w:t>
      </w:r>
    </w:p>
    <w:p>
      <w:pPr>
        <w:tabs>
          <w:tab w:val="right" w:leader="dot" w:pos="7980"/>
        </w:tabs>
        <w:adjustRightInd w:val="0"/>
        <w:snapToGrid w:val="0"/>
        <w:spacing w:line="360" w:lineRule="auto"/>
        <w:rPr>
          <w:rFonts w:ascii="楷体" w:hAnsi="楷体" w:eastAsia="楷体" w:cs="楷体"/>
          <w:sz w:val="24"/>
          <w:szCs w:val="24"/>
        </w:rPr>
      </w:pPr>
      <w:r>
        <w:rPr>
          <w:rFonts w:hint="eastAsia" w:ascii="楷体" w:hAnsi="楷体" w:eastAsia="楷体" w:cs="楷体"/>
          <w:sz w:val="28"/>
          <w:szCs w:val="28"/>
        </w:rPr>
        <w:t>西药中文药名拼音索引（含谈判药）</w:t>
      </w:r>
      <w:r>
        <w:rPr>
          <w:rFonts w:hint="eastAsia" w:ascii="楷体" w:hAnsi="楷体" w:eastAsia="楷体" w:cs="楷体"/>
          <w:sz w:val="32"/>
          <w:szCs w:val="32"/>
        </w:rPr>
        <w:tab/>
      </w:r>
      <w:r>
        <w:rPr>
          <w:rFonts w:hint="eastAsia" w:ascii="楷体" w:hAnsi="楷体" w:eastAsia="楷体" w:cs="楷体"/>
          <w:sz w:val="24"/>
          <w:szCs w:val="24"/>
        </w:rPr>
        <w:t>（163）</w:t>
      </w:r>
    </w:p>
    <w:p>
      <w:pPr>
        <w:tabs>
          <w:tab w:val="right" w:leader="dot" w:pos="7980"/>
        </w:tabs>
        <w:adjustRightInd w:val="0"/>
        <w:snapToGrid w:val="0"/>
        <w:spacing w:line="360" w:lineRule="auto"/>
        <w:rPr>
          <w:rFonts w:ascii="楷体" w:hAnsi="楷体" w:eastAsia="楷体" w:cs="楷体"/>
          <w:sz w:val="24"/>
          <w:szCs w:val="24"/>
        </w:rPr>
        <w:sectPr>
          <w:headerReference r:id="rId3" w:type="even"/>
          <w:footerReference r:id="rId4" w:type="even"/>
          <w:pgSz w:w="11906" w:h="16838"/>
          <w:pgMar w:top="1440" w:right="1800" w:bottom="1440" w:left="1800" w:header="851" w:footer="992" w:gutter="0"/>
          <w:pgNumType w:start="1"/>
          <w:cols w:space="425" w:num="1"/>
          <w:titlePg/>
          <w:docGrid w:type="lines" w:linePitch="312" w:charSpace="0"/>
        </w:sectPr>
      </w:pPr>
      <w:r>
        <w:rPr>
          <w:rFonts w:hint="eastAsia" w:ascii="楷体" w:hAnsi="楷体" w:eastAsia="楷体" w:cs="楷体"/>
          <w:sz w:val="28"/>
          <w:szCs w:val="28"/>
        </w:rPr>
        <w:t>中成药中文药名拼音索引（含谈判药）</w:t>
      </w:r>
      <w:r>
        <w:rPr>
          <w:rFonts w:hint="eastAsia" w:ascii="楷体" w:hAnsi="楷体" w:eastAsia="楷体" w:cs="楷体"/>
          <w:sz w:val="32"/>
          <w:szCs w:val="32"/>
        </w:rPr>
        <w:tab/>
      </w:r>
      <w:r>
        <w:rPr>
          <w:rFonts w:hint="eastAsia" w:ascii="楷体" w:hAnsi="楷体" w:eastAsia="楷体" w:cs="楷体"/>
          <w:sz w:val="24"/>
          <w:szCs w:val="24"/>
        </w:rPr>
        <w:t>（186）</w:t>
      </w:r>
    </w:p>
    <w:p>
      <w:pPr>
        <w:adjustRightInd w:val="0"/>
        <w:snapToGrid w:val="0"/>
        <w:spacing w:line="360" w:lineRule="auto"/>
        <w:jc w:val="center"/>
        <w:rPr>
          <w:rFonts w:ascii="华文中宋" w:hAnsi="华文中宋" w:eastAsia="华文中宋"/>
          <w:sz w:val="44"/>
          <w:szCs w:val="28"/>
        </w:rPr>
      </w:pPr>
      <w:r>
        <w:rPr>
          <w:rFonts w:hint="eastAsia" w:ascii="华文中宋" w:hAnsi="华文中宋" w:eastAsia="华文中宋"/>
          <w:sz w:val="44"/>
          <w:szCs w:val="28"/>
        </w:rPr>
        <w:t>凡  例</w:t>
      </w:r>
    </w:p>
    <w:p>
      <w:pPr>
        <w:adjustRightInd w:val="0"/>
        <w:snapToGrid w:val="0"/>
        <w:spacing w:line="360" w:lineRule="auto"/>
        <w:jc w:val="center"/>
        <w:rPr>
          <w:rFonts w:ascii="仿宋" w:hAnsi="仿宋" w:eastAsia="仿宋"/>
          <w:sz w:val="32"/>
          <w:szCs w:val="32"/>
        </w:rPr>
      </w:pP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国家基本医疗保险、工伤保险和生育保险药品目录》（简称《药品目录》）是基本医疗保险和生育保险基金支付药品费用的标准。临床医师根据病情开具处方、参保人员购买与使用药品不受《药品目录》的限制。工伤保险基金支付药品费用范围参照本目录执行。</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凡例是对《药品目录》中药品的分类与编号、名称与剂型、备注等内容的解释和说明，是《药品目录》的组成部分，其内容与目录正文</w:t>
      </w:r>
      <w:r>
        <w:rPr>
          <w:rFonts w:ascii="仿宋" w:hAnsi="仿宋" w:eastAsia="仿宋"/>
          <w:bCs/>
          <w:sz w:val="32"/>
          <w:szCs w:val="28"/>
        </w:rPr>
        <w:t>具</w:t>
      </w:r>
      <w:r>
        <w:rPr>
          <w:rFonts w:hint="eastAsia" w:ascii="仿宋" w:hAnsi="仿宋" w:eastAsia="仿宋"/>
          <w:bCs/>
          <w:sz w:val="32"/>
          <w:szCs w:val="28"/>
        </w:rPr>
        <w:t>有</w:t>
      </w:r>
      <w:r>
        <w:rPr>
          <w:rFonts w:ascii="仿宋" w:hAnsi="仿宋" w:eastAsia="仿宋"/>
          <w:bCs/>
          <w:sz w:val="32"/>
          <w:szCs w:val="28"/>
        </w:rPr>
        <w:t>同等政策</w:t>
      </w:r>
      <w:r>
        <w:rPr>
          <w:rFonts w:hint="eastAsia" w:ascii="仿宋" w:hAnsi="仿宋" w:eastAsia="仿宋"/>
          <w:bCs/>
          <w:sz w:val="32"/>
          <w:szCs w:val="28"/>
        </w:rPr>
        <w:t>约束力。</w:t>
      </w:r>
    </w:p>
    <w:p>
      <w:pPr>
        <w:adjustRightInd w:val="0"/>
        <w:snapToGrid w:val="0"/>
        <w:spacing w:line="360" w:lineRule="auto"/>
        <w:ind w:firstLine="720" w:firstLineChars="225"/>
        <w:rPr>
          <w:rFonts w:ascii="黑体" w:eastAsia="黑体"/>
          <w:bCs/>
          <w:sz w:val="32"/>
          <w:szCs w:val="28"/>
        </w:rPr>
      </w:pPr>
      <w:r>
        <w:rPr>
          <w:rFonts w:hint="eastAsia" w:ascii="黑体" w:eastAsia="黑体"/>
          <w:sz w:val="32"/>
          <w:szCs w:val="28"/>
        </w:rPr>
        <w:t>一、</w:t>
      </w:r>
      <w:r>
        <w:rPr>
          <w:rFonts w:hint="eastAsia" w:ascii="黑体" w:eastAsia="黑体"/>
          <w:bCs/>
          <w:sz w:val="32"/>
          <w:szCs w:val="28"/>
        </w:rPr>
        <w:t>目录构成</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一）《药品目录》西药部分、中成药部分、协议期内谈判药品部分和中药饮片部分所列药品为基本医疗保险、工伤保险和生育保险基金准予支付费用的药品。其中西药部分1279个，中成药部分1316个（含民族药93个），协议期内谈判药品部分48个（含西药43个、中成药5个），共计2643个。</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（二）西药、中成药和协议期内谈判药品分甲乙类管理，西药甲类药品398个，中成药甲类药品242个，其余为乙类药品。协议期内谈判药品按照乙类支付。</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（三）中药饮片部分除列出基本医疗保险、工伤保险和生育保险基金准予支付的品种892个外，同时列出了不得纳入基金支付的饮片范围。</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（四）《药品目录》包括限工伤保险基金准予支付费用的品种6个；限生育保险基金准予支付费用的品种4个。工伤保险和生育保险支付药品费用时不区分甲、乙类。</w:t>
      </w:r>
    </w:p>
    <w:p>
      <w:pPr>
        <w:adjustRightInd w:val="0"/>
        <w:snapToGrid w:val="0"/>
        <w:spacing w:line="360" w:lineRule="auto"/>
        <w:ind w:firstLine="720" w:firstLineChars="225"/>
        <w:rPr>
          <w:rFonts w:ascii="仿宋_GB2312" w:eastAsia="仿宋_GB2312"/>
          <w:bCs/>
          <w:sz w:val="32"/>
          <w:szCs w:val="28"/>
        </w:rPr>
      </w:pPr>
      <w:r>
        <w:rPr>
          <w:rFonts w:hint="eastAsia" w:ascii="黑体" w:eastAsia="黑体"/>
          <w:bCs/>
          <w:sz w:val="32"/>
          <w:szCs w:val="28"/>
        </w:rPr>
        <w:t>二、编排与分类</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五）药品分类上西药品种主要依据解剖-治疗-化学分类（ATC），中成药主要依据功能主治分类，中药饮片按中文笔画数排序。临床具有多种治疗用途的药品，选择其主要治疗用途分类。临床医师依据病情用药，不受《药品目录》分类的限制。</w:t>
      </w:r>
    </w:p>
    <w:p>
      <w:pPr>
        <w:adjustRightInd w:val="0"/>
        <w:snapToGrid w:val="0"/>
        <w:spacing w:line="360" w:lineRule="auto"/>
        <w:ind w:firstLine="640" w:firstLineChars="200"/>
        <w:rPr>
          <w:rFonts w:ascii="仿宋" w:hAnsi="仿宋" w:eastAsia="仿宋"/>
          <w:sz w:val="32"/>
        </w:rPr>
      </w:pPr>
      <w:r>
        <w:rPr>
          <w:rFonts w:hint="eastAsia" w:ascii="仿宋" w:hAnsi="仿宋" w:eastAsia="仿宋"/>
          <w:bCs/>
          <w:sz w:val="32"/>
          <w:szCs w:val="28"/>
        </w:rPr>
        <w:t>（六）西药、中成药、协议期内谈判药品分别按药品品种编号。同一品种只编一个号,重复出现时标注“★”，并在括号内标注该品种编号。药品排列顺序及编号的先后次序无特别含义。</w:t>
      </w:r>
    </w:p>
    <w:p>
      <w:pPr>
        <w:adjustRightInd w:val="0"/>
        <w:snapToGrid w:val="0"/>
        <w:spacing w:line="360" w:lineRule="auto"/>
        <w:ind w:firstLine="720" w:firstLineChars="225"/>
        <w:rPr>
          <w:rFonts w:ascii="仿宋_GB2312" w:eastAsia="仿宋_GB2312"/>
          <w:sz w:val="32"/>
        </w:rPr>
      </w:pPr>
      <w:r>
        <w:rPr>
          <w:rFonts w:hint="eastAsia" w:ascii="黑体" w:eastAsia="黑体"/>
          <w:sz w:val="32"/>
        </w:rPr>
        <w:t>三、名称与剂型</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七）除在“备注”一栏标有“◇”的药品外，西药名称采用中文通用名，未包括命名中的盐基、酸根部分，剂型单列。中成药名称采用中文通用名，剂型不单列。为使编排简洁，在甲乙分类、给药途径、备注相同的情况下，同一通用名称下的不同剂型并列，其先后次序无特别含义。</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（八）西药剂型以《中国药典》“制剂通则”为基础进行合并归类处理，未归类的剂型以《药品目录》标注的为准。合并归类的剂型见下表：</w:t>
      </w:r>
    </w:p>
    <w:p>
      <w:pPr>
        <w:adjustRightInd w:val="0"/>
        <w:snapToGrid w:val="0"/>
        <w:spacing w:line="360" w:lineRule="auto"/>
        <w:ind w:firstLine="720" w:firstLineChars="225"/>
        <w:rPr>
          <w:rFonts w:ascii="仿宋_GB2312" w:eastAsia="仿宋_GB2312"/>
          <w:sz w:val="32"/>
        </w:rPr>
      </w:pPr>
    </w:p>
    <w:tbl>
      <w:tblPr>
        <w:tblStyle w:val="5"/>
        <w:tblW w:w="8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35"/>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合并归类的剂型</w:t>
            </w:r>
          </w:p>
        </w:tc>
        <w:tc>
          <w:tcPr>
            <w:tcW w:w="6840"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包含的具体剂型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口服常释剂型</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普通片剂（片、素片、肠溶片、包衣片、薄膜衣片、糖衣片、浸膏片、分散片、划痕片）、硬胶囊、软胶囊（胶丸）、肠溶胶囊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缓释控释剂型</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缓释片、缓释包衣片、控释片、缓释胶囊、控释胶囊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口服液体剂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口服溶液剂、口服混悬剂、干混悬剂、口服乳剂、胶浆剂、口服液、乳液、乳剂、胶体溶液、合剂、酊剂、滴剂、混悬滴剂、糖浆剂（含干糖浆剂）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丸剂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丸剂、滴丸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颗粒剂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颗粒剂、肠溶颗粒剂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口服散剂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散剂、药粉、粉剂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外用散剂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散剂、粉剂、撒布剂、撒粉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软膏剂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软膏剂、乳膏剂、霜剂、糊剂、油膏剂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贴剂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贴剂、贴膏剂、膜剂、透皮贴剂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外用液体剂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外用溶液剂、洗剂、漱口剂、含漱液、胶浆剂、搽剂、酊剂、油剂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硬膏剂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硬膏剂、亲水硬膏剂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凝胶剂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乳胶剂、凝胶剂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涂剂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涂剂、涂膜剂、涂布剂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栓剂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栓剂、直肠栓、阴道栓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滴眼剂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滴眼剂、滴眼液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滴耳剂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滴耳剂、滴耳液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滴鼻剂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滴鼻剂、滴鼻液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吸入剂</w:t>
            </w:r>
          </w:p>
        </w:tc>
        <w:tc>
          <w:tcPr>
            <w:tcW w:w="6840" w:type="dxa"/>
            <w:tcMar>
              <w:top w:w="15" w:type="dxa"/>
              <w:left w:w="15" w:type="dxa"/>
              <w:bottom w:w="0" w:type="dxa"/>
              <w:right w:w="15" w:type="dxa"/>
            </w:tcMar>
            <w:vAlign w:val="center"/>
          </w:tcPr>
          <w:p>
            <w:pPr>
              <w:spacing w:line="360" w:lineRule="auto"/>
              <w:rPr>
                <w:rFonts w:ascii="仿宋_GB2312" w:hAnsi="宋体" w:eastAsia="仿宋_GB2312"/>
                <w:highlight w:val="yellow"/>
              </w:rPr>
            </w:pPr>
            <w:r>
              <w:rPr>
                <w:rFonts w:hint="eastAsia" w:ascii="仿宋_GB2312" w:hAnsi="宋体" w:eastAsia="仿宋_GB2312"/>
              </w:rPr>
              <w:t>气雾剂、粉雾剂、吸入剂、吸入粉雾剂、干粉吸入剂、粉吸入剂、雾化溶液剂、吸入气雾剂、吸入（用）溶液、吸入（用）混悬液、（鼻用）喷雾剂、鼻吸入气雾剂、雾化吸入用混悬液、吸入（用）气雾剂、雾化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rPr>
            </w:pPr>
            <w:r>
              <w:rPr>
                <w:rFonts w:hint="eastAsia" w:ascii="黑体" w:hAnsi="宋体" w:eastAsia="黑体"/>
              </w:rPr>
              <w:t>注射剂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rPr>
            </w:pPr>
            <w:r>
              <w:rPr>
                <w:rFonts w:hint="eastAsia" w:ascii="仿宋_GB2312" w:hAnsi="宋体" w:eastAsia="仿宋_GB2312"/>
              </w:rPr>
              <w:t>注射剂、注射液、注射用溶液剂、静脉滴注用注射液、注射用混悬液、注射用无菌粉末、静脉注射针剂、注射用乳剂、乳状注射液、粉针剂、针剂、无菌粉针、冻干粉针、注射用浓溶液</w:t>
            </w:r>
          </w:p>
        </w:tc>
      </w:tr>
    </w:tbl>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（九）中成药剂型中，丸剂包括水丸、蜜丸、水蜜丸、糊丸、浓缩丸和微丸，不含滴丸；胶囊剂是指硬胶囊，不含软胶囊；其他剂型没有归并。</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除谈判药品外，《药品目录》收载的药品不区分商品名、规格或生产厂家。通用名称中主要化学成分部分与《药品目录》中的名称一致且剂型相同，而酸根或盐基不同的西药，属于《药品目录》的药品。通用名中包含罗马数字的药品单独列出。</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（十一）“备注”栏标有“◇”的药品，因其组成和适应症类似而进行了归类，所标注的名称为一类药品的统称。具体如下：</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1. 西药部分第179号“缓解消化道不适症状的复方OTC制剂”包括：复方颠茄氢氧化铝片、复方嗜酸乳杆菌片、复方碳酸钙咀嚼片、复方消化酶胶囊、复方胰酶散、复合乳酸菌</w:t>
      </w:r>
      <w:r>
        <w:rPr>
          <w:rFonts w:hint="eastAsia" w:ascii="仿宋" w:hAnsi="仿宋" w:eastAsia="仿宋"/>
          <w:bCs/>
          <w:sz w:val="32"/>
          <w:szCs w:val="28"/>
          <w:lang w:eastAsia="zh-CN"/>
        </w:rPr>
        <w:t>肠溶</w:t>
      </w:r>
      <w:r>
        <w:rPr>
          <w:rFonts w:hint="eastAsia" w:ascii="仿宋" w:hAnsi="仿宋" w:eastAsia="仿宋"/>
          <w:bCs/>
          <w:sz w:val="32"/>
          <w:szCs w:val="28"/>
        </w:rPr>
        <w:t>胶囊、铝镁颠茄片、铝镁混悬液。</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2. 西药部分第726号“抗艾滋病用药”是指国家免费治疗艾滋病方案内的药品。</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3. 西药部分第1093号“青蒿素类药物”是指卫生部《抗疟药使用原则和用药方案（修订稿）》中所列的以青蒿素类药物为基础的处方制剂、联合用药的药物和青蒿素类药物注射剂。</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4. 西药部分第1149号“缓解感冒症状的复方OTC制剂”包括的品种见下表：</w:t>
      </w:r>
    </w:p>
    <w:tbl>
      <w:tblPr>
        <w:tblStyle w:val="5"/>
        <w:tblW w:w="7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0"/>
        <w:gridCol w:w="2800"/>
        <w:gridCol w:w="108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黑体" w:hAnsi="宋体" w:eastAsia="黑体" w:cs="Arial Unicode MS"/>
                <w:sz w:val="24"/>
              </w:rPr>
            </w:pPr>
            <w:r>
              <w:rPr>
                <w:rFonts w:hint="eastAsia" w:ascii="黑体" w:hAnsi="宋体" w:eastAsia="黑体"/>
              </w:rPr>
              <w:t>序号</w:t>
            </w:r>
          </w:p>
        </w:tc>
        <w:tc>
          <w:tcPr>
            <w:tcW w:w="2800" w:type="dxa"/>
            <w:tcMar>
              <w:top w:w="15" w:type="dxa"/>
              <w:left w:w="15" w:type="dxa"/>
              <w:bottom w:w="0" w:type="dxa"/>
              <w:right w:w="15" w:type="dxa"/>
            </w:tcMar>
            <w:vAlign w:val="bottom"/>
          </w:tcPr>
          <w:p>
            <w:pPr>
              <w:jc w:val="center"/>
              <w:rPr>
                <w:rFonts w:ascii="黑体" w:hAnsi="宋体" w:eastAsia="黑体" w:cs="Arial Unicode MS"/>
                <w:sz w:val="24"/>
              </w:rPr>
            </w:pPr>
            <w:r>
              <w:rPr>
                <w:rFonts w:hint="eastAsia" w:ascii="黑体" w:hAnsi="宋体" w:eastAsia="黑体"/>
              </w:rPr>
              <w:t>药品名称</w:t>
            </w:r>
          </w:p>
        </w:tc>
        <w:tc>
          <w:tcPr>
            <w:tcW w:w="1080" w:type="dxa"/>
            <w:tcMar>
              <w:top w:w="15" w:type="dxa"/>
              <w:left w:w="15" w:type="dxa"/>
              <w:bottom w:w="0" w:type="dxa"/>
              <w:right w:w="15" w:type="dxa"/>
            </w:tcMar>
            <w:vAlign w:val="bottom"/>
          </w:tcPr>
          <w:p>
            <w:pPr>
              <w:jc w:val="center"/>
              <w:rPr>
                <w:rFonts w:ascii="黑体" w:hAnsi="宋体" w:eastAsia="黑体" w:cs="Arial Unicode MS"/>
                <w:sz w:val="24"/>
              </w:rPr>
            </w:pPr>
            <w:r>
              <w:rPr>
                <w:rFonts w:hint="eastAsia" w:ascii="黑体" w:hAnsi="宋体" w:eastAsia="黑体"/>
              </w:rPr>
              <w:t>序号</w:t>
            </w:r>
          </w:p>
        </w:tc>
        <w:tc>
          <w:tcPr>
            <w:tcW w:w="3020" w:type="dxa"/>
            <w:tcMar>
              <w:top w:w="15" w:type="dxa"/>
              <w:left w:w="15" w:type="dxa"/>
              <w:bottom w:w="0" w:type="dxa"/>
              <w:right w:w="15" w:type="dxa"/>
            </w:tcMar>
            <w:vAlign w:val="bottom"/>
          </w:tcPr>
          <w:p>
            <w:pPr>
              <w:jc w:val="center"/>
              <w:rPr>
                <w:rFonts w:ascii="黑体" w:hAnsi="宋体" w:eastAsia="黑体" w:cs="Arial Unicode MS"/>
                <w:sz w:val="24"/>
              </w:rPr>
            </w:pPr>
            <w:r>
              <w:rPr>
                <w:rFonts w:hint="eastAsia" w:ascii="黑体" w:hAnsi="宋体" w:eastAsia="黑体"/>
              </w:rPr>
              <w:t>药品名称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29</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复方氨酚美沙糖浆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氨酚伪麻颗粒剂</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30</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复方氨酚那敏颗粒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3</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氨酚伪麻美芬胶囊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31</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复方氨酚葡锌片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4</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氨酚伪麻美芬片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32</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复方酚咖伪麻胶囊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5</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氨酚伪麻美芬片(Ⅱ)</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33</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复方氢溴酸右美沙芬糖浆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080" w:type="dxa"/>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Cs w:val="21"/>
              </w:rPr>
              <w:t>6</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氨酚伪麻美芬片（Ⅱ）/苯酚伪麻片</w:t>
            </w:r>
          </w:p>
        </w:tc>
        <w:tc>
          <w:tcPr>
            <w:tcW w:w="1080" w:type="dxa"/>
            <w:tcMar>
              <w:top w:w="15" w:type="dxa"/>
              <w:left w:w="15" w:type="dxa"/>
              <w:bottom w:w="0" w:type="dxa"/>
              <w:right w:w="15" w:type="dxa"/>
            </w:tcMar>
            <w:vAlign w:val="center"/>
          </w:tcPr>
          <w:p>
            <w:pPr>
              <w:widowControl/>
              <w:jc w:val="center"/>
              <w:textAlignment w:val="bottom"/>
              <w:rPr>
                <w:rFonts w:ascii="仿宋" w:hAnsi="仿宋" w:eastAsia="仿宋" w:cs="仿宋"/>
                <w:szCs w:val="21"/>
              </w:rPr>
            </w:pPr>
            <w:r>
              <w:rPr>
                <w:rFonts w:hint="eastAsia" w:ascii="仿宋" w:hAnsi="仿宋" w:eastAsia="仿宋" w:cs="仿宋"/>
                <w:kern w:val="0"/>
                <w:szCs w:val="21"/>
              </w:rPr>
              <w:t>34</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复方锌布颗粒剂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7</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氨酚伪麻美芬片（Ⅲ)</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35</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复方盐酸伪麻黄碱缓释胶囊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8</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氨酚伪麻那敏胶囊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36</w:t>
            </w:r>
          </w:p>
        </w:tc>
        <w:tc>
          <w:tcPr>
            <w:tcW w:w="302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复方愈创木酚磺酸钾口服溶液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9</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氨酚伪麻那敏胶囊(夜用）</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37</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复方愈酚喷托那敏糖浆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10</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氨酚伪麻那敏片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38</w:t>
            </w:r>
          </w:p>
        </w:tc>
        <w:tc>
          <w:tcPr>
            <w:tcW w:w="302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咖酚伪麻片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11</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氨酚伪麻那敏溶液</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39</w:t>
            </w:r>
          </w:p>
        </w:tc>
        <w:tc>
          <w:tcPr>
            <w:tcW w:w="302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美酚伪麻片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12</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氨咖麻敏胶囊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40</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美敏伪麻口服液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13</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氨咖愈敏溶液</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41</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美愈伪麻胶囊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14</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氨麻苯美片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42</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美愈伪麻口服溶液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15</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氨麻美敏口服溶液剂</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43</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美愈伪麻口服液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16</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氨麻美敏片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44</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喷托维林氯化铵片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17</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氨麻美敏片（Ⅱ）</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45</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喷托维林氯化铵糖浆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18</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氨麻美敏片（Ⅲ）</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46</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扑尔伪麻片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19</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贝敏伪麻片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47</w:t>
            </w:r>
          </w:p>
        </w:tc>
        <w:tc>
          <w:tcPr>
            <w:tcW w:w="302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双扑伪麻颗粒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20</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布洛伪麻分散片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48</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伪麻那敏胶囊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21</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布洛伪麻胶囊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49</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右美沙芬愈创甘油醚糖浆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22</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布洛伪麻颗粒剂</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50</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愈创维林那敏片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23</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布洛伪麻片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51</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愈酚喷托异丙嗪颗粒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24</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酚咖麻敏胶囊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52</w:t>
            </w:r>
          </w:p>
        </w:tc>
        <w:tc>
          <w:tcPr>
            <w:tcW w:w="302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愈酚维林片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25</w:t>
            </w:r>
          </w:p>
        </w:tc>
        <w:tc>
          <w:tcPr>
            <w:tcW w:w="280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酚咖片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53</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愈酚伪麻片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26</w:t>
            </w:r>
          </w:p>
        </w:tc>
        <w:tc>
          <w:tcPr>
            <w:tcW w:w="280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酚麻美敏胶囊</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54</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愈美胶囊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27</w:t>
            </w:r>
          </w:p>
        </w:tc>
        <w:tc>
          <w:tcPr>
            <w:tcW w:w="2800" w:type="dxa"/>
            <w:shd w:val="clear" w:color="auto" w:fill="FFFFFF"/>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酚麻美敏片</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55</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愈美颗粒剂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 w:hAnsi="仿宋" w:eastAsia="仿宋" w:cs="仿宋"/>
                <w:szCs w:val="21"/>
              </w:rPr>
            </w:pPr>
            <w:r>
              <w:rPr>
                <w:rFonts w:hint="eastAsia" w:ascii="仿宋" w:hAnsi="仿宋" w:eastAsia="仿宋" w:cs="仿宋"/>
                <w:szCs w:val="21"/>
              </w:rPr>
              <w:t>28</w:t>
            </w:r>
          </w:p>
        </w:tc>
        <w:tc>
          <w:tcPr>
            <w:tcW w:w="280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酚美愈伪麻口服液</w:t>
            </w:r>
          </w:p>
        </w:tc>
        <w:tc>
          <w:tcPr>
            <w:tcW w:w="1080" w:type="dxa"/>
            <w:tcMar>
              <w:top w:w="15" w:type="dxa"/>
              <w:left w:w="15" w:type="dxa"/>
              <w:bottom w:w="0" w:type="dxa"/>
              <w:right w:w="15" w:type="dxa"/>
            </w:tcMar>
            <w:vAlign w:val="bottom"/>
          </w:tcPr>
          <w:p>
            <w:pPr>
              <w:widowControl/>
              <w:jc w:val="center"/>
              <w:textAlignment w:val="bottom"/>
              <w:rPr>
                <w:rFonts w:ascii="仿宋" w:hAnsi="仿宋" w:eastAsia="仿宋" w:cs="仿宋"/>
                <w:szCs w:val="21"/>
              </w:rPr>
            </w:pPr>
            <w:r>
              <w:rPr>
                <w:rFonts w:hint="eastAsia" w:ascii="仿宋" w:hAnsi="仿宋" w:eastAsia="仿宋" w:cs="仿宋"/>
                <w:kern w:val="0"/>
                <w:szCs w:val="21"/>
              </w:rPr>
              <w:t>56</w:t>
            </w:r>
          </w:p>
        </w:tc>
        <w:tc>
          <w:tcPr>
            <w:tcW w:w="3020" w:type="dxa"/>
            <w:tcMar>
              <w:top w:w="15" w:type="dxa"/>
              <w:left w:w="15" w:type="dxa"/>
              <w:bottom w:w="0" w:type="dxa"/>
              <w:right w:w="15" w:type="dxa"/>
            </w:tcMar>
            <w:vAlign w:val="center"/>
          </w:tcPr>
          <w:p>
            <w:pPr>
              <w:widowControl/>
              <w:jc w:val="left"/>
              <w:textAlignment w:val="center"/>
              <w:rPr>
                <w:rFonts w:ascii="仿宋" w:hAnsi="仿宋" w:eastAsia="仿宋" w:cs="仿宋"/>
                <w:szCs w:val="21"/>
              </w:rPr>
            </w:pPr>
            <w:r>
              <w:rPr>
                <w:rFonts w:hint="eastAsia" w:ascii="仿宋" w:hAnsi="仿宋" w:eastAsia="仿宋" w:cs="仿宋"/>
                <w:color w:val="000000"/>
                <w:kern w:val="0"/>
                <w:sz w:val="22"/>
              </w:rPr>
              <w:t>愈美片</w:t>
            </w:r>
          </w:p>
        </w:tc>
      </w:tr>
    </w:tbl>
    <w:p>
      <w:pPr>
        <w:adjustRightInd w:val="0"/>
        <w:snapToGrid w:val="0"/>
        <w:spacing w:line="360" w:lineRule="auto"/>
        <w:ind w:firstLine="260" w:firstLineChars="200"/>
        <w:rPr>
          <w:rFonts w:ascii="黑体" w:eastAsia="黑体"/>
          <w:bCs/>
          <w:sz w:val="13"/>
          <w:szCs w:val="11"/>
        </w:rPr>
      </w:pPr>
    </w:p>
    <w:p>
      <w:pPr>
        <w:adjustRightInd w:val="0"/>
        <w:snapToGrid w:val="0"/>
        <w:spacing w:line="360" w:lineRule="auto"/>
        <w:ind w:firstLine="640" w:firstLineChars="200"/>
        <w:rPr>
          <w:rFonts w:ascii="黑体" w:eastAsia="黑体"/>
          <w:bCs/>
          <w:sz w:val="32"/>
          <w:szCs w:val="28"/>
        </w:rPr>
      </w:pPr>
      <w:r>
        <w:rPr>
          <w:rFonts w:hint="eastAsia" w:ascii="黑体" w:eastAsia="黑体"/>
          <w:bCs/>
          <w:sz w:val="32"/>
          <w:szCs w:val="28"/>
        </w:rPr>
        <w:t>四、限定支付范围</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二）医疗保险统筹基金支付《药品目录》内药品所发生的费用，必须由医生开具处方或住院医嘱，参保患者自行购买药品发生的费用，由个人账户支付或个人自付。儿童或有临床证据证明为智力障碍的成人参保人员，由医生处方或住院医嘱使用与目录药品名称和剂型相同的非处方药品发生的费用，可以由统筹基金按规定支付。</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三）“备注”栏中对部分药品规定了限定支付范围，是指符合规定情况下参保人员发生的药品费用，可按规定由基本医疗保险或生育保险基金支付。工伤保险支付药品费用时不受限定支付范围限制。经办机构在支付费用前，应核查相关证据。</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1.“备注”一栏标有“▲”的药品，仅限参保人员门诊使用和定点药店购药时医保基金方予支付。</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2.“备注”一栏标注了适应症的药品，是指参保人员出现适应症限定范围情况并有相应的临床体征及症状、实验室和辅助检查证据以及相应的临床诊断依据，使用该药品所发生的费用可按规定支付。适应症限定不是对药品法定说明书的修改，临床医师应根据病情合理用药。</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3.“备注”一栏标注了二线用药的药品，支付时应有使用一线药品无效或不能耐受的证据。</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（十四）协议期内谈判药品部分的“备注”规定该药品的限定支付范围、规格及支付标准，支付标准包括医保基金和参保人员共同支付的全部费用。</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（十五）“备注”一栏标为“限工伤保险”的药品，是仅限于工伤保险基金支付的药品，不属于基本医疗保险、生育保险基金支付范围。</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（十六）“备注”一栏标为“限生育保险”的药品，是生育保险基金可以支付的药品，城乡居民参保人员发生的与生育有关的费用时也可支付。</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（十七）国家免费治疗艾滋病方案内的药品，不属于国家免费治疗艾滋病范围的参保人员使用治疗艾滋病时，基本医疗保险基金可按规定支付费用。</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国家公共卫生项目涉及的抗结核病和抗血吸虫病药物，不属于国家公共卫生支付范围的参保人员使用时，基本医疗保险基金可按规定支付费用。</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（十八）参保人员使用西药部分第254-266号“胃肠外营养剂”，需经营养风险筛查，明确具有营养风险时可予支付。消化道有功能患者使用时不予支付。</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(十九）参保人员使用西药部分“肠内营养剂”第1206-1219号，需经营养风险筛查，明确具有营养风险，且应为不能经正常饮食补充足够营养的重症住院患者时方予支付。</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（二十）中药饮片部分标注“□”的指单独使用时不予支付，且全部由这些饮片组成的处方也不予支付。</w:t>
      </w:r>
    </w:p>
    <w:p>
      <w:pPr>
        <w:adjustRightInd w:val="0"/>
        <w:snapToGrid w:val="0"/>
        <w:spacing w:line="360" w:lineRule="auto"/>
        <w:ind w:firstLine="640" w:firstLineChars="200"/>
        <w:rPr>
          <w:rFonts w:ascii="黑体" w:eastAsia="黑体"/>
          <w:bCs/>
          <w:sz w:val="32"/>
          <w:szCs w:val="28"/>
        </w:rPr>
      </w:pPr>
      <w:r>
        <w:rPr>
          <w:rFonts w:hint="eastAsia" w:ascii="黑体" w:eastAsia="黑体"/>
          <w:bCs/>
          <w:sz w:val="32"/>
          <w:szCs w:val="28"/>
        </w:rPr>
        <w:t>五、其他</w:t>
      </w:r>
    </w:p>
    <w:p>
      <w:pPr>
        <w:adjustRightInd w:val="0"/>
        <w:snapToGrid w:val="0"/>
        <w:spacing w:line="360" w:lineRule="auto"/>
        <w:ind w:firstLine="640" w:firstLineChars="200"/>
        <w:rPr>
          <w:rFonts w:ascii="仿宋" w:hAnsi="仿宋" w:eastAsia="仿宋"/>
          <w:bCs/>
          <w:sz w:val="32"/>
          <w:szCs w:val="28"/>
        </w:rPr>
      </w:pPr>
      <w:r>
        <w:rPr>
          <w:rFonts w:hint="eastAsia" w:ascii="仿宋" w:hAnsi="仿宋" w:eastAsia="仿宋"/>
          <w:bCs/>
          <w:sz w:val="32"/>
          <w:szCs w:val="28"/>
        </w:rPr>
        <w:t>（二十一）中成药部分药品处方中含有的“麝香”是指人工麝香，“牛黄”是指人工牛黄</w:t>
      </w:r>
      <w:r>
        <w:rPr>
          <w:rFonts w:hint="eastAsia" w:ascii="仿宋" w:hAnsi="仿宋" w:eastAsia="仿宋"/>
          <w:bCs/>
          <w:sz w:val="32"/>
          <w:szCs w:val="28"/>
          <w:lang w:eastAsia="zh-CN"/>
        </w:rPr>
        <w:t>、培植牛黄和体外培育牛黄</w:t>
      </w:r>
      <w:r>
        <w:rPr>
          <w:rFonts w:hint="eastAsia" w:ascii="仿宋" w:hAnsi="仿宋" w:eastAsia="仿宋"/>
          <w:bCs/>
          <w:sz w:val="32"/>
          <w:szCs w:val="28"/>
        </w:rPr>
        <w:t>。含天然麝香</w:t>
      </w:r>
      <w:r>
        <w:rPr>
          <w:rFonts w:hint="eastAsia" w:ascii="仿宋" w:hAnsi="仿宋" w:eastAsia="仿宋"/>
          <w:bCs/>
          <w:sz w:val="32"/>
          <w:szCs w:val="28"/>
          <w:lang w:eastAsia="zh-CN"/>
        </w:rPr>
        <w:t>和</w:t>
      </w:r>
      <w:r>
        <w:rPr>
          <w:rFonts w:hint="eastAsia" w:ascii="仿宋" w:hAnsi="仿宋" w:eastAsia="仿宋"/>
          <w:bCs/>
          <w:sz w:val="32"/>
          <w:szCs w:val="28"/>
        </w:rPr>
        <w:t>天然牛黄</w:t>
      </w:r>
      <w:bookmarkStart w:id="0" w:name="_GoBack"/>
      <w:bookmarkEnd w:id="0"/>
      <w:r>
        <w:rPr>
          <w:rFonts w:hint="eastAsia" w:ascii="仿宋" w:hAnsi="仿宋" w:eastAsia="仿宋"/>
          <w:bCs/>
          <w:sz w:val="32"/>
          <w:szCs w:val="28"/>
        </w:rPr>
        <w:t>药品不予支付。</w:t>
      </w:r>
    </w:p>
    <w:sectPr>
      <w:footerReference r:id="rId6" w:type="first"/>
      <w:footerReference r:id="rId5"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2</w:t>
    </w:r>
    <w:r>
      <w:rPr>
        <w:lang w:val="zh-CN"/>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2574"/>
    <w:rsid w:val="00016361"/>
    <w:rsid w:val="000569B9"/>
    <w:rsid w:val="00080BDE"/>
    <w:rsid w:val="000A2A82"/>
    <w:rsid w:val="000B65FB"/>
    <w:rsid w:val="000C4203"/>
    <w:rsid w:val="000D4828"/>
    <w:rsid w:val="000E1CC4"/>
    <w:rsid w:val="000E4BE4"/>
    <w:rsid w:val="001100BA"/>
    <w:rsid w:val="00110AAA"/>
    <w:rsid w:val="001269B1"/>
    <w:rsid w:val="00134659"/>
    <w:rsid w:val="00190781"/>
    <w:rsid w:val="00196A84"/>
    <w:rsid w:val="001B281A"/>
    <w:rsid w:val="001B586C"/>
    <w:rsid w:val="001C5E9F"/>
    <w:rsid w:val="001D4730"/>
    <w:rsid w:val="00207435"/>
    <w:rsid w:val="00210E60"/>
    <w:rsid w:val="00211B9F"/>
    <w:rsid w:val="00216CBB"/>
    <w:rsid w:val="00265839"/>
    <w:rsid w:val="00271E1A"/>
    <w:rsid w:val="00295837"/>
    <w:rsid w:val="002B47C5"/>
    <w:rsid w:val="002B7DAB"/>
    <w:rsid w:val="002E202E"/>
    <w:rsid w:val="002F22FF"/>
    <w:rsid w:val="003018EE"/>
    <w:rsid w:val="00366912"/>
    <w:rsid w:val="003A2BD0"/>
    <w:rsid w:val="003A595E"/>
    <w:rsid w:val="003B0BDC"/>
    <w:rsid w:val="003B645A"/>
    <w:rsid w:val="003D34D8"/>
    <w:rsid w:val="003E73A2"/>
    <w:rsid w:val="003F3508"/>
    <w:rsid w:val="00412303"/>
    <w:rsid w:val="00413CAD"/>
    <w:rsid w:val="00416920"/>
    <w:rsid w:val="00442AC5"/>
    <w:rsid w:val="00450EFB"/>
    <w:rsid w:val="0046626E"/>
    <w:rsid w:val="00466A57"/>
    <w:rsid w:val="00473C1A"/>
    <w:rsid w:val="0047722B"/>
    <w:rsid w:val="004849FB"/>
    <w:rsid w:val="0049117D"/>
    <w:rsid w:val="004F693F"/>
    <w:rsid w:val="00514584"/>
    <w:rsid w:val="005177BA"/>
    <w:rsid w:val="00561FFF"/>
    <w:rsid w:val="00571648"/>
    <w:rsid w:val="00577B95"/>
    <w:rsid w:val="005C7FF6"/>
    <w:rsid w:val="005F3795"/>
    <w:rsid w:val="00601AAE"/>
    <w:rsid w:val="00607D92"/>
    <w:rsid w:val="006138D2"/>
    <w:rsid w:val="006212DE"/>
    <w:rsid w:val="0062588C"/>
    <w:rsid w:val="00634E38"/>
    <w:rsid w:val="00654A8C"/>
    <w:rsid w:val="006559CA"/>
    <w:rsid w:val="00657D75"/>
    <w:rsid w:val="00663229"/>
    <w:rsid w:val="00667E58"/>
    <w:rsid w:val="00672A2A"/>
    <w:rsid w:val="00673ADF"/>
    <w:rsid w:val="00692F91"/>
    <w:rsid w:val="00695EAC"/>
    <w:rsid w:val="006A04D9"/>
    <w:rsid w:val="006A7AD5"/>
    <w:rsid w:val="006B22DD"/>
    <w:rsid w:val="006C50FD"/>
    <w:rsid w:val="006C54E6"/>
    <w:rsid w:val="006E13AB"/>
    <w:rsid w:val="00707061"/>
    <w:rsid w:val="00720BCC"/>
    <w:rsid w:val="00767F34"/>
    <w:rsid w:val="007702E1"/>
    <w:rsid w:val="00772F45"/>
    <w:rsid w:val="00776531"/>
    <w:rsid w:val="007C5B58"/>
    <w:rsid w:val="007D0871"/>
    <w:rsid w:val="007D5EBC"/>
    <w:rsid w:val="007D6C50"/>
    <w:rsid w:val="007E045C"/>
    <w:rsid w:val="007E66DB"/>
    <w:rsid w:val="00802786"/>
    <w:rsid w:val="00807B43"/>
    <w:rsid w:val="00812FB9"/>
    <w:rsid w:val="008273FA"/>
    <w:rsid w:val="00837267"/>
    <w:rsid w:val="0085190D"/>
    <w:rsid w:val="00857029"/>
    <w:rsid w:val="00861539"/>
    <w:rsid w:val="00867883"/>
    <w:rsid w:val="00891E38"/>
    <w:rsid w:val="00893812"/>
    <w:rsid w:val="008B4B4F"/>
    <w:rsid w:val="008C46FE"/>
    <w:rsid w:val="008C4E05"/>
    <w:rsid w:val="009168BC"/>
    <w:rsid w:val="0092714C"/>
    <w:rsid w:val="009409FB"/>
    <w:rsid w:val="0095579B"/>
    <w:rsid w:val="00962298"/>
    <w:rsid w:val="0096674E"/>
    <w:rsid w:val="009857B2"/>
    <w:rsid w:val="009939A5"/>
    <w:rsid w:val="0099429C"/>
    <w:rsid w:val="009961E0"/>
    <w:rsid w:val="009B08DA"/>
    <w:rsid w:val="009F20FF"/>
    <w:rsid w:val="00A232BD"/>
    <w:rsid w:val="00A25080"/>
    <w:rsid w:val="00A416DA"/>
    <w:rsid w:val="00A66374"/>
    <w:rsid w:val="00A83876"/>
    <w:rsid w:val="00A95CD1"/>
    <w:rsid w:val="00AA65C8"/>
    <w:rsid w:val="00AC6292"/>
    <w:rsid w:val="00AD2574"/>
    <w:rsid w:val="00AD2B78"/>
    <w:rsid w:val="00AD765F"/>
    <w:rsid w:val="00B04545"/>
    <w:rsid w:val="00B14C7C"/>
    <w:rsid w:val="00B20F70"/>
    <w:rsid w:val="00B3093B"/>
    <w:rsid w:val="00B508AC"/>
    <w:rsid w:val="00B704D3"/>
    <w:rsid w:val="00B86894"/>
    <w:rsid w:val="00B90312"/>
    <w:rsid w:val="00B91D20"/>
    <w:rsid w:val="00BB7A96"/>
    <w:rsid w:val="00BD6F50"/>
    <w:rsid w:val="00BE05BC"/>
    <w:rsid w:val="00BE5AE2"/>
    <w:rsid w:val="00BE7172"/>
    <w:rsid w:val="00BF1227"/>
    <w:rsid w:val="00BF3F37"/>
    <w:rsid w:val="00C06097"/>
    <w:rsid w:val="00C30F17"/>
    <w:rsid w:val="00C3592F"/>
    <w:rsid w:val="00C42AF9"/>
    <w:rsid w:val="00CD01E9"/>
    <w:rsid w:val="00CD754E"/>
    <w:rsid w:val="00CE2732"/>
    <w:rsid w:val="00CE3586"/>
    <w:rsid w:val="00D16815"/>
    <w:rsid w:val="00D21F1F"/>
    <w:rsid w:val="00D26202"/>
    <w:rsid w:val="00D358F1"/>
    <w:rsid w:val="00D36CCC"/>
    <w:rsid w:val="00D43374"/>
    <w:rsid w:val="00D8035A"/>
    <w:rsid w:val="00D90D47"/>
    <w:rsid w:val="00D95CBC"/>
    <w:rsid w:val="00DA5B42"/>
    <w:rsid w:val="00DB06D8"/>
    <w:rsid w:val="00DD18B7"/>
    <w:rsid w:val="00DE0BAE"/>
    <w:rsid w:val="00DE544D"/>
    <w:rsid w:val="00DF7790"/>
    <w:rsid w:val="00E01223"/>
    <w:rsid w:val="00E05781"/>
    <w:rsid w:val="00E21866"/>
    <w:rsid w:val="00E30A54"/>
    <w:rsid w:val="00E32B56"/>
    <w:rsid w:val="00E45167"/>
    <w:rsid w:val="00E461EA"/>
    <w:rsid w:val="00E63C63"/>
    <w:rsid w:val="00E6496B"/>
    <w:rsid w:val="00E7166D"/>
    <w:rsid w:val="00E854B3"/>
    <w:rsid w:val="00E942B4"/>
    <w:rsid w:val="00EB66DA"/>
    <w:rsid w:val="00EC4970"/>
    <w:rsid w:val="00EE4FE3"/>
    <w:rsid w:val="00EF49BF"/>
    <w:rsid w:val="00F2151B"/>
    <w:rsid w:val="00F3190F"/>
    <w:rsid w:val="00F35DF8"/>
    <w:rsid w:val="00F62383"/>
    <w:rsid w:val="00F83B4B"/>
    <w:rsid w:val="00FE11FF"/>
    <w:rsid w:val="00FE2EE9"/>
    <w:rsid w:val="00FF39D8"/>
    <w:rsid w:val="033604BA"/>
    <w:rsid w:val="053D38B1"/>
    <w:rsid w:val="05475F68"/>
    <w:rsid w:val="0BEF1CCF"/>
    <w:rsid w:val="13363593"/>
    <w:rsid w:val="142C498C"/>
    <w:rsid w:val="16DD5592"/>
    <w:rsid w:val="1A47688C"/>
    <w:rsid w:val="1B7A4EE9"/>
    <w:rsid w:val="1D72538C"/>
    <w:rsid w:val="1EEB78C7"/>
    <w:rsid w:val="1FF21256"/>
    <w:rsid w:val="2737397C"/>
    <w:rsid w:val="2798520F"/>
    <w:rsid w:val="28CA3216"/>
    <w:rsid w:val="2A172431"/>
    <w:rsid w:val="2AEA7895"/>
    <w:rsid w:val="2C0B5E56"/>
    <w:rsid w:val="301C5FB5"/>
    <w:rsid w:val="32E310EA"/>
    <w:rsid w:val="337944B8"/>
    <w:rsid w:val="33D729B8"/>
    <w:rsid w:val="34147816"/>
    <w:rsid w:val="34EF1F4A"/>
    <w:rsid w:val="35643657"/>
    <w:rsid w:val="3578077E"/>
    <w:rsid w:val="368B1B36"/>
    <w:rsid w:val="38EA11EC"/>
    <w:rsid w:val="3C442152"/>
    <w:rsid w:val="3E59281A"/>
    <w:rsid w:val="46FF0623"/>
    <w:rsid w:val="48B80352"/>
    <w:rsid w:val="4A15690F"/>
    <w:rsid w:val="4D735A21"/>
    <w:rsid w:val="4E5B3AEC"/>
    <w:rsid w:val="4E944D5D"/>
    <w:rsid w:val="4EA72ABD"/>
    <w:rsid w:val="4EB46CAF"/>
    <w:rsid w:val="544473CD"/>
    <w:rsid w:val="55471441"/>
    <w:rsid w:val="559B4BC4"/>
    <w:rsid w:val="58264B6A"/>
    <w:rsid w:val="5B0C452E"/>
    <w:rsid w:val="5B641961"/>
    <w:rsid w:val="5B773294"/>
    <w:rsid w:val="5DFA40D8"/>
    <w:rsid w:val="5E41356F"/>
    <w:rsid w:val="5EE52CB6"/>
    <w:rsid w:val="5F7B06EE"/>
    <w:rsid w:val="611F3EFA"/>
    <w:rsid w:val="62C92ECD"/>
    <w:rsid w:val="65F862FA"/>
    <w:rsid w:val="67497284"/>
    <w:rsid w:val="6A6E2F32"/>
    <w:rsid w:val="6E29789A"/>
    <w:rsid w:val="70A83F3A"/>
    <w:rsid w:val="71861C92"/>
    <w:rsid w:val="72157139"/>
    <w:rsid w:val="73340494"/>
    <w:rsid w:val="73FE37B2"/>
    <w:rsid w:val="75021059"/>
    <w:rsid w:val="76D260D7"/>
    <w:rsid w:val="78565449"/>
    <w:rsid w:val="7A684D7C"/>
    <w:rsid w:val="7D9307C8"/>
    <w:rsid w:val="7FE86D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脚 Char"/>
    <w:link w:val="3"/>
    <w:qFormat/>
    <w:uiPriority w:val="99"/>
    <w:rPr>
      <w:sz w:val="18"/>
      <w:szCs w:val="18"/>
    </w:rPr>
  </w:style>
  <w:style w:type="character" w:customStyle="1" w:styleId="8">
    <w:name w:val="页眉 Char"/>
    <w:link w:val="4"/>
    <w:semiHidden/>
    <w:qFormat/>
    <w:uiPriority w:val="99"/>
    <w:rPr>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EB750-CC92-4F7C-953B-238D61EEEB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1950</Words>
  <Characters>1989</Characters>
  <Lines>86</Lines>
  <Paragraphs>30</Paragraphs>
  <TotalTime>26</TotalTime>
  <ScaleCrop>false</ScaleCrop>
  <LinksUpToDate>false</LinksUpToDate>
  <CharactersWithSpaces>3909</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2019-09-03T03:03:00Z</dcterms:created>
  <dc:creator>user</dc:creator>
  <cp:lastModifiedBy>鹿谜。</cp:lastModifiedBy>
  <cp:lastPrinted>2019-08-20T06:57:00Z</cp:lastPrinted>
  <dcterms:modified xsi:type="dcterms:W3CDTF">2019-12-18T08:36:38Z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