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00F5">
      <w:pPr>
        <w:spacing w:line="240" w:lineRule="auto"/>
        <w:jc w:val="center"/>
        <w:rPr>
          <w:rFonts w:ascii="仿宋_GB2312"/>
          <w:b/>
          <w:sz w:val="52"/>
          <w:szCs w:val="52"/>
        </w:rPr>
      </w:pPr>
    </w:p>
    <w:p w14:paraId="6255B298">
      <w:pPr>
        <w:spacing w:line="240" w:lineRule="auto"/>
        <w:jc w:val="center"/>
        <w:rPr>
          <w:rFonts w:ascii="仿宋_GB2312"/>
          <w:b/>
          <w:sz w:val="52"/>
          <w:szCs w:val="52"/>
        </w:rPr>
      </w:pPr>
    </w:p>
    <w:p w14:paraId="02F74A91">
      <w:pPr>
        <w:spacing w:line="240" w:lineRule="auto"/>
        <w:jc w:val="center"/>
        <w:rPr>
          <w:rFonts w:ascii="仿宋_GB2312"/>
          <w:b/>
          <w:sz w:val="52"/>
          <w:szCs w:val="52"/>
        </w:rPr>
      </w:pPr>
    </w:p>
    <w:p w14:paraId="4585C950">
      <w:pPr>
        <w:spacing w:line="240" w:lineRule="auto"/>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三明市低碳发展规划</w:t>
      </w:r>
    </w:p>
    <w:p w14:paraId="581C9E6E">
      <w:pPr>
        <w:spacing w:line="240" w:lineRule="auto"/>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w:t>
      </w:r>
      <w:r>
        <w:rPr>
          <w:rFonts w:ascii="方正小标宋简体" w:hAnsi="华文中宋" w:eastAsia="方正小标宋简体"/>
          <w:b/>
          <w:sz w:val="44"/>
          <w:szCs w:val="44"/>
        </w:rPr>
        <w:t>2018-2022</w:t>
      </w:r>
      <w:r>
        <w:rPr>
          <w:rFonts w:hint="eastAsia" w:ascii="方正小标宋简体" w:hAnsi="华文中宋" w:eastAsia="方正小标宋简体"/>
          <w:b/>
          <w:sz w:val="44"/>
          <w:szCs w:val="44"/>
        </w:rPr>
        <w:t>年）</w:t>
      </w:r>
    </w:p>
    <w:p w14:paraId="646F7901">
      <w:pPr>
        <w:spacing w:line="240" w:lineRule="auto"/>
        <w:jc w:val="center"/>
        <w:rPr>
          <w:rFonts w:ascii="方正小标宋简体" w:hAnsi="华文中宋" w:eastAsia="方正小标宋简体"/>
          <w:b/>
          <w:sz w:val="44"/>
          <w:szCs w:val="44"/>
        </w:rPr>
      </w:pPr>
    </w:p>
    <w:p w14:paraId="1B5FDE7F">
      <w:pPr>
        <w:spacing w:line="240" w:lineRule="auto"/>
        <w:rPr>
          <w:rFonts w:ascii="仿宋_GB2312"/>
          <w:b/>
          <w:sz w:val="52"/>
          <w:szCs w:val="52"/>
        </w:rPr>
      </w:pPr>
    </w:p>
    <w:p w14:paraId="27437C90">
      <w:pPr>
        <w:spacing w:line="240" w:lineRule="auto"/>
        <w:jc w:val="center"/>
        <w:rPr>
          <w:rFonts w:ascii="仿宋_GB2312"/>
          <w:b/>
          <w:sz w:val="48"/>
          <w:szCs w:val="48"/>
        </w:rPr>
      </w:pPr>
    </w:p>
    <w:p w14:paraId="0A11C4FA">
      <w:pPr>
        <w:rPr>
          <w:rFonts w:ascii="仿宋_GB2312"/>
          <w:sz w:val="30"/>
          <w:szCs w:val="44"/>
          <w:lang w:val="zh-CN"/>
        </w:rPr>
      </w:pPr>
    </w:p>
    <w:p w14:paraId="063AA65C">
      <w:pPr>
        <w:rPr>
          <w:rFonts w:ascii="仿宋_GB2312"/>
          <w:sz w:val="30"/>
          <w:szCs w:val="44"/>
          <w:lang w:val="zh-CN"/>
        </w:rPr>
      </w:pPr>
    </w:p>
    <w:p w14:paraId="3DDAD690">
      <w:pPr>
        <w:rPr>
          <w:rFonts w:ascii="仿宋_GB2312"/>
          <w:sz w:val="30"/>
          <w:szCs w:val="44"/>
          <w:lang w:val="zh-CN"/>
        </w:rPr>
      </w:pPr>
    </w:p>
    <w:p w14:paraId="158EE990">
      <w:pPr>
        <w:rPr>
          <w:rFonts w:ascii="仿宋_GB2312"/>
          <w:sz w:val="30"/>
          <w:szCs w:val="44"/>
          <w:lang w:val="zh-CN"/>
        </w:rPr>
      </w:pPr>
    </w:p>
    <w:p w14:paraId="41BF5830">
      <w:pPr>
        <w:rPr>
          <w:rFonts w:ascii="仿宋_GB2312"/>
          <w:sz w:val="30"/>
          <w:szCs w:val="44"/>
          <w:lang w:val="zh-CN"/>
        </w:rPr>
      </w:pPr>
    </w:p>
    <w:p w14:paraId="5685DC72">
      <w:pPr>
        <w:rPr>
          <w:rFonts w:ascii="仿宋_GB2312"/>
          <w:sz w:val="30"/>
          <w:szCs w:val="44"/>
          <w:lang w:val="zh-CN"/>
        </w:rPr>
      </w:pPr>
    </w:p>
    <w:p w14:paraId="5D133CD6">
      <w:pPr>
        <w:rPr>
          <w:rFonts w:ascii="仿宋_GB2312"/>
          <w:b/>
          <w:sz w:val="44"/>
          <w:szCs w:val="44"/>
          <w:lang w:val="zh-CN"/>
        </w:rPr>
      </w:pPr>
    </w:p>
    <w:p w14:paraId="1B4BEDF9">
      <w:pPr>
        <w:jc w:val="center"/>
        <w:rPr>
          <w:rFonts w:ascii="仿宋_GB2312" w:hAnsi="华文中宋"/>
          <w:b/>
          <w:bCs/>
          <w:szCs w:val="32"/>
          <w:lang w:val="zh-CN"/>
        </w:rPr>
      </w:pPr>
    </w:p>
    <w:p w14:paraId="3EBF0AD4">
      <w:pPr>
        <w:jc w:val="center"/>
        <w:rPr>
          <w:rFonts w:ascii="仿宋_GB2312" w:hAnsi="华文中宋"/>
          <w:b/>
          <w:bCs/>
          <w:szCs w:val="32"/>
          <w:lang w:val="zh-CN"/>
        </w:rPr>
      </w:pPr>
      <w:r>
        <w:rPr>
          <w:rFonts w:hint="eastAsia" w:ascii="仿宋_GB2312" w:hAnsi="华文中宋"/>
          <w:b/>
          <w:bCs/>
          <w:szCs w:val="32"/>
          <w:lang w:val="zh-CN"/>
        </w:rPr>
        <w:t>二</w:t>
      </w:r>
      <w:r>
        <w:rPr>
          <w:rFonts w:hint="eastAsia" w:ascii="微软雅黑" w:hAnsi="微软雅黑" w:eastAsia="微软雅黑" w:cs="微软雅黑"/>
          <w:b/>
          <w:bCs/>
          <w:szCs w:val="32"/>
          <w:lang w:val="zh-CN"/>
        </w:rPr>
        <w:t>〇</w:t>
      </w:r>
      <w:r>
        <w:rPr>
          <w:rFonts w:hint="eastAsia" w:ascii="仿宋_GB2312" w:hAnsi="华文中宋"/>
          <w:b/>
          <w:bCs/>
          <w:szCs w:val="32"/>
          <w:lang w:val="zh-CN"/>
        </w:rPr>
        <w:t>一九年十一月</w:t>
      </w:r>
    </w:p>
    <w:p w14:paraId="02688929">
      <w:pPr>
        <w:adjustRightInd w:val="0"/>
        <w:snapToGrid w:val="0"/>
        <w:rPr>
          <w:rFonts w:ascii="仿宋_GB2312"/>
          <w:b/>
          <w:sz w:val="44"/>
          <w:szCs w:val="44"/>
          <w:lang w:val="zh-CN"/>
        </w:rPr>
      </w:pPr>
    </w:p>
    <w:p w14:paraId="1C793702">
      <w:pPr>
        <w:adjustRightInd w:val="0"/>
        <w:snapToGrid w:val="0"/>
        <w:spacing w:line="360" w:lineRule="auto"/>
        <w:jc w:val="center"/>
        <w:rPr>
          <w:rFonts w:ascii="华文中宋" w:hAnsi="华文中宋" w:eastAsia="华文中宋"/>
          <w:b/>
          <w:sz w:val="44"/>
          <w:szCs w:val="44"/>
          <w:lang w:val="zh-CN"/>
        </w:rPr>
        <w:sectPr>
          <w:headerReference r:id="rId5" w:type="default"/>
          <w:headerReference r:id="rId6" w:type="even"/>
          <w:footerReference r:id="rId7" w:type="even"/>
          <w:type w:val="continuous"/>
          <w:pgSz w:w="11906" w:h="16838"/>
          <w:pgMar w:top="1701" w:right="1418" w:bottom="1418" w:left="1474" w:header="851" w:footer="992" w:gutter="0"/>
          <w:cols w:space="720" w:num="1"/>
          <w:docGrid w:type="lines" w:linePitch="312" w:charSpace="0"/>
        </w:sectPr>
      </w:pPr>
    </w:p>
    <w:p w14:paraId="6AE4E64A">
      <w:pPr>
        <w:spacing w:line="240" w:lineRule="auto"/>
        <w:jc w:val="center"/>
        <w:rPr>
          <w:rFonts w:ascii="华文中宋" w:hAnsi="华文中宋" w:eastAsia="华文中宋"/>
          <w:b/>
          <w:sz w:val="36"/>
          <w:szCs w:val="36"/>
        </w:rPr>
      </w:pPr>
      <w:bookmarkStart w:id="0" w:name="_Toc415435069"/>
      <w:bookmarkStart w:id="1" w:name="_Toc415405552"/>
      <w:bookmarkStart w:id="2" w:name="_Toc415405632"/>
      <w:bookmarkStart w:id="3" w:name="_Toc415386868"/>
      <w:r>
        <w:rPr>
          <w:rFonts w:hint="eastAsia" w:ascii="华文中宋" w:hAnsi="华文中宋" w:eastAsia="华文中宋"/>
          <w:b/>
          <w:sz w:val="36"/>
          <w:szCs w:val="36"/>
        </w:rPr>
        <w:t>前言</w:t>
      </w:r>
    </w:p>
    <w:p w14:paraId="4E830EC7">
      <w:pPr>
        <w:spacing w:line="240" w:lineRule="atLeast"/>
        <w:jc w:val="center"/>
        <w:rPr>
          <w:rFonts w:ascii="华文中宋" w:hAnsi="华文中宋" w:eastAsia="华文中宋"/>
          <w:b/>
          <w:sz w:val="21"/>
        </w:rPr>
      </w:pPr>
    </w:p>
    <w:p w14:paraId="06DABB4B">
      <w:pPr>
        <w:ind w:firstLine="640" w:firstLineChars="200"/>
        <w:rPr>
          <w:rFonts w:ascii="仿宋_GB2312" w:cs="宋体"/>
          <w:kern w:val="0"/>
          <w:szCs w:val="32"/>
        </w:rPr>
      </w:pPr>
      <w:r>
        <w:rPr>
          <w:rFonts w:hint="eastAsia" w:ascii="仿宋_GB2312" w:cs="宋体"/>
          <w:kern w:val="0"/>
          <w:szCs w:val="32"/>
        </w:rPr>
        <w:t>生态文明建设是新时代中国特色社会主义事业的重要内容，关系人民福祉，关乎民族未来，事关“两个一百年”奋斗目标和中华民族伟大复兴中国梦的实现。而积极应对气候变化、着力推动低碳发展，是我国经济社会发展的一项重大战略，更是加快推进生态文明建设的重要途径。党的十八届五中全会创新性提出“创新、协调、绿色、开放、共享”五大发展理念，勾勒出“十三五”时期的绿色发展蓝图。</w:t>
      </w:r>
      <w:r>
        <w:rPr>
          <w:rFonts w:ascii="仿宋_GB2312" w:cs="宋体"/>
          <w:kern w:val="0"/>
          <w:szCs w:val="32"/>
        </w:rPr>
        <w:t>2016</w:t>
      </w:r>
      <w:r>
        <w:rPr>
          <w:rFonts w:hint="eastAsia" w:ascii="仿宋_GB2312" w:cs="宋体"/>
          <w:kern w:val="0"/>
          <w:szCs w:val="32"/>
        </w:rPr>
        <w:t>年</w:t>
      </w:r>
      <w:r>
        <w:rPr>
          <w:rFonts w:ascii="仿宋_GB2312" w:cs="宋体"/>
          <w:kern w:val="0"/>
          <w:szCs w:val="32"/>
        </w:rPr>
        <w:t>10</w:t>
      </w:r>
      <w:r>
        <w:rPr>
          <w:rFonts w:hint="eastAsia" w:ascii="仿宋_GB2312" w:cs="宋体"/>
          <w:kern w:val="0"/>
          <w:szCs w:val="32"/>
        </w:rPr>
        <w:t>月，国务院印发《“十三五”控制温室气体排放工作方案》（国发〔</w:t>
      </w:r>
      <w:r>
        <w:rPr>
          <w:rFonts w:ascii="仿宋_GB2312" w:cs="宋体"/>
          <w:kern w:val="0"/>
          <w:szCs w:val="32"/>
        </w:rPr>
        <w:t>2016</w:t>
      </w:r>
      <w:r>
        <w:rPr>
          <w:rFonts w:hint="eastAsia" w:ascii="仿宋_GB2312" w:cs="宋体"/>
          <w:kern w:val="0"/>
          <w:szCs w:val="32"/>
        </w:rPr>
        <w:t>〕</w:t>
      </w:r>
      <w:r>
        <w:rPr>
          <w:rFonts w:ascii="仿宋_GB2312" w:cs="宋体"/>
          <w:kern w:val="0"/>
          <w:szCs w:val="32"/>
        </w:rPr>
        <w:t>61</w:t>
      </w:r>
      <w:r>
        <w:rPr>
          <w:rFonts w:hint="eastAsia" w:ascii="仿宋_GB2312" w:cs="宋体"/>
          <w:kern w:val="0"/>
          <w:szCs w:val="32"/>
        </w:rPr>
        <w:t>号）（以下简称《方案》），要求“把低碳发展作为我国经济社会发展的重大战略和生态文明建设的重要途径，采取积极措施，有效控制温室气体排放”。</w:t>
      </w:r>
      <w:r>
        <w:rPr>
          <w:rFonts w:ascii="仿宋_GB2312" w:cs="宋体"/>
          <w:kern w:val="0"/>
          <w:szCs w:val="32"/>
        </w:rPr>
        <w:t>2017</w:t>
      </w:r>
      <w:r>
        <w:rPr>
          <w:rFonts w:hint="eastAsia" w:ascii="仿宋_GB2312" w:cs="宋体"/>
          <w:kern w:val="0"/>
          <w:szCs w:val="32"/>
        </w:rPr>
        <w:t>年</w:t>
      </w:r>
      <w:r>
        <w:rPr>
          <w:rFonts w:ascii="仿宋_GB2312" w:cs="宋体"/>
          <w:kern w:val="0"/>
          <w:szCs w:val="32"/>
        </w:rPr>
        <w:t>10</w:t>
      </w:r>
      <w:r>
        <w:rPr>
          <w:rFonts w:hint="eastAsia" w:ascii="仿宋_GB2312" w:cs="宋体"/>
          <w:kern w:val="0"/>
          <w:szCs w:val="32"/>
        </w:rPr>
        <w:t>月，习近平总书记在十九大报告中指出，要加快生态文明体制改革，建设美丽中国，推动绿色发展，建立健全绿色低碳循环发展的经济体系。以上述为代表的一系列方针政策，为我国加快推进低碳发展奠定了有力的政策基础。</w:t>
      </w:r>
    </w:p>
    <w:p w14:paraId="1674AB5F">
      <w:pPr>
        <w:ind w:firstLine="640" w:firstLineChars="200"/>
        <w:rPr>
          <w:rFonts w:ascii="仿宋_GB2312" w:cs="宋体"/>
          <w:kern w:val="0"/>
          <w:szCs w:val="32"/>
        </w:rPr>
      </w:pPr>
      <w:r>
        <w:rPr>
          <w:rFonts w:hint="eastAsia" w:ascii="仿宋_GB2312" w:cs="宋体"/>
          <w:kern w:val="0"/>
          <w:szCs w:val="32"/>
        </w:rPr>
        <w:t>为贯彻落实《方案》要求，福建省人民政府于</w:t>
      </w:r>
      <w:r>
        <w:rPr>
          <w:rFonts w:ascii="仿宋_GB2312" w:cs="宋体"/>
          <w:kern w:val="0"/>
          <w:szCs w:val="32"/>
        </w:rPr>
        <w:t>2017</w:t>
      </w:r>
      <w:r>
        <w:rPr>
          <w:rFonts w:hint="eastAsia" w:ascii="仿宋_GB2312" w:cs="宋体"/>
          <w:kern w:val="0"/>
          <w:szCs w:val="32"/>
        </w:rPr>
        <w:t>年</w:t>
      </w:r>
      <w:r>
        <w:rPr>
          <w:rFonts w:ascii="仿宋_GB2312" w:cs="宋体"/>
          <w:kern w:val="0"/>
          <w:szCs w:val="32"/>
        </w:rPr>
        <w:t>3</w:t>
      </w:r>
      <w:r>
        <w:rPr>
          <w:rFonts w:hint="eastAsia" w:ascii="仿宋_GB2312" w:cs="宋体"/>
          <w:kern w:val="0"/>
          <w:szCs w:val="32"/>
        </w:rPr>
        <w:t>月印发《福建省“十三五”控制温室气体排放工作方案》（闽政〔</w:t>
      </w:r>
      <w:r>
        <w:rPr>
          <w:rFonts w:ascii="仿宋_GB2312" w:cs="宋体"/>
          <w:kern w:val="0"/>
          <w:szCs w:val="32"/>
        </w:rPr>
        <w:t>2017</w:t>
      </w:r>
      <w:r>
        <w:rPr>
          <w:rFonts w:hint="eastAsia" w:ascii="仿宋_GB2312" w:cs="宋体"/>
          <w:kern w:val="0"/>
          <w:szCs w:val="32"/>
        </w:rPr>
        <w:t>〕</w:t>
      </w:r>
      <w:r>
        <w:rPr>
          <w:rFonts w:ascii="仿宋_GB2312" w:cs="宋体"/>
          <w:kern w:val="0"/>
          <w:szCs w:val="32"/>
        </w:rPr>
        <w:t>4</w:t>
      </w:r>
      <w:r>
        <w:rPr>
          <w:rFonts w:hint="eastAsia" w:ascii="仿宋_GB2312" w:cs="宋体"/>
          <w:kern w:val="0"/>
          <w:szCs w:val="32"/>
        </w:rPr>
        <w:t>号），统筹部署节能降碳各项工作安排，并将碳强度控制目标分解落实到各区市层面，其中我市碳排放强度下降目标为</w:t>
      </w:r>
      <w:r>
        <w:rPr>
          <w:rFonts w:ascii="仿宋_GB2312" w:cs="宋体"/>
          <w:kern w:val="0"/>
          <w:szCs w:val="32"/>
        </w:rPr>
        <w:t>20.5%</w:t>
      </w:r>
      <w:r>
        <w:rPr>
          <w:rFonts w:hint="eastAsia" w:ascii="仿宋_GB2312" w:cs="宋体"/>
          <w:kern w:val="0"/>
          <w:szCs w:val="32"/>
        </w:rPr>
        <w:t>，比“十二五”的降碳目标提高了</w:t>
      </w:r>
      <w:r>
        <w:rPr>
          <w:rFonts w:ascii="仿宋_GB2312" w:cs="宋体"/>
          <w:kern w:val="0"/>
          <w:szCs w:val="32"/>
        </w:rPr>
        <w:t>0.5</w:t>
      </w:r>
      <w:r>
        <w:rPr>
          <w:rFonts w:hint="eastAsia" w:ascii="仿宋_GB2312" w:cs="宋体"/>
          <w:kern w:val="0"/>
          <w:szCs w:val="32"/>
        </w:rPr>
        <w:t>个百分点。</w:t>
      </w:r>
    </w:p>
    <w:p w14:paraId="190714EC">
      <w:pPr>
        <w:ind w:firstLine="640" w:firstLineChars="200"/>
        <w:rPr>
          <w:rFonts w:ascii="仿宋_GB2312" w:cs="宋体"/>
          <w:kern w:val="0"/>
          <w:szCs w:val="32"/>
        </w:rPr>
      </w:pPr>
      <w:r>
        <w:rPr>
          <w:rFonts w:hint="eastAsia" w:ascii="仿宋_GB2312" w:cs="宋体"/>
          <w:kern w:val="0"/>
          <w:szCs w:val="32"/>
        </w:rPr>
        <w:t>为全面贯彻党的十九大精神，更好的完成“十三五”期间国家与省下达的节能降碳任务，坚持“念好发展经，画好山水画”工作主题，进一步实现“调结构、转方式”，推进节能减排和低碳发展，加强生态环境保护和治理，着力在生态文明建设上实现突破，三明市发改委组织，三明市生态环境局于2019年组织修订编制了《三明市低碳发展规划（</w:t>
      </w:r>
      <w:r>
        <w:rPr>
          <w:rFonts w:ascii="仿宋_GB2312" w:cs="宋体"/>
          <w:kern w:val="0"/>
          <w:szCs w:val="32"/>
        </w:rPr>
        <w:t>2018-2022</w:t>
      </w:r>
      <w:r>
        <w:rPr>
          <w:rFonts w:hint="eastAsia" w:ascii="仿宋_GB2312" w:cs="宋体"/>
          <w:kern w:val="0"/>
          <w:szCs w:val="32"/>
        </w:rPr>
        <w:t>年）》，作为促进三明市低碳发展的指导性和纲领性文件。</w:t>
      </w:r>
    </w:p>
    <w:p w14:paraId="5F4517A0">
      <w:pPr>
        <w:ind w:firstLine="640"/>
        <w:rPr>
          <w:rFonts w:ascii="华文中宋" w:hAnsi="华文中宋" w:eastAsia="华文中宋"/>
          <w:sz w:val="36"/>
          <w:szCs w:val="36"/>
        </w:rPr>
      </w:pPr>
      <w:r>
        <w:rPr>
          <w:rFonts w:hint="eastAsia" w:ascii="仿宋_GB2312" w:cs="宋体"/>
          <w:kern w:val="0"/>
          <w:szCs w:val="32"/>
        </w:rPr>
        <w:t>本规划范围适用三明市行政管辖范围，规划基准年是</w:t>
      </w:r>
      <w:r>
        <w:rPr>
          <w:rFonts w:ascii="仿宋_GB2312" w:cs="宋体"/>
          <w:kern w:val="0"/>
          <w:szCs w:val="32"/>
        </w:rPr>
        <w:t>2017</w:t>
      </w:r>
      <w:r>
        <w:rPr>
          <w:rFonts w:hint="eastAsia" w:ascii="仿宋_GB2312" w:cs="宋体"/>
          <w:kern w:val="0"/>
          <w:szCs w:val="32"/>
        </w:rPr>
        <w:t>年，规划期限为</w:t>
      </w:r>
      <w:r>
        <w:rPr>
          <w:rFonts w:ascii="仿宋_GB2312" w:cs="宋体"/>
          <w:kern w:val="0"/>
          <w:szCs w:val="32"/>
        </w:rPr>
        <w:t>2018</w:t>
      </w:r>
      <w:r>
        <w:rPr>
          <w:rFonts w:hint="eastAsia" w:ascii="仿宋_GB2312" w:cs="宋体"/>
          <w:kern w:val="0"/>
          <w:szCs w:val="32"/>
        </w:rPr>
        <w:t>年</w:t>
      </w:r>
      <w:r>
        <w:rPr>
          <w:rFonts w:ascii="仿宋_GB2312" w:cs="宋体"/>
          <w:kern w:val="0"/>
          <w:szCs w:val="32"/>
        </w:rPr>
        <w:t>-2022</w:t>
      </w:r>
      <w:r>
        <w:rPr>
          <w:rFonts w:hint="eastAsia" w:ascii="仿宋_GB2312" w:cs="宋体"/>
          <w:kern w:val="0"/>
          <w:szCs w:val="32"/>
        </w:rPr>
        <w:t>年。</w:t>
      </w:r>
    </w:p>
    <w:p w14:paraId="43F42D6D">
      <w:pPr>
        <w:spacing w:line="240" w:lineRule="auto"/>
        <w:jc w:val="center"/>
        <w:rPr>
          <w:rFonts w:ascii="华文中宋" w:hAnsi="华文中宋" w:eastAsia="华文中宋"/>
          <w:sz w:val="36"/>
          <w:szCs w:val="36"/>
        </w:rPr>
        <w:sectPr>
          <w:footerReference r:id="rId8" w:type="even"/>
          <w:type w:val="continuous"/>
          <w:pgSz w:w="11906" w:h="16838"/>
          <w:pgMar w:top="1701" w:right="1418" w:bottom="1418" w:left="1474" w:header="851" w:footer="992" w:gutter="0"/>
          <w:cols w:space="720" w:num="1"/>
          <w:docGrid w:type="lines" w:linePitch="634" w:charSpace="0"/>
        </w:sectPr>
      </w:pPr>
    </w:p>
    <w:p w14:paraId="6D3A94D6">
      <w:pPr>
        <w:widowControl/>
        <w:spacing w:line="240" w:lineRule="auto"/>
        <w:jc w:val="center"/>
        <w:rPr>
          <w:rFonts w:ascii="华文中宋" w:hAnsi="华文中宋" w:eastAsia="华文中宋"/>
          <w:b/>
          <w:sz w:val="36"/>
          <w:szCs w:val="36"/>
        </w:rPr>
      </w:pPr>
      <w:r>
        <w:rPr>
          <w:rFonts w:ascii="华文中宋" w:hAnsi="华文中宋" w:eastAsia="华文中宋"/>
          <w:b/>
          <w:sz w:val="36"/>
          <w:szCs w:val="36"/>
        </w:rPr>
        <w:br w:type="page"/>
      </w:r>
      <w:r>
        <w:rPr>
          <w:rFonts w:hint="eastAsia" w:ascii="华文中宋" w:hAnsi="华文中宋" w:eastAsia="华文中宋"/>
          <w:b/>
          <w:sz w:val="36"/>
          <w:szCs w:val="36"/>
        </w:rPr>
        <w:t>目录</w:t>
      </w:r>
      <w:bookmarkEnd w:id="0"/>
      <w:bookmarkEnd w:id="1"/>
      <w:bookmarkEnd w:id="2"/>
      <w:bookmarkEnd w:id="3"/>
    </w:p>
    <w:p w14:paraId="20DE44C5">
      <w:pPr>
        <w:spacing w:line="240" w:lineRule="auto"/>
        <w:jc w:val="center"/>
        <w:rPr>
          <w:rFonts w:ascii="华文中宋" w:hAnsi="华文中宋" w:eastAsia="华文中宋"/>
          <w:szCs w:val="22"/>
        </w:rPr>
      </w:pPr>
    </w:p>
    <w:p w14:paraId="48D34494">
      <w:pPr>
        <w:pStyle w:val="21"/>
        <w:rPr>
          <w:rFonts w:ascii="Times New Roman" w:hAnsi="Times New Roman" w:eastAsia="宋体"/>
          <w:sz w:val="21"/>
          <w:szCs w:val="22"/>
        </w:rPr>
      </w:pPr>
      <w:r>
        <w:rPr>
          <w:rFonts w:ascii="Times New Roman" w:hAnsi="Times New Roman" w:eastAsia="华文中宋"/>
        </w:rPr>
        <w:fldChar w:fldCharType="begin"/>
      </w:r>
      <w:r>
        <w:rPr>
          <w:rFonts w:ascii="Times New Roman" w:hAnsi="Times New Roman" w:eastAsia="华文中宋"/>
        </w:rPr>
        <w:instrText xml:space="preserve"> TOC \o "1-3" \h \z \u </w:instrText>
      </w:r>
      <w:r>
        <w:rPr>
          <w:rFonts w:ascii="Times New Roman" w:hAnsi="Times New Roman" w:eastAsia="华文中宋"/>
        </w:rPr>
        <w:fldChar w:fldCharType="separate"/>
      </w:r>
      <w:r>
        <w:fldChar w:fldCharType="begin"/>
      </w:r>
      <w:r>
        <w:instrText xml:space="preserve">HYPERLINK  \l "_Toc524597371" </w:instrText>
      </w:r>
      <w:r>
        <w:fldChar w:fldCharType="separate"/>
      </w:r>
      <w:r>
        <w:rPr>
          <w:rStyle w:val="31"/>
          <w:rFonts w:ascii="Times New Roman" w:hAnsi="Times New Roman"/>
        </w:rPr>
        <w:t>第一章三明市低碳发展基础条件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fldChar w:fldCharType="end"/>
      </w:r>
    </w:p>
    <w:p w14:paraId="6E0EE713">
      <w:pPr>
        <w:pStyle w:val="24"/>
        <w:rPr>
          <w:rFonts w:ascii="Times New Roman" w:hAnsi="Times New Roman" w:eastAsia="宋体"/>
          <w:sz w:val="21"/>
          <w:szCs w:val="22"/>
        </w:rPr>
      </w:pPr>
      <w:r>
        <w:fldChar w:fldCharType="begin"/>
      </w:r>
      <w:r>
        <w:instrText xml:space="preserve">HYPERLINK  \l "_Toc524597372" </w:instrText>
      </w:r>
      <w:r>
        <w:fldChar w:fldCharType="separate"/>
      </w:r>
      <w:r>
        <w:rPr>
          <w:rStyle w:val="31"/>
          <w:rFonts w:ascii="Times New Roman" w:hAnsi="Times New Roman"/>
        </w:rPr>
        <w:t>一、自然环境现状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fldChar w:fldCharType="end"/>
      </w:r>
    </w:p>
    <w:p w14:paraId="6556C4C2">
      <w:pPr>
        <w:pStyle w:val="24"/>
        <w:rPr>
          <w:rFonts w:ascii="Times New Roman" w:hAnsi="Times New Roman" w:eastAsia="宋体"/>
          <w:sz w:val="21"/>
          <w:szCs w:val="22"/>
        </w:rPr>
      </w:pPr>
      <w:r>
        <w:fldChar w:fldCharType="begin"/>
      </w:r>
      <w:r>
        <w:instrText xml:space="preserve">HYPERLINK  \l "_Toc524597373" </w:instrText>
      </w:r>
      <w:r>
        <w:fldChar w:fldCharType="separate"/>
      </w:r>
      <w:r>
        <w:rPr>
          <w:rStyle w:val="31"/>
          <w:rFonts w:ascii="Times New Roman" w:hAnsi="Times New Roman"/>
        </w:rPr>
        <w:t>二、社会经济发展现状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fldChar w:fldCharType="end"/>
      </w:r>
    </w:p>
    <w:p w14:paraId="35CE9ABF">
      <w:pPr>
        <w:pStyle w:val="24"/>
        <w:rPr>
          <w:rFonts w:ascii="Times New Roman" w:hAnsi="Times New Roman" w:eastAsia="宋体"/>
          <w:sz w:val="21"/>
          <w:szCs w:val="22"/>
        </w:rPr>
      </w:pPr>
      <w:r>
        <w:fldChar w:fldCharType="begin"/>
      </w:r>
      <w:r>
        <w:instrText xml:space="preserve">HYPERLINK  \l "_Toc524597374" </w:instrText>
      </w:r>
      <w:r>
        <w:fldChar w:fldCharType="separate"/>
      </w:r>
      <w:r>
        <w:rPr>
          <w:rStyle w:val="31"/>
          <w:rFonts w:ascii="Times New Roman" w:hAnsi="Times New Roman"/>
        </w:rPr>
        <w:t>三、产业发展现状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fldChar w:fldCharType="end"/>
      </w:r>
    </w:p>
    <w:p w14:paraId="30195309">
      <w:pPr>
        <w:pStyle w:val="24"/>
        <w:rPr>
          <w:rFonts w:ascii="Times New Roman" w:hAnsi="Times New Roman" w:eastAsia="宋体"/>
          <w:sz w:val="21"/>
          <w:szCs w:val="22"/>
        </w:rPr>
      </w:pPr>
      <w:r>
        <w:fldChar w:fldCharType="begin"/>
      </w:r>
      <w:r>
        <w:instrText xml:space="preserve">HYPERLINK  \l "_Toc524597375" </w:instrText>
      </w:r>
      <w:r>
        <w:fldChar w:fldCharType="separate"/>
      </w:r>
      <w:r>
        <w:rPr>
          <w:rStyle w:val="31"/>
          <w:rFonts w:ascii="Times New Roman" w:hAnsi="Times New Roman"/>
        </w:rPr>
        <w:t>四、发展成效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_Toc524597375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fldChar w:fldCharType="end"/>
      </w:r>
    </w:p>
    <w:p w14:paraId="53AED96C">
      <w:pPr>
        <w:pStyle w:val="16"/>
        <w:rPr>
          <w:rFonts w:ascii="Times New Roman" w:hAnsi="Times New Roman" w:eastAsia="宋体"/>
          <w:sz w:val="21"/>
          <w:szCs w:val="22"/>
        </w:rPr>
      </w:pPr>
      <w:r>
        <w:fldChar w:fldCharType="begin"/>
      </w:r>
      <w:r>
        <w:instrText xml:space="preserve">HYPERLINK  \l "_Toc524597376" </w:instrText>
      </w:r>
      <w:r>
        <w:fldChar w:fldCharType="separate"/>
      </w:r>
      <w:r>
        <w:rPr>
          <w:rStyle w:val="31"/>
          <w:rFonts w:ascii="Times New Roman" w:hAnsi="Times New Roman"/>
        </w:rPr>
        <w:t>（一）节能降碳成效显著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fldChar w:fldCharType="end"/>
      </w:r>
    </w:p>
    <w:p w14:paraId="544F6241">
      <w:pPr>
        <w:pStyle w:val="16"/>
        <w:rPr>
          <w:rFonts w:ascii="Times New Roman" w:hAnsi="Times New Roman" w:eastAsia="宋体"/>
          <w:sz w:val="21"/>
          <w:szCs w:val="22"/>
        </w:rPr>
      </w:pPr>
      <w:r>
        <w:fldChar w:fldCharType="begin"/>
      </w:r>
      <w:r>
        <w:instrText xml:space="preserve">HYPERLINK  \l "_Toc524597377" </w:instrText>
      </w:r>
      <w:r>
        <w:fldChar w:fldCharType="separate"/>
      </w:r>
      <w:r>
        <w:rPr>
          <w:rStyle w:val="31"/>
          <w:rFonts w:ascii="Times New Roman" w:hAnsi="Times New Roman"/>
        </w:rPr>
        <w:t>（二）产业结构稳步优化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fldChar w:fldCharType="end"/>
      </w:r>
    </w:p>
    <w:p w14:paraId="337624D5">
      <w:pPr>
        <w:pStyle w:val="16"/>
        <w:rPr>
          <w:rFonts w:ascii="Times New Roman" w:hAnsi="Times New Roman" w:eastAsia="宋体"/>
          <w:sz w:val="21"/>
          <w:szCs w:val="22"/>
        </w:rPr>
      </w:pPr>
      <w:r>
        <w:fldChar w:fldCharType="begin"/>
      </w:r>
      <w:r>
        <w:instrText xml:space="preserve">HYPERLINK  \l "_Toc524597378" </w:instrText>
      </w:r>
      <w:r>
        <w:fldChar w:fldCharType="separate"/>
      </w:r>
      <w:r>
        <w:rPr>
          <w:rStyle w:val="31"/>
          <w:rFonts w:ascii="Times New Roman" w:hAnsi="Times New Roman"/>
        </w:rPr>
        <w:t>（三）能源结构进一步优化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fldChar w:fldCharType="end"/>
      </w:r>
    </w:p>
    <w:p w14:paraId="776C0CAB">
      <w:pPr>
        <w:pStyle w:val="16"/>
        <w:rPr>
          <w:rFonts w:ascii="Times New Roman" w:hAnsi="Times New Roman" w:eastAsia="宋体"/>
          <w:sz w:val="21"/>
          <w:szCs w:val="22"/>
        </w:rPr>
      </w:pPr>
      <w:r>
        <w:fldChar w:fldCharType="begin"/>
      </w:r>
      <w:r>
        <w:instrText xml:space="preserve">HYPERLINK  \l "_Toc524597379" </w:instrText>
      </w:r>
      <w:r>
        <w:fldChar w:fldCharType="separate"/>
      </w:r>
      <w:r>
        <w:rPr>
          <w:rStyle w:val="31"/>
          <w:rFonts w:ascii="Times New Roman" w:hAnsi="Times New Roman"/>
        </w:rPr>
        <w:t>（四）重点领域低碳工作加速推进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_Toc524597379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fldChar w:fldCharType="end"/>
      </w:r>
    </w:p>
    <w:p w14:paraId="5F42FA51">
      <w:pPr>
        <w:pStyle w:val="16"/>
        <w:rPr>
          <w:rFonts w:ascii="Times New Roman" w:hAnsi="Times New Roman" w:eastAsia="宋体"/>
          <w:sz w:val="21"/>
          <w:szCs w:val="22"/>
        </w:rPr>
      </w:pPr>
      <w:r>
        <w:fldChar w:fldCharType="begin"/>
      </w:r>
      <w:r>
        <w:instrText xml:space="preserve">HYPERLINK  \l "_Toc524597380" </w:instrText>
      </w:r>
      <w:r>
        <w:fldChar w:fldCharType="separate"/>
      </w:r>
      <w:r>
        <w:rPr>
          <w:rStyle w:val="31"/>
          <w:rFonts w:ascii="Times New Roman" w:hAnsi="Times New Roman"/>
        </w:rPr>
        <w:t>（五）碳汇能力持续增强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fldChar w:fldCharType="end"/>
      </w:r>
    </w:p>
    <w:p w14:paraId="2AF5332F">
      <w:pPr>
        <w:pStyle w:val="16"/>
        <w:rPr>
          <w:rFonts w:ascii="Times New Roman" w:hAnsi="Times New Roman" w:eastAsia="宋体"/>
          <w:sz w:val="21"/>
          <w:szCs w:val="22"/>
        </w:rPr>
      </w:pPr>
      <w:r>
        <w:fldChar w:fldCharType="begin"/>
      </w:r>
      <w:r>
        <w:instrText xml:space="preserve">HYPERLINK  \l "_Toc524597381" </w:instrText>
      </w:r>
      <w:r>
        <w:fldChar w:fldCharType="separate"/>
      </w:r>
      <w:r>
        <w:rPr>
          <w:rStyle w:val="31"/>
          <w:rFonts w:ascii="Times New Roman" w:hAnsi="Times New Roman"/>
        </w:rPr>
        <w:t>（六）试点示范创建扎实推进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fldChar w:fldCharType="end"/>
      </w:r>
    </w:p>
    <w:p w14:paraId="06248BB6">
      <w:pPr>
        <w:pStyle w:val="16"/>
        <w:rPr>
          <w:rFonts w:ascii="Times New Roman" w:hAnsi="Times New Roman" w:eastAsia="宋体"/>
          <w:sz w:val="21"/>
          <w:szCs w:val="22"/>
        </w:rPr>
      </w:pPr>
      <w:r>
        <w:fldChar w:fldCharType="begin"/>
      </w:r>
      <w:r>
        <w:instrText xml:space="preserve">HYPERLINK  \l "_Toc524597382" </w:instrText>
      </w:r>
      <w:r>
        <w:fldChar w:fldCharType="separate"/>
      </w:r>
      <w:r>
        <w:rPr>
          <w:rStyle w:val="31"/>
          <w:rFonts w:ascii="Times New Roman" w:hAnsi="Times New Roman"/>
        </w:rPr>
        <w:t>（七）低碳发展基础工作不断夯实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fldChar w:fldCharType="end"/>
      </w:r>
    </w:p>
    <w:p w14:paraId="34F79B9F">
      <w:pPr>
        <w:pStyle w:val="24"/>
        <w:rPr>
          <w:rFonts w:ascii="Times New Roman" w:hAnsi="Times New Roman" w:eastAsia="宋体"/>
          <w:sz w:val="21"/>
          <w:szCs w:val="22"/>
        </w:rPr>
      </w:pPr>
      <w:r>
        <w:fldChar w:fldCharType="begin"/>
      </w:r>
      <w:r>
        <w:instrText xml:space="preserve">HYPERLINK  \l "_Toc524597383" </w:instrText>
      </w:r>
      <w:r>
        <w:fldChar w:fldCharType="separate"/>
      </w:r>
      <w:r>
        <w:rPr>
          <w:rStyle w:val="31"/>
          <w:rFonts w:ascii="Times New Roman" w:hAnsi="Times New Roman"/>
        </w:rPr>
        <w:t>五、面临形势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_Toc524597383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fldChar w:fldCharType="end"/>
      </w:r>
    </w:p>
    <w:p w14:paraId="5203A0E8">
      <w:pPr>
        <w:pStyle w:val="16"/>
        <w:rPr>
          <w:rFonts w:ascii="Times New Roman" w:hAnsi="Times New Roman" w:eastAsia="宋体"/>
          <w:sz w:val="21"/>
          <w:szCs w:val="22"/>
        </w:rPr>
      </w:pPr>
      <w:r>
        <w:fldChar w:fldCharType="begin"/>
      </w:r>
      <w:r>
        <w:instrText xml:space="preserve">HYPERLINK  \l "_Toc524597384" </w:instrText>
      </w:r>
      <w:r>
        <w:fldChar w:fldCharType="separate"/>
      </w:r>
      <w:r>
        <w:rPr>
          <w:rStyle w:val="31"/>
          <w:rFonts w:ascii="Times New Roman" w:hAnsi="Times New Roman"/>
        </w:rPr>
        <w:t>（一）积极应对气候变化成为全球共识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fldChar w:fldCharType="end"/>
      </w:r>
    </w:p>
    <w:p w14:paraId="3271BDBF">
      <w:pPr>
        <w:pStyle w:val="16"/>
        <w:rPr>
          <w:rFonts w:ascii="Times New Roman" w:hAnsi="Times New Roman" w:eastAsia="宋体"/>
          <w:sz w:val="21"/>
          <w:szCs w:val="22"/>
        </w:rPr>
      </w:pPr>
      <w:r>
        <w:fldChar w:fldCharType="begin"/>
      </w:r>
      <w:r>
        <w:instrText xml:space="preserve">HYPERLINK  \l "_Toc524597385" </w:instrText>
      </w:r>
      <w:r>
        <w:fldChar w:fldCharType="separate"/>
      </w:r>
      <w:r>
        <w:rPr>
          <w:rStyle w:val="31"/>
          <w:rFonts w:ascii="Times New Roman" w:hAnsi="Times New Roman"/>
        </w:rPr>
        <w:t>（二）低碳发展是三明市推进生态文明的必由之路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_Toc524597385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fldChar w:fldCharType="end"/>
      </w:r>
    </w:p>
    <w:p w14:paraId="77248AE5">
      <w:pPr>
        <w:pStyle w:val="16"/>
        <w:rPr>
          <w:rFonts w:ascii="Times New Roman" w:hAnsi="Times New Roman" w:eastAsia="宋体"/>
          <w:sz w:val="21"/>
          <w:szCs w:val="22"/>
        </w:rPr>
      </w:pPr>
      <w:r>
        <w:fldChar w:fldCharType="begin"/>
      </w:r>
      <w:r>
        <w:instrText xml:space="preserve">HYPERLINK  \l "_Toc524597386" </w:instrText>
      </w:r>
      <w:r>
        <w:fldChar w:fldCharType="separate"/>
      </w:r>
      <w:r>
        <w:rPr>
          <w:rStyle w:val="31"/>
          <w:rFonts w:ascii="Times New Roman" w:hAnsi="Times New Roman"/>
        </w:rPr>
        <w:t>（三）低碳发展是三明市经济高质量发展的内在需求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_Toc524597386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fldChar w:fldCharType="end"/>
      </w:r>
    </w:p>
    <w:p w14:paraId="0494BEC3">
      <w:pPr>
        <w:pStyle w:val="16"/>
        <w:rPr>
          <w:rFonts w:ascii="Times New Roman" w:hAnsi="Times New Roman" w:eastAsia="宋体"/>
          <w:sz w:val="21"/>
          <w:szCs w:val="22"/>
        </w:rPr>
      </w:pPr>
      <w:r>
        <w:fldChar w:fldCharType="begin"/>
      </w:r>
      <w:r>
        <w:instrText xml:space="preserve">HYPERLINK  \l "_Toc524597387" </w:instrText>
      </w:r>
      <w:r>
        <w:fldChar w:fldCharType="separate"/>
      </w:r>
      <w:r>
        <w:rPr>
          <w:rStyle w:val="31"/>
          <w:rFonts w:ascii="Times New Roman" w:hAnsi="Times New Roman"/>
        </w:rPr>
        <w:t>（四）丰富的生态资源有效支撑低碳发展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_Toc524597387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fldChar w:fldCharType="end"/>
      </w:r>
    </w:p>
    <w:p w14:paraId="60D458F4">
      <w:pPr>
        <w:pStyle w:val="24"/>
        <w:rPr>
          <w:rFonts w:ascii="Times New Roman" w:hAnsi="Times New Roman" w:eastAsia="宋体"/>
          <w:sz w:val="21"/>
          <w:szCs w:val="22"/>
        </w:rPr>
      </w:pPr>
      <w:r>
        <w:fldChar w:fldCharType="begin"/>
      </w:r>
      <w:r>
        <w:instrText xml:space="preserve">HYPERLINK  \l "_Toc524597388" </w:instrText>
      </w:r>
      <w:r>
        <w:fldChar w:fldCharType="separate"/>
      </w:r>
      <w:r>
        <w:rPr>
          <w:rStyle w:val="31"/>
          <w:rFonts w:ascii="Times New Roman" w:hAnsi="Times New Roman"/>
        </w:rPr>
        <w:t>六、问题与挑战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_Toc524597388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fldChar w:fldCharType="end"/>
      </w:r>
    </w:p>
    <w:p w14:paraId="0DB69439">
      <w:pPr>
        <w:pStyle w:val="16"/>
        <w:rPr>
          <w:rFonts w:ascii="Times New Roman" w:hAnsi="Times New Roman" w:eastAsia="宋体"/>
          <w:sz w:val="21"/>
          <w:szCs w:val="22"/>
        </w:rPr>
      </w:pPr>
      <w:r>
        <w:fldChar w:fldCharType="begin"/>
      </w:r>
      <w:r>
        <w:instrText xml:space="preserve">HYPERLINK  \l "_Toc524597389" </w:instrText>
      </w:r>
      <w:r>
        <w:fldChar w:fldCharType="separate"/>
      </w:r>
      <w:r>
        <w:rPr>
          <w:rStyle w:val="31"/>
          <w:rFonts w:ascii="Times New Roman" w:hAnsi="Times New Roman"/>
        </w:rPr>
        <w:t>（一）经济快速发展与碳排放“双控”矛盾仍将持续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_Toc524597389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fldChar w:fldCharType="end"/>
      </w:r>
    </w:p>
    <w:p w14:paraId="510BC61C">
      <w:pPr>
        <w:pStyle w:val="16"/>
        <w:rPr>
          <w:rFonts w:ascii="Times New Roman" w:hAnsi="Times New Roman" w:eastAsia="宋体"/>
          <w:sz w:val="21"/>
          <w:szCs w:val="22"/>
        </w:rPr>
      </w:pPr>
      <w:r>
        <w:fldChar w:fldCharType="begin"/>
      </w:r>
      <w:r>
        <w:instrText xml:space="preserve">HYPERLINK  \l "_Toc524597390" </w:instrText>
      </w:r>
      <w:r>
        <w:fldChar w:fldCharType="separate"/>
      </w:r>
      <w:r>
        <w:rPr>
          <w:rStyle w:val="31"/>
          <w:rFonts w:ascii="Times New Roman" w:hAnsi="Times New Roman"/>
        </w:rPr>
        <w:t>（二）通过能源结构调整大幅降低碳排放水平仍需时间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_Toc524597390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fldChar w:fldCharType="end"/>
      </w:r>
    </w:p>
    <w:p w14:paraId="6F8C90F2">
      <w:pPr>
        <w:pStyle w:val="16"/>
        <w:rPr>
          <w:rFonts w:ascii="Times New Roman" w:hAnsi="Times New Roman" w:eastAsia="宋体"/>
          <w:sz w:val="21"/>
          <w:szCs w:val="22"/>
        </w:rPr>
      </w:pPr>
      <w:r>
        <w:fldChar w:fldCharType="begin"/>
      </w:r>
      <w:r>
        <w:instrText xml:space="preserve">HYPERLINK  \l "_Toc524597391" </w:instrText>
      </w:r>
      <w:r>
        <w:fldChar w:fldCharType="separate"/>
      </w:r>
      <w:r>
        <w:rPr>
          <w:rStyle w:val="31"/>
          <w:rFonts w:ascii="Times New Roman" w:hAnsi="Times New Roman"/>
        </w:rPr>
        <w:t>（三）产业资源依赖与经济低碳转型的矛盾突出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_Toc524597391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fldChar w:fldCharType="end"/>
      </w:r>
    </w:p>
    <w:p w14:paraId="747A445D">
      <w:pPr>
        <w:pStyle w:val="16"/>
        <w:rPr>
          <w:rFonts w:ascii="Times New Roman" w:hAnsi="Times New Roman" w:eastAsia="宋体"/>
          <w:sz w:val="21"/>
          <w:szCs w:val="22"/>
        </w:rPr>
      </w:pPr>
      <w:r>
        <w:fldChar w:fldCharType="begin"/>
      </w:r>
      <w:r>
        <w:instrText xml:space="preserve">HYPERLINK  \l "_Toc524597392" </w:instrText>
      </w:r>
      <w:r>
        <w:fldChar w:fldCharType="separate"/>
      </w:r>
      <w:r>
        <w:rPr>
          <w:rStyle w:val="31"/>
          <w:rFonts w:ascii="Times New Roman" w:hAnsi="Times New Roman"/>
        </w:rPr>
        <w:t>（四）技术创新对低碳发展支撑不足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_Toc524597392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fldChar w:fldCharType="end"/>
      </w:r>
    </w:p>
    <w:p w14:paraId="448965B3">
      <w:pPr>
        <w:pStyle w:val="16"/>
        <w:rPr>
          <w:rFonts w:ascii="Times New Roman" w:hAnsi="Times New Roman" w:eastAsia="宋体"/>
          <w:sz w:val="21"/>
          <w:szCs w:val="22"/>
        </w:rPr>
      </w:pPr>
      <w:r>
        <w:fldChar w:fldCharType="begin"/>
      </w:r>
      <w:r>
        <w:instrText xml:space="preserve">HYPERLINK  \l "_Toc524597393" </w:instrText>
      </w:r>
      <w:r>
        <w:fldChar w:fldCharType="separate"/>
      </w:r>
      <w:r>
        <w:rPr>
          <w:rStyle w:val="31"/>
          <w:rFonts w:ascii="Times New Roman" w:hAnsi="Times New Roman"/>
        </w:rPr>
        <w:t>（五）低碳发展的体制机制尚未健全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_Toc524597393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fldChar w:fldCharType="end"/>
      </w:r>
    </w:p>
    <w:p w14:paraId="72465648">
      <w:pPr>
        <w:pStyle w:val="16"/>
        <w:rPr>
          <w:rFonts w:ascii="Times New Roman" w:hAnsi="Times New Roman" w:eastAsia="宋体"/>
          <w:sz w:val="21"/>
          <w:szCs w:val="22"/>
        </w:rPr>
      </w:pPr>
      <w:r>
        <w:fldChar w:fldCharType="begin"/>
      </w:r>
      <w:r>
        <w:instrText xml:space="preserve">HYPERLINK  \l "_Toc524597394" </w:instrText>
      </w:r>
      <w:r>
        <w:fldChar w:fldCharType="separate"/>
      </w:r>
      <w:r>
        <w:rPr>
          <w:rStyle w:val="31"/>
          <w:rFonts w:ascii="Times New Roman" w:hAnsi="Times New Roman"/>
        </w:rPr>
        <w:t>（六）公众低碳意识有待提高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_Toc524597394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fldChar w:fldCharType="end"/>
      </w:r>
    </w:p>
    <w:p w14:paraId="3CCB6979">
      <w:pPr>
        <w:pStyle w:val="21"/>
        <w:rPr>
          <w:rFonts w:ascii="Times New Roman" w:hAnsi="Times New Roman" w:eastAsia="宋体"/>
          <w:sz w:val="21"/>
          <w:szCs w:val="22"/>
        </w:rPr>
      </w:pPr>
      <w:r>
        <w:fldChar w:fldCharType="begin"/>
      </w:r>
      <w:r>
        <w:instrText xml:space="preserve">HYPERLINK  \l "_Toc524597395" </w:instrText>
      </w:r>
      <w:r>
        <w:fldChar w:fldCharType="separate"/>
      </w:r>
      <w:r>
        <w:rPr>
          <w:rStyle w:val="31"/>
          <w:rFonts w:ascii="Times New Roman" w:hAnsi="Times New Roman"/>
        </w:rPr>
        <w:t>第二章三明市低碳发展规划体系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_Toc524597395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fldChar w:fldCharType="end"/>
      </w:r>
    </w:p>
    <w:p w14:paraId="6E1C0439">
      <w:pPr>
        <w:pStyle w:val="24"/>
        <w:rPr>
          <w:rFonts w:ascii="Times New Roman" w:hAnsi="Times New Roman" w:eastAsia="宋体"/>
          <w:sz w:val="21"/>
          <w:szCs w:val="22"/>
        </w:rPr>
      </w:pPr>
      <w:r>
        <w:fldChar w:fldCharType="begin"/>
      </w:r>
      <w:r>
        <w:instrText xml:space="preserve">HYPERLINK  \l "_Toc524597396" </w:instrText>
      </w:r>
      <w:r>
        <w:fldChar w:fldCharType="separate"/>
      </w:r>
      <w:r>
        <w:rPr>
          <w:rStyle w:val="31"/>
          <w:rFonts w:ascii="Times New Roman" w:hAnsi="Times New Roman"/>
        </w:rPr>
        <w:t>一、指导思想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_Toc524597396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fldChar w:fldCharType="end"/>
      </w:r>
    </w:p>
    <w:p w14:paraId="6480BEC6">
      <w:pPr>
        <w:pStyle w:val="24"/>
        <w:rPr>
          <w:rFonts w:ascii="Times New Roman" w:hAnsi="Times New Roman" w:eastAsia="宋体"/>
          <w:sz w:val="21"/>
          <w:szCs w:val="22"/>
        </w:rPr>
      </w:pPr>
      <w:r>
        <w:fldChar w:fldCharType="begin"/>
      </w:r>
      <w:r>
        <w:instrText xml:space="preserve">HYPERLINK  \l "_Toc524597397" </w:instrText>
      </w:r>
      <w:r>
        <w:fldChar w:fldCharType="separate"/>
      </w:r>
      <w:r>
        <w:rPr>
          <w:rStyle w:val="31"/>
          <w:rFonts w:ascii="Times New Roman" w:hAnsi="Times New Roman"/>
        </w:rPr>
        <w:t>二、基本原则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_Toc524597397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fldChar w:fldCharType="end"/>
      </w:r>
    </w:p>
    <w:p w14:paraId="4F35CFB4">
      <w:pPr>
        <w:pStyle w:val="16"/>
        <w:rPr>
          <w:rFonts w:ascii="Times New Roman" w:hAnsi="Times New Roman" w:eastAsia="宋体"/>
          <w:sz w:val="21"/>
          <w:szCs w:val="22"/>
        </w:rPr>
      </w:pPr>
      <w:r>
        <w:fldChar w:fldCharType="begin"/>
      </w:r>
      <w:r>
        <w:instrText xml:space="preserve">HYPERLINK  \l "_Toc524597398" </w:instrText>
      </w:r>
      <w:r>
        <w:fldChar w:fldCharType="separate"/>
      </w:r>
      <w:r>
        <w:rPr>
          <w:rStyle w:val="31"/>
          <w:rFonts w:ascii="Times New Roman" w:hAnsi="Times New Roman"/>
        </w:rPr>
        <w:t>（一）坚持规划引领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fldChar w:fldCharType="end"/>
      </w:r>
    </w:p>
    <w:p w14:paraId="600E2304">
      <w:pPr>
        <w:pStyle w:val="16"/>
        <w:rPr>
          <w:rFonts w:ascii="Times New Roman" w:hAnsi="Times New Roman" w:eastAsia="宋体"/>
          <w:sz w:val="21"/>
          <w:szCs w:val="22"/>
        </w:rPr>
      </w:pPr>
      <w:r>
        <w:fldChar w:fldCharType="begin"/>
      </w:r>
      <w:r>
        <w:instrText xml:space="preserve">HYPERLINK  \l "_Toc524597399" </w:instrText>
      </w:r>
      <w:r>
        <w:fldChar w:fldCharType="separate"/>
      </w:r>
      <w:r>
        <w:rPr>
          <w:rStyle w:val="31"/>
          <w:rFonts w:ascii="Times New Roman" w:hAnsi="Times New Roman"/>
        </w:rPr>
        <w:t>（二）坚持创新驱动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_Toc524597399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fldChar w:fldCharType="end"/>
      </w:r>
    </w:p>
    <w:p w14:paraId="3F2EBE45">
      <w:pPr>
        <w:pStyle w:val="16"/>
        <w:rPr>
          <w:rFonts w:ascii="Times New Roman" w:hAnsi="Times New Roman" w:eastAsia="宋体"/>
          <w:sz w:val="21"/>
          <w:szCs w:val="22"/>
        </w:rPr>
      </w:pPr>
      <w:r>
        <w:fldChar w:fldCharType="begin"/>
      </w:r>
      <w:r>
        <w:instrText xml:space="preserve">HYPERLINK  \l "_Toc524597400" </w:instrText>
      </w:r>
      <w:r>
        <w:fldChar w:fldCharType="separate"/>
      </w:r>
      <w:r>
        <w:rPr>
          <w:rStyle w:val="31"/>
          <w:rFonts w:ascii="Times New Roman" w:hAnsi="Times New Roman"/>
        </w:rPr>
        <w:t>（三）坚持分类推进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_Toc524597400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fldChar w:fldCharType="end"/>
      </w:r>
    </w:p>
    <w:p w14:paraId="135EAB38">
      <w:pPr>
        <w:pStyle w:val="16"/>
        <w:rPr>
          <w:rFonts w:ascii="Times New Roman" w:hAnsi="Times New Roman" w:eastAsia="宋体"/>
          <w:sz w:val="21"/>
          <w:szCs w:val="22"/>
        </w:rPr>
      </w:pPr>
      <w:r>
        <w:fldChar w:fldCharType="begin"/>
      </w:r>
      <w:r>
        <w:instrText xml:space="preserve">HYPERLINK  \l "_Toc524597401" </w:instrText>
      </w:r>
      <w:r>
        <w:fldChar w:fldCharType="separate"/>
      </w:r>
      <w:r>
        <w:rPr>
          <w:rStyle w:val="31"/>
          <w:rFonts w:ascii="Times New Roman" w:hAnsi="Times New Roman"/>
        </w:rPr>
        <w:t>（四）坚持社会参与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_Toc524597401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fldChar w:fldCharType="end"/>
      </w:r>
    </w:p>
    <w:p w14:paraId="23DB9DF7">
      <w:pPr>
        <w:pStyle w:val="24"/>
        <w:rPr>
          <w:rFonts w:ascii="Times New Roman" w:hAnsi="Times New Roman" w:eastAsia="宋体"/>
          <w:sz w:val="21"/>
          <w:szCs w:val="22"/>
        </w:rPr>
      </w:pPr>
      <w:r>
        <w:fldChar w:fldCharType="begin"/>
      </w:r>
      <w:r>
        <w:instrText xml:space="preserve">HYPERLINK  \l "_Toc524597402" </w:instrText>
      </w:r>
      <w:r>
        <w:fldChar w:fldCharType="separate"/>
      </w:r>
      <w:r>
        <w:rPr>
          <w:rStyle w:val="31"/>
          <w:rFonts w:ascii="Times New Roman" w:hAnsi="Times New Roman"/>
        </w:rPr>
        <w:t>三、总体思路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fldChar w:fldCharType="end"/>
      </w:r>
    </w:p>
    <w:p w14:paraId="4581CC64">
      <w:pPr>
        <w:pStyle w:val="24"/>
        <w:rPr>
          <w:rFonts w:ascii="Times New Roman" w:hAnsi="Times New Roman" w:eastAsia="宋体"/>
          <w:sz w:val="21"/>
          <w:szCs w:val="22"/>
        </w:rPr>
      </w:pPr>
      <w:r>
        <w:fldChar w:fldCharType="begin"/>
      </w:r>
      <w:r>
        <w:instrText xml:space="preserve">HYPERLINK  \l "_Toc524597403" </w:instrText>
      </w:r>
      <w:r>
        <w:fldChar w:fldCharType="separate"/>
      </w:r>
      <w:r>
        <w:rPr>
          <w:rStyle w:val="31"/>
          <w:rFonts w:ascii="Times New Roman" w:hAnsi="Times New Roman"/>
        </w:rPr>
        <w:t>四、发展目标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_Toc524597403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fldChar w:fldCharType="end"/>
      </w:r>
    </w:p>
    <w:p w14:paraId="0FBE96FF">
      <w:pPr>
        <w:pStyle w:val="21"/>
        <w:rPr>
          <w:rFonts w:ascii="Times New Roman" w:hAnsi="Times New Roman" w:eastAsia="宋体"/>
          <w:sz w:val="21"/>
          <w:szCs w:val="22"/>
        </w:rPr>
      </w:pPr>
      <w:r>
        <w:fldChar w:fldCharType="begin"/>
      </w:r>
      <w:r>
        <w:instrText xml:space="preserve">HYPERLINK  \l "_Toc524597404" </w:instrText>
      </w:r>
      <w:r>
        <w:fldChar w:fldCharType="separate"/>
      </w:r>
      <w:r>
        <w:rPr>
          <w:rStyle w:val="31"/>
          <w:rFonts w:ascii="Times New Roman" w:hAnsi="Times New Roman"/>
        </w:rPr>
        <w:t>第三章三明市低碳发展主要任务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_Toc524597404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fldChar w:fldCharType="end"/>
      </w:r>
    </w:p>
    <w:p w14:paraId="0A52B284">
      <w:pPr>
        <w:pStyle w:val="24"/>
        <w:rPr>
          <w:rFonts w:ascii="Times New Roman" w:hAnsi="Times New Roman" w:eastAsia="宋体"/>
          <w:sz w:val="21"/>
          <w:szCs w:val="22"/>
        </w:rPr>
      </w:pPr>
      <w:r>
        <w:fldChar w:fldCharType="begin"/>
      </w:r>
      <w:r>
        <w:instrText xml:space="preserve">HYPERLINK  \l "_Toc524597405" </w:instrText>
      </w:r>
      <w:r>
        <w:fldChar w:fldCharType="separate"/>
      </w:r>
      <w:r>
        <w:rPr>
          <w:rStyle w:val="31"/>
          <w:rFonts w:ascii="Times New Roman" w:hAnsi="Times New Roman"/>
        </w:rPr>
        <w:t>一、 “壮大一条路径”，打造绿色低碳产业体系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_Toc524597405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fldChar w:fldCharType="end"/>
      </w:r>
    </w:p>
    <w:p w14:paraId="7E9B159A">
      <w:pPr>
        <w:pStyle w:val="16"/>
        <w:rPr>
          <w:rFonts w:ascii="Times New Roman" w:hAnsi="Times New Roman" w:eastAsia="宋体"/>
          <w:sz w:val="21"/>
          <w:szCs w:val="22"/>
        </w:rPr>
      </w:pPr>
      <w:r>
        <w:fldChar w:fldCharType="begin"/>
      </w:r>
      <w:r>
        <w:instrText xml:space="preserve">HYPERLINK  \l "_Toc524597406" </w:instrText>
      </w:r>
      <w:r>
        <w:fldChar w:fldCharType="separate"/>
      </w:r>
      <w:r>
        <w:rPr>
          <w:rStyle w:val="31"/>
          <w:rFonts w:ascii="Times New Roman" w:hAnsi="Times New Roman"/>
        </w:rPr>
        <w:t>（一）做优存量，推进传统产业高端化集聚化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_Toc524597406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fldChar w:fldCharType="end"/>
      </w:r>
    </w:p>
    <w:p w14:paraId="33DA8F05">
      <w:pPr>
        <w:pStyle w:val="16"/>
        <w:rPr>
          <w:rFonts w:ascii="Times New Roman" w:hAnsi="Times New Roman" w:eastAsia="宋体"/>
          <w:sz w:val="21"/>
          <w:szCs w:val="22"/>
        </w:rPr>
      </w:pPr>
      <w:r>
        <w:fldChar w:fldCharType="begin"/>
      </w:r>
      <w:r>
        <w:instrText xml:space="preserve">HYPERLINK  \l "_Toc524597407" </w:instrText>
      </w:r>
      <w:r>
        <w:fldChar w:fldCharType="separate"/>
      </w:r>
      <w:r>
        <w:rPr>
          <w:rStyle w:val="31"/>
          <w:rFonts w:ascii="Times New Roman" w:hAnsi="Times New Roman"/>
        </w:rPr>
        <w:t>（二）做大增量，推进新型低碳产业专业化规模化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_Toc524597407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fldChar w:fldCharType="end"/>
      </w:r>
    </w:p>
    <w:p w14:paraId="1F68CB7A">
      <w:pPr>
        <w:pStyle w:val="16"/>
        <w:rPr>
          <w:rFonts w:ascii="Times New Roman" w:hAnsi="Times New Roman" w:eastAsia="宋体"/>
          <w:sz w:val="21"/>
          <w:szCs w:val="22"/>
        </w:rPr>
      </w:pPr>
      <w:r>
        <w:fldChar w:fldCharType="begin"/>
      </w:r>
      <w:r>
        <w:instrText xml:space="preserve">HYPERLINK  \l "_Toc524597408" </w:instrText>
      </w:r>
      <w:r>
        <w:fldChar w:fldCharType="separate"/>
      </w:r>
      <w:r>
        <w:rPr>
          <w:rStyle w:val="31"/>
          <w:rFonts w:ascii="Times New Roman" w:hAnsi="Times New Roman"/>
        </w:rPr>
        <w:t>（三）创新驱动，打造三明低碳双创基地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_Toc524597408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fldChar w:fldCharType="end"/>
      </w:r>
    </w:p>
    <w:p w14:paraId="588B6B2F">
      <w:pPr>
        <w:pStyle w:val="24"/>
        <w:rPr>
          <w:rFonts w:ascii="Times New Roman" w:hAnsi="Times New Roman" w:eastAsia="宋体"/>
          <w:sz w:val="21"/>
          <w:szCs w:val="22"/>
        </w:rPr>
      </w:pPr>
      <w:r>
        <w:fldChar w:fldCharType="begin"/>
      </w:r>
      <w:r>
        <w:instrText xml:space="preserve">HYPERLINK  \l "_Toc524597409" </w:instrText>
      </w:r>
      <w:r>
        <w:fldChar w:fldCharType="separate"/>
      </w:r>
      <w:r>
        <w:rPr>
          <w:rStyle w:val="31"/>
          <w:rFonts w:ascii="Times New Roman" w:hAnsi="Times New Roman"/>
        </w:rPr>
        <w:t>二、 “建美一座城市”，推动城镇化低碳发展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_Toc524597409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fldChar w:fldCharType="end"/>
      </w:r>
    </w:p>
    <w:p w14:paraId="78E28169">
      <w:pPr>
        <w:pStyle w:val="16"/>
        <w:rPr>
          <w:rFonts w:ascii="Times New Roman" w:hAnsi="Times New Roman" w:eastAsia="宋体"/>
          <w:sz w:val="21"/>
          <w:szCs w:val="22"/>
        </w:rPr>
      </w:pPr>
      <w:r>
        <w:fldChar w:fldCharType="begin"/>
      </w:r>
      <w:r>
        <w:instrText xml:space="preserve">HYPERLINK  \l "_Toc524597410" </w:instrText>
      </w:r>
      <w:r>
        <w:fldChar w:fldCharType="separate"/>
      </w:r>
      <w:r>
        <w:rPr>
          <w:rStyle w:val="31"/>
          <w:rFonts w:ascii="Times New Roman" w:hAnsi="Times New Roman"/>
        </w:rPr>
        <w:t>（一）建设低碳能源保障体系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_Toc524597410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fldChar w:fldCharType="end"/>
      </w:r>
    </w:p>
    <w:p w14:paraId="792974F5">
      <w:pPr>
        <w:pStyle w:val="16"/>
        <w:rPr>
          <w:rFonts w:ascii="Times New Roman" w:hAnsi="Times New Roman" w:eastAsia="宋体"/>
          <w:sz w:val="21"/>
          <w:szCs w:val="22"/>
        </w:rPr>
      </w:pPr>
      <w:r>
        <w:fldChar w:fldCharType="begin"/>
      </w:r>
      <w:r>
        <w:instrText xml:space="preserve">HYPERLINK  \l "_Toc524597411" </w:instrText>
      </w:r>
      <w:r>
        <w:fldChar w:fldCharType="separate"/>
      </w:r>
      <w:r>
        <w:rPr>
          <w:rStyle w:val="31"/>
          <w:rFonts w:ascii="Times New Roman" w:hAnsi="Times New Roman"/>
        </w:rPr>
        <w:t>（二）推进城乡低碳化建设和管理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_Toc524597411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fldChar w:fldCharType="end"/>
      </w:r>
    </w:p>
    <w:p w14:paraId="5582A5E7">
      <w:pPr>
        <w:pStyle w:val="16"/>
        <w:rPr>
          <w:rFonts w:ascii="Times New Roman" w:hAnsi="Times New Roman" w:eastAsia="宋体"/>
          <w:sz w:val="21"/>
          <w:szCs w:val="22"/>
        </w:rPr>
      </w:pPr>
      <w:r>
        <w:fldChar w:fldCharType="begin"/>
      </w:r>
      <w:r>
        <w:instrText xml:space="preserve">HYPERLINK  \l "_Toc524597412" </w:instrText>
      </w:r>
      <w:r>
        <w:fldChar w:fldCharType="separate"/>
      </w:r>
      <w:r>
        <w:rPr>
          <w:rStyle w:val="31"/>
          <w:rFonts w:ascii="Times New Roman" w:hAnsi="Times New Roman"/>
        </w:rPr>
        <w:t>（三）增强生态系统碳汇能力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_Toc524597412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fldChar w:fldCharType="end"/>
      </w:r>
    </w:p>
    <w:p w14:paraId="121A1E7D">
      <w:pPr>
        <w:pStyle w:val="24"/>
        <w:rPr>
          <w:rFonts w:ascii="Times New Roman" w:hAnsi="Times New Roman" w:eastAsia="宋体"/>
          <w:sz w:val="21"/>
          <w:szCs w:val="22"/>
        </w:rPr>
      </w:pPr>
      <w:r>
        <w:fldChar w:fldCharType="begin"/>
      </w:r>
      <w:r>
        <w:instrText xml:space="preserve">HYPERLINK  \l "_Toc524597413" </w:instrText>
      </w:r>
      <w:r>
        <w:fldChar w:fldCharType="separate"/>
      </w:r>
      <w:r>
        <w:rPr>
          <w:rStyle w:val="31"/>
          <w:rFonts w:ascii="Times New Roman" w:hAnsi="Times New Roman"/>
        </w:rPr>
        <w:t>三、 “推动一批示范”，落实低碳先行先试要求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_Toc524597413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fldChar w:fldCharType="end"/>
      </w:r>
    </w:p>
    <w:p w14:paraId="4D5F111A">
      <w:pPr>
        <w:pStyle w:val="16"/>
        <w:rPr>
          <w:rFonts w:ascii="Times New Roman" w:hAnsi="Times New Roman" w:eastAsia="宋体"/>
          <w:sz w:val="21"/>
          <w:szCs w:val="22"/>
        </w:rPr>
      </w:pPr>
      <w:r>
        <w:fldChar w:fldCharType="begin"/>
      </w:r>
      <w:r>
        <w:instrText xml:space="preserve">HYPERLINK  \l "_Toc524597414" </w:instrText>
      </w:r>
      <w:r>
        <w:fldChar w:fldCharType="separate"/>
      </w:r>
      <w:r>
        <w:rPr>
          <w:rStyle w:val="31"/>
          <w:rFonts w:ascii="Times New Roman" w:hAnsi="Times New Roman"/>
        </w:rPr>
        <w:t>（一）三明生态新城国家低碳城试点深化工程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_Toc524597414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fldChar w:fldCharType="end"/>
      </w:r>
    </w:p>
    <w:p w14:paraId="69A2A00F">
      <w:pPr>
        <w:pStyle w:val="16"/>
        <w:rPr>
          <w:rFonts w:ascii="Times New Roman" w:hAnsi="Times New Roman" w:eastAsia="宋体"/>
          <w:sz w:val="21"/>
          <w:szCs w:val="22"/>
        </w:rPr>
      </w:pPr>
      <w:r>
        <w:fldChar w:fldCharType="begin"/>
      </w:r>
      <w:r>
        <w:instrText xml:space="preserve">HYPERLINK  \l "_Toc524597415" </w:instrText>
      </w:r>
      <w:r>
        <w:fldChar w:fldCharType="separate"/>
      </w:r>
      <w:r>
        <w:rPr>
          <w:rStyle w:val="31"/>
          <w:rFonts w:ascii="Times New Roman" w:hAnsi="Times New Roman"/>
        </w:rPr>
        <w:t>（二）低碳景区试点建设工程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_Toc524597415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fldChar w:fldCharType="end"/>
      </w:r>
    </w:p>
    <w:p w14:paraId="47AE44F5">
      <w:pPr>
        <w:pStyle w:val="16"/>
        <w:rPr>
          <w:rFonts w:ascii="Times New Roman" w:hAnsi="Times New Roman" w:eastAsia="宋体"/>
          <w:sz w:val="21"/>
          <w:szCs w:val="22"/>
        </w:rPr>
      </w:pPr>
      <w:r>
        <w:fldChar w:fldCharType="begin"/>
      </w:r>
      <w:r>
        <w:instrText xml:space="preserve">HYPERLINK  \l "_Toc524597416" </w:instrText>
      </w:r>
      <w:r>
        <w:fldChar w:fldCharType="separate"/>
      </w:r>
      <w:r>
        <w:rPr>
          <w:rStyle w:val="31"/>
          <w:rFonts w:ascii="Times New Roman" w:hAnsi="Times New Roman"/>
        </w:rPr>
        <w:t>（三）近零碳排放区示范工程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_Toc524597416 \h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fldChar w:fldCharType="end"/>
      </w:r>
    </w:p>
    <w:p w14:paraId="60FD504E">
      <w:pPr>
        <w:pStyle w:val="24"/>
        <w:rPr>
          <w:rFonts w:ascii="Times New Roman" w:hAnsi="Times New Roman" w:eastAsia="宋体"/>
          <w:sz w:val="21"/>
          <w:szCs w:val="22"/>
        </w:rPr>
      </w:pPr>
      <w:r>
        <w:fldChar w:fldCharType="begin"/>
      </w:r>
      <w:r>
        <w:instrText xml:space="preserve">HYPERLINK  \l "_Toc524597417" </w:instrText>
      </w:r>
      <w:r>
        <w:fldChar w:fldCharType="separate"/>
      </w:r>
      <w:r>
        <w:rPr>
          <w:rStyle w:val="31"/>
          <w:rFonts w:ascii="Times New Roman" w:hAnsi="Times New Roman"/>
        </w:rPr>
        <w:t>四、 “引领一组创新”，探索低碳制度建设新模式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_Toc524597417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fldChar w:fldCharType="end"/>
      </w:r>
    </w:p>
    <w:p w14:paraId="40DD7C40">
      <w:pPr>
        <w:pStyle w:val="16"/>
        <w:rPr>
          <w:rFonts w:ascii="Times New Roman" w:hAnsi="Times New Roman" w:eastAsia="宋体"/>
          <w:sz w:val="21"/>
          <w:szCs w:val="22"/>
        </w:rPr>
      </w:pPr>
      <w:r>
        <w:fldChar w:fldCharType="begin"/>
      </w:r>
      <w:r>
        <w:instrText xml:space="preserve">HYPERLINK  \l "_Toc524597418" </w:instrText>
      </w:r>
      <w:r>
        <w:fldChar w:fldCharType="separate"/>
      </w:r>
      <w:r>
        <w:rPr>
          <w:rStyle w:val="31"/>
          <w:rFonts w:ascii="Times New Roman" w:hAnsi="Times New Roman"/>
        </w:rPr>
        <w:t>（一）建立健全碳数据管理机制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_Toc524597418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fldChar w:fldCharType="end"/>
      </w:r>
    </w:p>
    <w:p w14:paraId="0EDE4035">
      <w:pPr>
        <w:pStyle w:val="16"/>
        <w:rPr>
          <w:rFonts w:ascii="Times New Roman" w:hAnsi="Times New Roman" w:eastAsia="宋体"/>
          <w:sz w:val="21"/>
          <w:szCs w:val="22"/>
        </w:rPr>
      </w:pPr>
      <w:r>
        <w:fldChar w:fldCharType="begin"/>
      </w:r>
      <w:r>
        <w:instrText xml:space="preserve">HYPERLINK  \l "_Toc524597419" </w:instrText>
      </w:r>
      <w:r>
        <w:fldChar w:fldCharType="separate"/>
      </w:r>
      <w:r>
        <w:rPr>
          <w:rStyle w:val="31"/>
          <w:rFonts w:ascii="Times New Roman" w:hAnsi="Times New Roman"/>
        </w:rPr>
        <w:t>（二）探索碳汇补偿机制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_Toc524597419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fldChar w:fldCharType="end"/>
      </w:r>
    </w:p>
    <w:p w14:paraId="04F58023">
      <w:pPr>
        <w:pStyle w:val="24"/>
        <w:rPr>
          <w:rFonts w:ascii="Times New Roman" w:hAnsi="Times New Roman" w:eastAsia="宋体"/>
          <w:sz w:val="21"/>
          <w:szCs w:val="22"/>
        </w:rPr>
      </w:pPr>
      <w:r>
        <w:fldChar w:fldCharType="begin"/>
      </w:r>
      <w:r>
        <w:instrText xml:space="preserve">HYPERLINK  \l "_Toc524597420" </w:instrText>
      </w:r>
      <w:r>
        <w:fldChar w:fldCharType="separate"/>
      </w:r>
      <w:r>
        <w:rPr>
          <w:rStyle w:val="31"/>
          <w:rFonts w:ascii="Times New Roman" w:hAnsi="Times New Roman"/>
        </w:rPr>
        <w:t>五、 “夯实一个基础”，提升城市低碳管理能力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_Toc524597420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fldChar w:fldCharType="end"/>
      </w:r>
    </w:p>
    <w:p w14:paraId="55D0B778">
      <w:pPr>
        <w:pStyle w:val="16"/>
        <w:rPr>
          <w:rFonts w:ascii="Times New Roman" w:hAnsi="Times New Roman" w:eastAsia="宋体"/>
          <w:sz w:val="21"/>
          <w:szCs w:val="22"/>
        </w:rPr>
      </w:pPr>
      <w:r>
        <w:fldChar w:fldCharType="begin"/>
      </w:r>
      <w:r>
        <w:instrText xml:space="preserve">HYPERLINK  \l "_Toc524597421" </w:instrText>
      </w:r>
      <w:r>
        <w:fldChar w:fldCharType="separate"/>
      </w:r>
      <w:r>
        <w:rPr>
          <w:rStyle w:val="31"/>
          <w:rFonts w:ascii="Times New Roman" w:hAnsi="Times New Roman"/>
        </w:rPr>
        <w:t>（一）做好碳排放交易基础工作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_Toc524597421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fldChar w:fldCharType="end"/>
      </w:r>
    </w:p>
    <w:p w14:paraId="67E302F7">
      <w:pPr>
        <w:pStyle w:val="16"/>
        <w:rPr>
          <w:rFonts w:ascii="Times New Roman" w:hAnsi="Times New Roman" w:eastAsia="宋体"/>
          <w:sz w:val="21"/>
          <w:szCs w:val="22"/>
        </w:rPr>
      </w:pPr>
      <w:r>
        <w:fldChar w:fldCharType="begin"/>
      </w:r>
      <w:r>
        <w:instrText xml:space="preserve">HYPERLINK  \l "_Toc524597422" </w:instrText>
      </w:r>
      <w:r>
        <w:fldChar w:fldCharType="separate"/>
      </w:r>
      <w:r>
        <w:rPr>
          <w:rStyle w:val="31"/>
          <w:rFonts w:ascii="Times New Roman" w:hAnsi="Times New Roman"/>
        </w:rPr>
        <w:t>（二）开展低碳领域基础研究和专业化培训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_Toc524597422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fldChar w:fldCharType="end"/>
      </w:r>
    </w:p>
    <w:p w14:paraId="504BD2B9">
      <w:pPr>
        <w:pStyle w:val="21"/>
        <w:rPr>
          <w:rFonts w:ascii="Times New Roman" w:hAnsi="Times New Roman" w:eastAsia="宋体"/>
          <w:sz w:val="21"/>
          <w:szCs w:val="22"/>
        </w:rPr>
      </w:pPr>
      <w:r>
        <w:fldChar w:fldCharType="begin"/>
      </w:r>
      <w:r>
        <w:instrText xml:space="preserve">HYPERLINK  \l "_Toc524597423" </w:instrText>
      </w:r>
      <w:r>
        <w:fldChar w:fldCharType="separate"/>
      </w:r>
      <w:r>
        <w:rPr>
          <w:rStyle w:val="31"/>
          <w:rFonts w:ascii="Times New Roman" w:hAnsi="Times New Roman"/>
        </w:rPr>
        <w:t>第四章三明市低碳发展保障措施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_Toc524597423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fldChar w:fldCharType="end"/>
      </w:r>
    </w:p>
    <w:p w14:paraId="30A1A274">
      <w:pPr>
        <w:pStyle w:val="24"/>
        <w:rPr>
          <w:rFonts w:ascii="Times New Roman" w:hAnsi="Times New Roman" w:eastAsia="宋体"/>
          <w:sz w:val="21"/>
          <w:szCs w:val="22"/>
        </w:rPr>
      </w:pPr>
      <w:r>
        <w:fldChar w:fldCharType="begin"/>
      </w:r>
      <w:r>
        <w:instrText xml:space="preserve">HYPERLINK  \l "_Toc524597424" </w:instrText>
      </w:r>
      <w:r>
        <w:fldChar w:fldCharType="separate"/>
      </w:r>
      <w:r>
        <w:rPr>
          <w:rStyle w:val="31"/>
          <w:rFonts w:ascii="Times New Roman" w:hAnsi="Times New Roman"/>
        </w:rPr>
        <w:t>一、加强组织协调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_Toc524597424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fldChar w:fldCharType="end"/>
      </w:r>
    </w:p>
    <w:p w14:paraId="1C553729">
      <w:pPr>
        <w:pStyle w:val="16"/>
        <w:rPr>
          <w:rFonts w:ascii="Times New Roman" w:hAnsi="Times New Roman" w:eastAsia="宋体"/>
          <w:sz w:val="21"/>
          <w:szCs w:val="22"/>
        </w:rPr>
      </w:pPr>
      <w:r>
        <w:fldChar w:fldCharType="begin"/>
      </w:r>
      <w:r>
        <w:instrText xml:space="preserve">HYPERLINK  \l "_Toc524597425" </w:instrText>
      </w:r>
      <w:r>
        <w:fldChar w:fldCharType="separate"/>
      </w:r>
      <w:r>
        <w:rPr>
          <w:rStyle w:val="31"/>
          <w:rFonts w:ascii="Times New Roman" w:hAnsi="Times New Roman"/>
        </w:rPr>
        <w:t>（一）建立健全组织领导体系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_Toc524597425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fldChar w:fldCharType="end"/>
      </w:r>
    </w:p>
    <w:p w14:paraId="2FB38ED5">
      <w:pPr>
        <w:pStyle w:val="16"/>
        <w:rPr>
          <w:rFonts w:ascii="Times New Roman" w:hAnsi="Times New Roman" w:eastAsia="宋体"/>
          <w:sz w:val="21"/>
          <w:szCs w:val="22"/>
        </w:rPr>
      </w:pPr>
      <w:r>
        <w:fldChar w:fldCharType="begin"/>
      </w:r>
      <w:r>
        <w:instrText xml:space="preserve">HYPERLINK  \l "_Toc524597426" </w:instrText>
      </w:r>
      <w:r>
        <w:fldChar w:fldCharType="separate"/>
      </w:r>
      <w:r>
        <w:rPr>
          <w:rStyle w:val="31"/>
          <w:rFonts w:ascii="Times New Roman" w:hAnsi="Times New Roman"/>
        </w:rPr>
        <w:t>（二）完善工作协同机制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fldChar w:fldCharType="end"/>
      </w:r>
    </w:p>
    <w:p w14:paraId="283714D8">
      <w:pPr>
        <w:pStyle w:val="24"/>
        <w:rPr>
          <w:rFonts w:ascii="Times New Roman" w:hAnsi="Times New Roman" w:eastAsia="宋体"/>
          <w:sz w:val="21"/>
          <w:szCs w:val="22"/>
        </w:rPr>
      </w:pPr>
      <w:r>
        <w:fldChar w:fldCharType="begin"/>
      </w:r>
      <w:r>
        <w:instrText xml:space="preserve">HYPERLINK  \l "_Toc524597427" </w:instrText>
      </w:r>
      <w:r>
        <w:fldChar w:fldCharType="separate"/>
      </w:r>
      <w:r>
        <w:rPr>
          <w:rStyle w:val="31"/>
          <w:rFonts w:ascii="Times New Roman" w:hAnsi="Times New Roman"/>
        </w:rPr>
        <w:t>二、推进制度建设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_Toc524597427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fldChar w:fldCharType="end"/>
      </w:r>
    </w:p>
    <w:p w14:paraId="0D2A85C1">
      <w:pPr>
        <w:pStyle w:val="16"/>
        <w:rPr>
          <w:rFonts w:ascii="Times New Roman" w:hAnsi="Times New Roman" w:eastAsia="宋体"/>
          <w:sz w:val="21"/>
          <w:szCs w:val="22"/>
        </w:rPr>
      </w:pPr>
      <w:r>
        <w:fldChar w:fldCharType="begin"/>
      </w:r>
      <w:r>
        <w:instrText xml:space="preserve">HYPERLINK  \l "_Toc524597428" </w:instrText>
      </w:r>
      <w:r>
        <w:fldChar w:fldCharType="separate"/>
      </w:r>
      <w:r>
        <w:rPr>
          <w:rStyle w:val="31"/>
          <w:rFonts w:ascii="Times New Roman" w:hAnsi="Times New Roman"/>
        </w:rPr>
        <w:t>（一）健全二氧化碳排放降低目标责任评价考核制度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_Toc524597428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fldChar w:fldCharType="end"/>
      </w:r>
    </w:p>
    <w:p w14:paraId="48186DF5">
      <w:pPr>
        <w:pStyle w:val="16"/>
        <w:rPr>
          <w:rFonts w:ascii="Times New Roman" w:hAnsi="Times New Roman" w:eastAsia="宋体"/>
          <w:sz w:val="21"/>
          <w:szCs w:val="22"/>
        </w:rPr>
      </w:pPr>
      <w:r>
        <w:fldChar w:fldCharType="begin"/>
      </w:r>
      <w:r>
        <w:instrText xml:space="preserve">HYPERLINK  \l "_Toc524597429" </w:instrText>
      </w:r>
      <w:r>
        <w:fldChar w:fldCharType="separate"/>
      </w:r>
      <w:r>
        <w:rPr>
          <w:rStyle w:val="31"/>
          <w:rFonts w:ascii="Times New Roman" w:hAnsi="Times New Roman"/>
        </w:rPr>
        <w:t>（二）推行市场化节能降碳机制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_Toc524597429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fldChar w:fldCharType="end"/>
      </w:r>
    </w:p>
    <w:p w14:paraId="1871C253">
      <w:pPr>
        <w:pStyle w:val="24"/>
        <w:rPr>
          <w:rFonts w:ascii="Times New Roman" w:hAnsi="Times New Roman" w:eastAsia="宋体"/>
          <w:sz w:val="21"/>
          <w:szCs w:val="22"/>
        </w:rPr>
      </w:pPr>
      <w:r>
        <w:fldChar w:fldCharType="begin"/>
      </w:r>
      <w:r>
        <w:instrText xml:space="preserve">HYPERLINK  \l "_Toc524597430" </w:instrText>
      </w:r>
      <w:r>
        <w:fldChar w:fldCharType="separate"/>
      </w:r>
      <w:r>
        <w:rPr>
          <w:rStyle w:val="31"/>
          <w:rFonts w:ascii="Times New Roman" w:hAnsi="Times New Roman"/>
        </w:rPr>
        <w:t>三、强化科技支撑</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_Toc524597430 \h </w:instrText>
      </w:r>
      <w:r>
        <w:rPr>
          <w:rFonts w:ascii="Times New Roman" w:hAnsi="Times New Roman"/>
        </w:rPr>
        <w:fldChar w:fldCharType="separate"/>
      </w:r>
      <w:r>
        <w:rPr>
          <w:rFonts w:ascii="Times New Roman" w:hAnsi="Times New Roman"/>
        </w:rPr>
        <w:t>61</w:t>
      </w:r>
      <w:r>
        <w:rPr>
          <w:rFonts w:ascii="Times New Roman" w:hAnsi="Times New Roman"/>
        </w:rPr>
        <w:fldChar w:fldCharType="end"/>
      </w:r>
      <w:r>
        <w:fldChar w:fldCharType="end"/>
      </w:r>
    </w:p>
    <w:p w14:paraId="444093F0">
      <w:pPr>
        <w:pStyle w:val="16"/>
        <w:rPr>
          <w:rFonts w:ascii="Times New Roman" w:hAnsi="Times New Roman" w:eastAsia="宋体"/>
          <w:sz w:val="21"/>
          <w:szCs w:val="22"/>
        </w:rPr>
      </w:pPr>
      <w:r>
        <w:fldChar w:fldCharType="begin"/>
      </w:r>
      <w:r>
        <w:instrText xml:space="preserve">HYPERLINK  \l "_Toc524597431" </w:instrText>
      </w:r>
      <w:r>
        <w:fldChar w:fldCharType="separate"/>
      </w:r>
      <w:r>
        <w:rPr>
          <w:rStyle w:val="31"/>
          <w:rFonts w:ascii="Times New Roman" w:hAnsi="Times New Roman"/>
        </w:rPr>
        <w:t>（一）创新育才、聚才、用才机制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_Toc524597431 \h </w:instrText>
      </w:r>
      <w:r>
        <w:rPr>
          <w:rFonts w:ascii="Times New Roman" w:hAnsi="Times New Roman"/>
        </w:rPr>
        <w:fldChar w:fldCharType="separate"/>
      </w:r>
      <w:r>
        <w:rPr>
          <w:rFonts w:ascii="Times New Roman" w:hAnsi="Times New Roman"/>
        </w:rPr>
        <w:t>61</w:t>
      </w:r>
      <w:r>
        <w:rPr>
          <w:rFonts w:ascii="Times New Roman" w:hAnsi="Times New Roman"/>
        </w:rPr>
        <w:fldChar w:fldCharType="end"/>
      </w:r>
      <w:r>
        <w:fldChar w:fldCharType="end"/>
      </w:r>
    </w:p>
    <w:p w14:paraId="6D910BFD">
      <w:pPr>
        <w:pStyle w:val="16"/>
        <w:rPr>
          <w:rFonts w:ascii="Times New Roman" w:hAnsi="Times New Roman" w:eastAsia="宋体"/>
          <w:sz w:val="21"/>
          <w:szCs w:val="22"/>
        </w:rPr>
      </w:pPr>
      <w:r>
        <w:fldChar w:fldCharType="begin"/>
      </w:r>
      <w:r>
        <w:instrText xml:space="preserve">HYPERLINK  \l "_Toc524597432" </w:instrText>
      </w:r>
      <w:r>
        <w:fldChar w:fldCharType="separate"/>
      </w:r>
      <w:r>
        <w:rPr>
          <w:rStyle w:val="31"/>
          <w:rFonts w:ascii="Times New Roman" w:hAnsi="Times New Roman"/>
        </w:rPr>
        <w:t>（二）鼓励低碳领域创业创新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_Toc524597432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fldChar w:fldCharType="end"/>
      </w:r>
    </w:p>
    <w:p w14:paraId="17FA244C">
      <w:pPr>
        <w:pStyle w:val="24"/>
        <w:rPr>
          <w:rFonts w:ascii="Times New Roman" w:hAnsi="Times New Roman" w:eastAsia="宋体"/>
          <w:sz w:val="21"/>
          <w:szCs w:val="22"/>
        </w:rPr>
      </w:pPr>
      <w:r>
        <w:fldChar w:fldCharType="begin"/>
      </w:r>
      <w:r>
        <w:instrText xml:space="preserve">HYPERLINK  \l "_Toc524597433" </w:instrText>
      </w:r>
      <w:r>
        <w:fldChar w:fldCharType="separate"/>
      </w:r>
      <w:r>
        <w:rPr>
          <w:rStyle w:val="31"/>
          <w:rFonts w:ascii="Times New Roman" w:hAnsi="Times New Roman"/>
        </w:rPr>
        <w:t>四、保障资金投入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_Toc524597433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fldChar w:fldCharType="end"/>
      </w:r>
    </w:p>
    <w:p w14:paraId="454B7A90">
      <w:pPr>
        <w:pStyle w:val="16"/>
        <w:rPr>
          <w:rFonts w:ascii="Times New Roman" w:hAnsi="Times New Roman" w:eastAsia="宋体"/>
          <w:sz w:val="21"/>
          <w:szCs w:val="22"/>
        </w:rPr>
      </w:pPr>
      <w:r>
        <w:fldChar w:fldCharType="begin"/>
      </w:r>
      <w:r>
        <w:instrText xml:space="preserve">HYPERLINK  \l "_Toc524597434" </w:instrText>
      </w:r>
      <w:r>
        <w:fldChar w:fldCharType="separate"/>
      </w:r>
      <w:r>
        <w:rPr>
          <w:rStyle w:val="31"/>
          <w:rFonts w:ascii="Times New Roman" w:hAnsi="Times New Roman"/>
        </w:rPr>
        <w:t>（一）加大财政支持力度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_Toc524597434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fldChar w:fldCharType="end"/>
      </w:r>
    </w:p>
    <w:p w14:paraId="509225DB">
      <w:pPr>
        <w:pStyle w:val="16"/>
        <w:rPr>
          <w:rFonts w:ascii="Times New Roman" w:hAnsi="Times New Roman" w:eastAsia="宋体"/>
          <w:sz w:val="21"/>
          <w:szCs w:val="22"/>
        </w:rPr>
      </w:pPr>
      <w:r>
        <w:fldChar w:fldCharType="begin"/>
      </w:r>
      <w:r>
        <w:instrText xml:space="preserve">HYPERLINK  \l "_Toc524597435" </w:instrText>
      </w:r>
      <w:r>
        <w:fldChar w:fldCharType="separate"/>
      </w:r>
      <w:r>
        <w:rPr>
          <w:rStyle w:val="31"/>
          <w:rFonts w:ascii="Times New Roman" w:hAnsi="Times New Roman"/>
        </w:rPr>
        <w:t>（二）加快构建绿色金融体系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_Toc524597435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fldChar w:fldCharType="end"/>
      </w:r>
    </w:p>
    <w:p w14:paraId="6B75B2D1">
      <w:pPr>
        <w:pStyle w:val="24"/>
        <w:rPr>
          <w:rFonts w:ascii="Times New Roman" w:hAnsi="Times New Roman" w:eastAsia="宋体"/>
          <w:sz w:val="21"/>
          <w:szCs w:val="22"/>
        </w:rPr>
      </w:pPr>
      <w:r>
        <w:fldChar w:fldCharType="begin"/>
      </w:r>
      <w:r>
        <w:instrText xml:space="preserve">HYPERLINK  \l "_Toc524597436" </w:instrText>
      </w:r>
      <w:r>
        <w:fldChar w:fldCharType="separate"/>
      </w:r>
      <w:r>
        <w:rPr>
          <w:rStyle w:val="31"/>
          <w:rFonts w:ascii="Times New Roman" w:hAnsi="Times New Roman"/>
        </w:rPr>
        <w:t>五、加强宣传引导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_Toc524597436 \h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r>
        <w:fldChar w:fldCharType="end"/>
      </w:r>
    </w:p>
    <w:p w14:paraId="1300B836">
      <w:pPr>
        <w:pStyle w:val="16"/>
        <w:rPr>
          <w:rFonts w:ascii="Times New Roman" w:hAnsi="Times New Roman" w:eastAsia="宋体"/>
          <w:sz w:val="21"/>
          <w:szCs w:val="22"/>
        </w:rPr>
      </w:pPr>
      <w:r>
        <w:fldChar w:fldCharType="begin"/>
      </w:r>
      <w:r>
        <w:instrText xml:space="preserve">HYPERLINK  \l "_Toc524597437" </w:instrText>
      </w:r>
      <w:r>
        <w:fldChar w:fldCharType="separate"/>
      </w:r>
      <w:r>
        <w:rPr>
          <w:rStyle w:val="31"/>
          <w:rFonts w:ascii="Times New Roman" w:hAnsi="Times New Roman"/>
        </w:rPr>
        <w:t>（一）打造低碳宣传教育平台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_Toc524597437 \h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r>
        <w:fldChar w:fldCharType="end"/>
      </w:r>
    </w:p>
    <w:p w14:paraId="73342738">
      <w:pPr>
        <w:pStyle w:val="16"/>
        <w:rPr>
          <w:rFonts w:ascii="Times New Roman" w:hAnsi="Times New Roman" w:eastAsia="宋体"/>
          <w:sz w:val="21"/>
          <w:szCs w:val="22"/>
        </w:rPr>
      </w:pPr>
      <w:r>
        <w:fldChar w:fldCharType="begin"/>
      </w:r>
      <w:r>
        <w:instrText xml:space="preserve">HYPERLINK  \l "_Toc524597438" </w:instrText>
      </w:r>
      <w:r>
        <w:fldChar w:fldCharType="separate"/>
      </w:r>
      <w:r>
        <w:rPr>
          <w:rStyle w:val="31"/>
          <w:rFonts w:ascii="Times New Roman" w:hAnsi="Times New Roman"/>
        </w:rPr>
        <w:t>（二）办好全国低碳宣传日活动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_Toc524597438 \h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r>
        <w:fldChar w:fldCharType="end"/>
      </w:r>
    </w:p>
    <w:p w14:paraId="246B4D83">
      <w:pPr>
        <w:pStyle w:val="16"/>
        <w:rPr>
          <w:rFonts w:ascii="Times New Roman" w:hAnsi="Times New Roman" w:eastAsia="宋体"/>
          <w:sz w:val="21"/>
          <w:szCs w:val="22"/>
        </w:rPr>
      </w:pPr>
      <w:r>
        <w:fldChar w:fldCharType="begin"/>
      </w:r>
      <w:r>
        <w:instrText xml:space="preserve">HYPERLINK  \l "_Toc524597439" </w:instrText>
      </w:r>
      <w:r>
        <w:fldChar w:fldCharType="separate"/>
      </w:r>
      <w:r>
        <w:rPr>
          <w:rStyle w:val="31"/>
          <w:rFonts w:ascii="Times New Roman" w:hAnsi="Times New Roman"/>
        </w:rPr>
        <w:t>（三）开展全民低碳共建活动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_Toc524597439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fldChar w:fldCharType="end"/>
      </w:r>
    </w:p>
    <w:p w14:paraId="6E58E4EB">
      <w:pPr>
        <w:pStyle w:val="24"/>
        <w:rPr>
          <w:rFonts w:ascii="Times New Roman" w:hAnsi="Times New Roman" w:eastAsia="宋体"/>
          <w:sz w:val="21"/>
          <w:szCs w:val="22"/>
        </w:rPr>
      </w:pPr>
      <w:r>
        <w:fldChar w:fldCharType="begin"/>
      </w:r>
      <w:r>
        <w:instrText xml:space="preserve">HYPERLINK  \l "_Toc524597440" </w:instrText>
      </w:r>
      <w:r>
        <w:fldChar w:fldCharType="separate"/>
      </w:r>
      <w:r>
        <w:rPr>
          <w:rStyle w:val="31"/>
          <w:rFonts w:ascii="Times New Roman" w:hAnsi="Times New Roman"/>
        </w:rPr>
        <w:t>六、深化对外合作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_Toc524597440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fldChar w:fldCharType="end"/>
      </w:r>
    </w:p>
    <w:p w14:paraId="1FA0E170">
      <w:pPr>
        <w:pStyle w:val="16"/>
        <w:rPr>
          <w:rFonts w:ascii="Times New Roman" w:hAnsi="Times New Roman" w:eastAsia="宋体"/>
          <w:sz w:val="21"/>
          <w:szCs w:val="22"/>
        </w:rPr>
      </w:pPr>
      <w:r>
        <w:fldChar w:fldCharType="begin"/>
      </w:r>
      <w:r>
        <w:instrText xml:space="preserve">HYPERLINK  \l "_Toc524597441" </w:instrText>
      </w:r>
      <w:r>
        <w:fldChar w:fldCharType="separate"/>
      </w:r>
      <w:r>
        <w:rPr>
          <w:rStyle w:val="31"/>
          <w:rFonts w:ascii="Times New Roman" w:hAnsi="Times New Roman"/>
        </w:rPr>
        <w:t>（一）推动低碳领域区域协同合作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_Toc524597441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fldChar w:fldCharType="end"/>
      </w:r>
    </w:p>
    <w:p w14:paraId="38A62669">
      <w:pPr>
        <w:pStyle w:val="16"/>
        <w:rPr>
          <w:rFonts w:ascii="Times New Roman" w:hAnsi="Times New Roman" w:eastAsia="宋体"/>
          <w:sz w:val="21"/>
          <w:szCs w:val="22"/>
        </w:rPr>
      </w:pPr>
      <w:r>
        <w:fldChar w:fldCharType="begin"/>
      </w:r>
      <w:r>
        <w:instrText xml:space="preserve">HYPERLINK  \l "_Toc524597442" </w:instrText>
      </w:r>
      <w:r>
        <w:fldChar w:fldCharType="separate"/>
      </w:r>
      <w:r>
        <w:rPr>
          <w:rStyle w:val="31"/>
          <w:rFonts w:ascii="Times New Roman" w:hAnsi="Times New Roman"/>
        </w:rPr>
        <w:t>（二）加快低碳领域国际交流合作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_Toc524597442 \h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r>
        <w:fldChar w:fldCharType="end"/>
      </w:r>
    </w:p>
    <w:p w14:paraId="57B2359D">
      <w:pPr>
        <w:pStyle w:val="21"/>
        <w:rPr>
          <w:rFonts w:ascii="Times New Roman" w:hAnsi="Times New Roman" w:eastAsia="宋体"/>
          <w:sz w:val="21"/>
          <w:szCs w:val="22"/>
        </w:rPr>
      </w:pPr>
      <w:r>
        <w:fldChar w:fldCharType="begin"/>
      </w:r>
      <w:r>
        <w:instrText xml:space="preserve">HYPERLINK  \l "_Toc524597443" </w:instrText>
      </w:r>
      <w:r>
        <w:fldChar w:fldCharType="separate"/>
      </w:r>
      <w:r>
        <w:rPr>
          <w:rStyle w:val="31"/>
          <w:rFonts w:ascii="Times New Roman" w:hAnsi="Times New Roman"/>
        </w:rPr>
        <w:t>附件：三明市低碳城市建设重大项目表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_Toc524597443 \h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r>
        <w:fldChar w:fldCharType="end"/>
      </w:r>
    </w:p>
    <w:p w14:paraId="6E199F93">
      <w:pPr>
        <w:pStyle w:val="16"/>
        <w:rPr>
          <w:rFonts w:ascii="Times New Roman" w:hAnsi="Times New Roman" w:eastAsia="华文中宋"/>
        </w:rPr>
        <w:sectPr>
          <w:footerReference r:id="rId9" w:type="default"/>
          <w:footerReference r:id="rId10" w:type="even"/>
          <w:type w:val="continuous"/>
          <w:pgSz w:w="11906" w:h="16838"/>
          <w:pgMar w:top="1701" w:right="1418" w:bottom="1418" w:left="1474" w:header="851" w:footer="992" w:gutter="0"/>
          <w:pgNumType w:fmt="lowerRoman" w:start="1"/>
          <w:cols w:space="720" w:num="1"/>
          <w:docGrid w:type="lines" w:linePitch="623" w:charSpace="0"/>
        </w:sectPr>
      </w:pPr>
      <w:r>
        <w:rPr>
          <w:rFonts w:ascii="Times New Roman" w:hAnsi="Times New Roman" w:eastAsia="华文中宋"/>
        </w:rPr>
        <w:fldChar w:fldCharType="end"/>
      </w:r>
    </w:p>
    <w:p w14:paraId="2F7AE3A7">
      <w:pPr>
        <w:pStyle w:val="2"/>
        <w:spacing w:before="260" w:after="260"/>
        <w:jc w:val="center"/>
        <w:rPr>
          <w:sz w:val="36"/>
        </w:rPr>
      </w:pPr>
      <w:r>
        <w:rPr>
          <w:sz w:val="36"/>
        </w:rPr>
        <w:tab/>
      </w:r>
      <w:bookmarkStart w:id="4" w:name="_Toc524597371"/>
      <w:r>
        <w:rPr>
          <w:rFonts w:hint="eastAsia"/>
          <w:sz w:val="36"/>
        </w:rPr>
        <w:t>三明市低碳发展基础条件</w:t>
      </w:r>
      <w:bookmarkEnd w:id="4"/>
    </w:p>
    <w:p w14:paraId="7AB0589D">
      <w:pPr>
        <w:pStyle w:val="4"/>
      </w:pPr>
      <w:bookmarkStart w:id="5" w:name="_Toc524597372"/>
      <w:r>
        <w:rPr>
          <w:rFonts w:hint="eastAsia"/>
        </w:rPr>
        <w:t>自然环境现状</w:t>
      </w:r>
      <w:bookmarkEnd w:id="5"/>
    </w:p>
    <w:p w14:paraId="463571A5">
      <w:pPr>
        <w:ind w:firstLine="640" w:firstLineChars="200"/>
      </w:pPr>
      <w:r>
        <w:rPr>
          <w:rFonts w:hint="eastAsia"/>
        </w:rPr>
        <w:t>三明市位于福建省中部连接西北隅，地处北纬</w:t>
      </w:r>
      <w:r>
        <w:t>25</w:t>
      </w:r>
      <w:r>
        <w:rPr>
          <w:rFonts w:hint="eastAsia"/>
        </w:rPr>
        <w:t>°</w:t>
      </w:r>
      <w:r>
        <w:t>30</w:t>
      </w:r>
      <w:r>
        <w:rPr>
          <w:rFonts w:hint="eastAsia"/>
        </w:rPr>
        <w:t>′～</w:t>
      </w:r>
      <w:r>
        <w:t>27</w:t>
      </w:r>
      <w:r>
        <w:rPr>
          <w:rFonts w:hint="eastAsia"/>
        </w:rPr>
        <w:t>°</w:t>
      </w:r>
      <w:r>
        <w:t>07</w:t>
      </w:r>
      <w:r>
        <w:rPr>
          <w:rFonts w:hint="eastAsia"/>
        </w:rPr>
        <w:t>′、东经</w:t>
      </w:r>
      <w:r>
        <w:t>116</w:t>
      </w:r>
      <w:r>
        <w:rPr>
          <w:rFonts w:hint="eastAsia"/>
        </w:rPr>
        <w:t>°</w:t>
      </w:r>
      <w:r>
        <w:t>22</w:t>
      </w:r>
      <w:r>
        <w:rPr>
          <w:rFonts w:hint="eastAsia"/>
        </w:rPr>
        <w:t>′～</w:t>
      </w:r>
      <w:r>
        <w:t>118</w:t>
      </w:r>
      <w:r>
        <w:rPr>
          <w:rFonts w:hint="eastAsia"/>
        </w:rPr>
        <w:t>°</w:t>
      </w:r>
      <w:r>
        <w:t>39</w:t>
      </w:r>
      <w:r>
        <w:rPr>
          <w:rFonts w:hint="eastAsia"/>
        </w:rPr>
        <w:t>′之间。东</w:t>
      </w:r>
      <w:r>
        <w:rPr>
          <w:rFonts w:hint="eastAsia"/>
          <w:color w:val="000000"/>
        </w:rPr>
        <w:t>依</w:t>
      </w:r>
      <w:r>
        <w:rPr>
          <w:rFonts w:hint="eastAsia"/>
        </w:rPr>
        <w:t>福州市，西</w:t>
      </w:r>
      <w:r>
        <w:rPr>
          <w:rFonts w:hint="eastAsia"/>
          <w:color w:val="000000"/>
        </w:rPr>
        <w:t>毗</w:t>
      </w:r>
      <w:r>
        <w:rPr>
          <w:rFonts w:hint="eastAsia"/>
        </w:rPr>
        <w:t>江西省，南</w:t>
      </w:r>
      <w:r>
        <w:rPr>
          <w:rFonts w:hint="eastAsia"/>
          <w:color w:val="000000"/>
        </w:rPr>
        <w:t>邻</w:t>
      </w:r>
      <w:r>
        <w:rPr>
          <w:rFonts w:hint="eastAsia"/>
        </w:rPr>
        <w:t>泉州市，北</w:t>
      </w:r>
      <w:r>
        <w:rPr>
          <w:rFonts w:hint="eastAsia"/>
          <w:color w:val="000000"/>
        </w:rPr>
        <w:t>傍</w:t>
      </w:r>
      <w:r>
        <w:rPr>
          <w:rFonts w:hint="eastAsia"/>
        </w:rPr>
        <w:t>南平市，西南接龙岩市，全境总面积</w:t>
      </w:r>
      <w:r>
        <w:t>22965</w:t>
      </w:r>
      <w:r>
        <w:rPr>
          <w:rFonts w:hint="eastAsia"/>
        </w:rPr>
        <w:t>平方千米。</w:t>
      </w:r>
      <w:r>
        <w:rPr>
          <w:rFonts w:hint="eastAsia"/>
          <w:color w:val="000000"/>
        </w:rPr>
        <w:t>三明是全国全省重点林区、国务院批准建立的全国集体林区改革试验区、全国集体林业综合改革试验示范区、国家森林城市、全国唯一的海峡两岸现代林业合作实验区。三明林业资源丰富，森林生态环境优越，</w:t>
      </w:r>
      <w:r>
        <w:rPr>
          <w:color w:val="000000"/>
        </w:rPr>
        <w:t>2017</w:t>
      </w:r>
      <w:r>
        <w:rPr>
          <w:rFonts w:hint="eastAsia"/>
          <w:color w:val="000000"/>
        </w:rPr>
        <w:t>年，全市林地面积</w:t>
      </w:r>
      <w:r>
        <w:rPr>
          <w:color w:val="000000"/>
        </w:rPr>
        <w:t>190.15</w:t>
      </w:r>
      <w:r>
        <w:rPr>
          <w:rFonts w:hint="eastAsia"/>
          <w:color w:val="000000"/>
        </w:rPr>
        <w:t>万公顷、占土地总面积</w:t>
      </w:r>
      <w:r>
        <w:rPr>
          <w:color w:val="000000"/>
        </w:rPr>
        <w:t>82.78%</w:t>
      </w:r>
      <w:r>
        <w:rPr>
          <w:rFonts w:hint="eastAsia"/>
          <w:color w:val="000000"/>
        </w:rPr>
        <w:t>，森林覆盖率</w:t>
      </w:r>
      <w:r>
        <w:rPr>
          <w:color w:val="000000"/>
        </w:rPr>
        <w:t>77.73%</w:t>
      </w:r>
      <w:r>
        <w:rPr>
          <w:rFonts w:hint="eastAsia"/>
          <w:color w:val="000000"/>
        </w:rPr>
        <w:t>，森林蓄积量</w:t>
      </w:r>
      <w:r>
        <w:rPr>
          <w:color w:val="000000"/>
        </w:rPr>
        <w:t>1.68</w:t>
      </w:r>
      <w:r>
        <w:rPr>
          <w:rFonts w:hint="eastAsia"/>
          <w:color w:val="000000"/>
        </w:rPr>
        <w:t>亿立方米。全市国家级自然保护区</w:t>
      </w:r>
      <w:r>
        <w:rPr>
          <w:color w:val="000000"/>
        </w:rPr>
        <w:t>5</w:t>
      </w:r>
      <w:r>
        <w:rPr>
          <w:rFonts w:hint="eastAsia"/>
          <w:color w:val="000000"/>
        </w:rPr>
        <w:t>处，省级</w:t>
      </w:r>
      <w:r>
        <w:rPr>
          <w:color w:val="000000"/>
        </w:rPr>
        <w:t>6</w:t>
      </w:r>
      <w:r>
        <w:rPr>
          <w:rFonts w:hint="eastAsia"/>
          <w:color w:val="000000"/>
        </w:rPr>
        <w:t>处、保护小区</w:t>
      </w:r>
      <w:r>
        <w:rPr>
          <w:color w:val="000000"/>
        </w:rPr>
        <w:t>704</w:t>
      </w:r>
      <w:r>
        <w:rPr>
          <w:rFonts w:hint="eastAsia"/>
          <w:color w:val="000000"/>
        </w:rPr>
        <w:t>处，省级以上自然保护区数量占全省的</w:t>
      </w:r>
      <w:r>
        <w:rPr>
          <w:color w:val="000000"/>
        </w:rPr>
        <w:t>1/3</w:t>
      </w:r>
      <w:r>
        <w:rPr>
          <w:rFonts w:hint="eastAsia"/>
          <w:color w:val="000000"/>
        </w:rPr>
        <w:t>。全市国家森林公园</w:t>
      </w:r>
      <w:r>
        <w:rPr>
          <w:color w:val="000000"/>
        </w:rPr>
        <w:t>6</w:t>
      </w:r>
      <w:r>
        <w:rPr>
          <w:rFonts w:hint="eastAsia"/>
          <w:color w:val="000000"/>
        </w:rPr>
        <w:t>处、省级森林公园</w:t>
      </w:r>
      <w:r>
        <w:rPr>
          <w:color w:val="000000"/>
        </w:rPr>
        <w:t>19</w:t>
      </w:r>
      <w:r>
        <w:rPr>
          <w:rFonts w:hint="eastAsia"/>
          <w:color w:val="000000"/>
        </w:rPr>
        <w:t>处，国家湿地公园</w:t>
      </w:r>
      <w:r>
        <w:rPr>
          <w:color w:val="000000"/>
        </w:rPr>
        <w:t>1</w:t>
      </w:r>
      <w:r>
        <w:rPr>
          <w:rFonts w:hint="eastAsia"/>
          <w:color w:val="000000"/>
        </w:rPr>
        <w:t>处，森林康养旅游形势向好。丰富的自然资源为三明市低碳发展提供了良好的基础条件。</w:t>
      </w:r>
    </w:p>
    <w:p w14:paraId="5403573B">
      <w:pPr>
        <w:pStyle w:val="4"/>
      </w:pPr>
      <w:bookmarkStart w:id="6" w:name="_Toc524597373"/>
      <w:r>
        <w:rPr>
          <w:rFonts w:hint="eastAsia"/>
        </w:rPr>
        <w:t>社会经济发展现状</w:t>
      </w:r>
      <w:bookmarkEnd w:id="6"/>
    </w:p>
    <w:p w14:paraId="0BE67852">
      <w:pPr>
        <w:ind w:firstLine="640" w:firstLineChars="200"/>
        <w:rPr>
          <w:color w:val="000000"/>
        </w:rPr>
      </w:pPr>
      <w:r>
        <w:rPr>
          <w:rFonts w:hint="eastAsia"/>
        </w:rPr>
        <w:t>三明市下辖</w:t>
      </w:r>
      <w:r>
        <w:t>2</w:t>
      </w:r>
      <w:r>
        <w:rPr>
          <w:rFonts w:hint="eastAsia"/>
        </w:rPr>
        <w:t>个区：梅列区、三元区，</w:t>
      </w:r>
      <w:r>
        <w:t>1</w:t>
      </w:r>
      <w:r>
        <w:rPr>
          <w:rFonts w:hint="eastAsia"/>
        </w:rPr>
        <w:t>个市：永安市，</w:t>
      </w:r>
      <w:r>
        <w:t>9</w:t>
      </w:r>
      <w:r>
        <w:rPr>
          <w:rFonts w:hint="eastAsia"/>
        </w:rPr>
        <w:t>个县：明溪县、清流县、宁化县、大田县、尤溪县、沙县、将乐县、泰宁县、建宁县，年末全市常住人口</w:t>
      </w:r>
      <w:r>
        <w:t>257.0</w:t>
      </w:r>
      <w:r>
        <w:rPr>
          <w:rFonts w:hint="eastAsia"/>
        </w:rPr>
        <w:t>万人，其中，城镇常</w:t>
      </w:r>
      <w:r>
        <w:rPr>
          <w:rFonts w:hint="eastAsia"/>
          <w:color w:val="000000"/>
        </w:rPr>
        <w:t>住人口</w:t>
      </w:r>
      <w:r>
        <w:rPr>
          <w:color w:val="000000"/>
        </w:rPr>
        <w:t>151.7</w:t>
      </w:r>
      <w:r>
        <w:rPr>
          <w:rFonts w:hint="eastAsia"/>
          <w:color w:val="000000"/>
        </w:rPr>
        <w:t>万人，占总人口比重为</w:t>
      </w:r>
      <w:r>
        <w:rPr>
          <w:color w:val="000000"/>
        </w:rPr>
        <w:t>59.0%</w:t>
      </w:r>
      <w:r>
        <w:rPr>
          <w:rFonts w:hint="eastAsia"/>
          <w:color w:val="000000"/>
        </w:rPr>
        <w:t>。城镇化率逐步提升。</w:t>
      </w:r>
      <w:r>
        <w:rPr>
          <w:color w:val="000000"/>
        </w:rPr>
        <w:t>2017</w:t>
      </w:r>
      <w:r>
        <w:rPr>
          <w:rFonts w:hint="eastAsia"/>
          <w:color w:val="000000"/>
        </w:rPr>
        <w:t>年全市居民人均可支配收入</w:t>
      </w:r>
      <w:r>
        <w:rPr>
          <w:color w:val="000000"/>
        </w:rPr>
        <w:t>24150</w:t>
      </w:r>
      <w:r>
        <w:rPr>
          <w:rFonts w:hint="eastAsia"/>
          <w:color w:val="000000"/>
        </w:rPr>
        <w:t>元，比上年增长</w:t>
      </w:r>
      <w:r>
        <w:rPr>
          <w:color w:val="000000"/>
        </w:rPr>
        <w:t>8.9%</w:t>
      </w:r>
      <w:r>
        <w:rPr>
          <w:rFonts w:hint="eastAsia"/>
          <w:color w:val="000000"/>
        </w:rPr>
        <w:t>。其中，农村居民人均可支配收入</w:t>
      </w:r>
      <w:r>
        <w:rPr>
          <w:color w:val="000000"/>
        </w:rPr>
        <w:t>15212</w:t>
      </w:r>
      <w:r>
        <w:rPr>
          <w:rFonts w:hint="eastAsia"/>
          <w:color w:val="000000"/>
        </w:rPr>
        <w:t>元，比上年增长</w:t>
      </w:r>
      <w:r>
        <w:rPr>
          <w:color w:val="000000"/>
        </w:rPr>
        <w:t>9.3%</w:t>
      </w:r>
      <w:r>
        <w:rPr>
          <w:rFonts w:hint="eastAsia"/>
          <w:color w:val="000000"/>
        </w:rPr>
        <w:t>；城镇居民人均可支配收入</w:t>
      </w:r>
      <w:r>
        <w:rPr>
          <w:color w:val="000000"/>
        </w:rPr>
        <w:t>32261</w:t>
      </w:r>
      <w:r>
        <w:rPr>
          <w:rFonts w:hint="eastAsia"/>
          <w:color w:val="000000"/>
        </w:rPr>
        <w:t>元，比上年增长</w:t>
      </w:r>
      <w:r>
        <w:rPr>
          <w:color w:val="000000"/>
        </w:rPr>
        <w:t>8.7%</w:t>
      </w:r>
      <w:r>
        <w:rPr>
          <w:rFonts w:hint="eastAsia"/>
          <w:color w:val="000000"/>
        </w:rPr>
        <w:t>。人民生活水平在逐步提升。</w:t>
      </w:r>
    </w:p>
    <w:p w14:paraId="41DB39C9">
      <w:pPr>
        <w:ind w:firstLine="640" w:firstLineChars="200"/>
      </w:pPr>
      <w:r>
        <w:t>2017</w:t>
      </w:r>
      <w:r>
        <w:rPr>
          <w:rFonts w:hint="eastAsia"/>
        </w:rPr>
        <w:t>年全市地区生产总值</w:t>
      </w:r>
      <w:r>
        <w:t>2102.64</w:t>
      </w:r>
      <w:r>
        <w:rPr>
          <w:rFonts w:hint="eastAsia"/>
        </w:rPr>
        <w:t>亿元，比上年增长</w:t>
      </w:r>
      <w:r>
        <w:t>8.0%</w:t>
      </w:r>
      <w:r>
        <w:rPr>
          <w:rFonts w:hint="eastAsia"/>
        </w:rPr>
        <w:t>；人均地区生产总值超过</w:t>
      </w:r>
      <w:r>
        <w:t>1</w:t>
      </w:r>
      <w:r>
        <w:rPr>
          <w:rFonts w:hint="eastAsia"/>
        </w:rPr>
        <w:t>万美元；一般公共预算总收入</w:t>
      </w:r>
      <w:r>
        <w:t>147.28</w:t>
      </w:r>
      <w:r>
        <w:rPr>
          <w:rFonts w:hint="eastAsia"/>
        </w:rPr>
        <w:t>亿元，比上年增长</w:t>
      </w:r>
      <w:r>
        <w:t>9.6%</w:t>
      </w:r>
      <w:r>
        <w:rPr>
          <w:rFonts w:hint="eastAsia"/>
        </w:rPr>
        <w:t>；地方一般公共预算收入</w:t>
      </w:r>
      <w:r>
        <w:t>100.76</w:t>
      </w:r>
      <w:r>
        <w:rPr>
          <w:rFonts w:hint="eastAsia"/>
        </w:rPr>
        <w:t>亿元，增长</w:t>
      </w:r>
      <w:r>
        <w:t>6.4%</w:t>
      </w:r>
      <w:r>
        <w:rPr>
          <w:rFonts w:hint="eastAsia"/>
        </w:rPr>
        <w:t>；固定资产投资</w:t>
      </w:r>
      <w:r>
        <w:t>2498.50</w:t>
      </w:r>
      <w:r>
        <w:rPr>
          <w:rFonts w:hint="eastAsia"/>
        </w:rPr>
        <w:t>亿元，增长</w:t>
      </w:r>
      <w:r>
        <w:t>16.7%</w:t>
      </w:r>
      <w:r>
        <w:rPr>
          <w:rFonts w:hint="eastAsia"/>
        </w:rPr>
        <w:t>。经济运行保持总体平稳、稳中有进、进中向好态势。</w:t>
      </w:r>
    </w:p>
    <w:p w14:paraId="3A080D6A">
      <w:pPr>
        <w:pStyle w:val="4"/>
      </w:pPr>
      <w:bookmarkStart w:id="7" w:name="_Toc524597374"/>
      <w:r>
        <w:rPr>
          <w:rFonts w:hint="eastAsia"/>
        </w:rPr>
        <w:t>产业发展现状</w:t>
      </w:r>
      <w:bookmarkEnd w:id="7"/>
    </w:p>
    <w:p w14:paraId="2542DF39">
      <w:pPr>
        <w:ind w:firstLine="640" w:firstLineChars="200"/>
      </w:pPr>
      <w:r>
        <w:t>2017</w:t>
      </w:r>
      <w:r>
        <w:rPr>
          <w:rFonts w:hint="eastAsia"/>
        </w:rPr>
        <w:t>年，三明第一产业增加值</w:t>
      </w:r>
      <w:r>
        <w:t>250.04</w:t>
      </w:r>
      <w:r>
        <w:rPr>
          <w:rFonts w:hint="eastAsia"/>
        </w:rPr>
        <w:t>亿元，增长</w:t>
      </w:r>
      <w:r>
        <w:t>4.2%</w:t>
      </w:r>
      <w:r>
        <w:rPr>
          <w:rFonts w:hint="eastAsia"/>
        </w:rPr>
        <w:t>；第二产业增加值</w:t>
      </w:r>
      <w:r>
        <w:t>1095.15</w:t>
      </w:r>
      <w:r>
        <w:rPr>
          <w:rFonts w:hint="eastAsia"/>
        </w:rPr>
        <w:t>亿元，增长</w:t>
      </w:r>
      <w:r>
        <w:t>6.8%</w:t>
      </w:r>
      <w:r>
        <w:rPr>
          <w:rFonts w:hint="eastAsia"/>
        </w:rPr>
        <w:t>；第三产业增加值</w:t>
      </w:r>
      <w:r>
        <w:t>757.45</w:t>
      </w:r>
      <w:r>
        <w:rPr>
          <w:rFonts w:hint="eastAsia"/>
        </w:rPr>
        <w:t>亿元，增长</w:t>
      </w:r>
      <w:r>
        <w:t>11.2%</w:t>
      </w:r>
      <w:r>
        <w:rPr>
          <w:rFonts w:hint="eastAsia"/>
        </w:rPr>
        <w:t>。第一产业增加值占地区生产总值的比重为</w:t>
      </w:r>
      <w:r>
        <w:t>11.9%</w:t>
      </w:r>
      <w:r>
        <w:rPr>
          <w:rFonts w:hint="eastAsia"/>
        </w:rPr>
        <w:t>，第二产业增加值比重为</w:t>
      </w:r>
      <w:r>
        <w:t>52.1%</w:t>
      </w:r>
      <w:r>
        <w:rPr>
          <w:rFonts w:hint="eastAsia"/>
        </w:rPr>
        <w:t>，第三产业增加值比重为</w:t>
      </w:r>
      <w:r>
        <w:t>36%</w:t>
      </w:r>
      <w:r>
        <w:rPr>
          <w:rFonts w:hint="eastAsia"/>
        </w:rPr>
        <w:t>。全年全部工业增加值</w:t>
      </w:r>
      <w:r>
        <w:t>895.62</w:t>
      </w:r>
      <w:r>
        <w:rPr>
          <w:rFonts w:hint="eastAsia"/>
        </w:rPr>
        <w:t>亿元，比上年增长</w:t>
      </w:r>
      <w:r>
        <w:t>7.7%</w:t>
      </w:r>
      <w:r>
        <w:rPr>
          <w:rFonts w:hint="eastAsia"/>
        </w:rPr>
        <w:t>。规模以上工业增加值</w:t>
      </w:r>
      <w:r>
        <w:t>861.92</w:t>
      </w:r>
      <w:r>
        <w:rPr>
          <w:rFonts w:hint="eastAsia"/>
        </w:rPr>
        <w:t>亿元，增长</w:t>
      </w:r>
      <w:r>
        <w:t>8.1%</w:t>
      </w:r>
      <w:r>
        <w:rPr>
          <w:rFonts w:hint="eastAsia"/>
        </w:rPr>
        <w:t>。工业主导作用更加突出；服务业发展水平全面提升，物流、电商、旅游等现代服务业加快发展，培育形成一批亿元以上电商企业；农业现代化进程稳步推进，现代农业产值突破</w:t>
      </w:r>
      <w:r>
        <w:t>1000</w:t>
      </w:r>
      <w:r>
        <w:rPr>
          <w:rFonts w:hint="eastAsia"/>
        </w:rPr>
        <w:t>亿元，形成高优粮食、绿色林业、精致园艺、生态养殖、现代烟草五大特色农业主导产业。</w:t>
      </w:r>
    </w:p>
    <w:p w14:paraId="34B79A90">
      <w:pPr>
        <w:pStyle w:val="4"/>
      </w:pPr>
      <w:bookmarkStart w:id="8" w:name="_Toc524597375"/>
      <w:r>
        <w:rPr>
          <w:rFonts w:hint="eastAsia"/>
        </w:rPr>
        <w:t>发展成效</w:t>
      </w:r>
      <w:bookmarkEnd w:id="8"/>
    </w:p>
    <w:p w14:paraId="77B0378E">
      <w:pPr>
        <w:pStyle w:val="5"/>
        <w:spacing w:line="240" w:lineRule="auto"/>
        <w:rPr>
          <w:rFonts w:ascii="楷体" w:hAnsi="楷体" w:eastAsia="楷体"/>
        </w:rPr>
      </w:pPr>
      <w:bookmarkStart w:id="9" w:name="_Toc524597376"/>
      <w:r>
        <w:rPr>
          <w:rFonts w:hint="eastAsia" w:ascii="楷体" w:hAnsi="楷体" w:eastAsia="楷体"/>
        </w:rPr>
        <w:t>（一）节能降碳成效显著</w:t>
      </w:r>
      <w:bookmarkEnd w:id="9"/>
    </w:p>
    <w:p w14:paraId="59985B59">
      <w:pPr>
        <w:ind w:firstLine="640" w:firstLineChars="200"/>
      </w:pPr>
      <w:r>
        <w:rPr>
          <w:rFonts w:hint="eastAsia"/>
        </w:rPr>
        <w:t>“十二五”期间，我市全面贯彻落实《福建省“十二五”控制温室气体排放实施方案的通知》和《福建省单位地区生产总值二氧化碳排放降低目标责任考核评估办法》要求，积极采取包括推动产业转型升级、优化能源结构、推进重点领域低碳工作、加强森林碳汇培育、开展试点示范创建、夯实基础工作和能力建设等措施，力争完成省下达我市的二氧化碳排放控制目标。按照《福建省“十二五”控制温室气体排放实施方案的通知》要求，我市“十二五”单位地区生产总值二氧化碳排放降低目标为下降</w:t>
      </w:r>
      <w:r>
        <w:t>20%</w:t>
      </w:r>
      <w:r>
        <w:rPr>
          <w:rFonts w:hint="eastAsia"/>
        </w:rPr>
        <w:t>。截至</w:t>
      </w:r>
      <w:r>
        <w:t>2015</w:t>
      </w:r>
      <w:r>
        <w:rPr>
          <w:rFonts w:hint="eastAsia"/>
        </w:rPr>
        <w:t>年底，我市单位地区生产总值二氧化碳排放累计下降</w:t>
      </w:r>
      <w:r>
        <w:t>27.6%</w:t>
      </w:r>
      <w:r>
        <w:rPr>
          <w:rFonts w:hint="eastAsia"/>
        </w:rPr>
        <w:t>，优于预期目标</w:t>
      </w:r>
      <w:r>
        <w:t>7.6</w:t>
      </w:r>
      <w:r>
        <w:rPr>
          <w:rFonts w:hint="eastAsia"/>
        </w:rPr>
        <w:t>个百分点，超额完成“十二五”节能降碳目标。</w:t>
      </w:r>
    </w:p>
    <w:p w14:paraId="2694168B">
      <w:pPr>
        <w:pStyle w:val="5"/>
        <w:spacing w:line="240" w:lineRule="auto"/>
        <w:rPr>
          <w:rFonts w:ascii="楷体" w:hAnsi="楷体" w:eastAsia="楷体"/>
        </w:rPr>
      </w:pPr>
      <w:bookmarkStart w:id="10" w:name="_Toc524597377"/>
      <w:r>
        <w:rPr>
          <w:rFonts w:hint="eastAsia" w:ascii="楷体" w:hAnsi="楷体" w:eastAsia="楷体"/>
        </w:rPr>
        <w:t>（二）产业结构稳步优化</w:t>
      </w:r>
      <w:bookmarkEnd w:id="10"/>
    </w:p>
    <w:p w14:paraId="2CD3EA64">
      <w:pPr>
        <w:ind w:firstLine="640" w:firstLineChars="200"/>
      </w:pPr>
      <w:r>
        <w:rPr>
          <w:rFonts w:hint="eastAsia"/>
        </w:rPr>
        <w:t>我市积极推进供给侧结构性改革，实施创新驱动发展战略，经济社会发展保持稳中有进、稳中向好的良好态势。三次产业的比重由</w:t>
      </w:r>
      <w:r>
        <w:t>2010</w:t>
      </w:r>
      <w:r>
        <w:rPr>
          <w:rFonts w:hint="eastAsia"/>
        </w:rPr>
        <w:t>年的</w:t>
      </w:r>
      <w:r>
        <w:t>17.3</w:t>
      </w:r>
      <w:r>
        <w:rPr>
          <w:rFonts w:hint="eastAsia"/>
        </w:rPr>
        <w:t>∶</w:t>
      </w:r>
      <w:r>
        <w:t>49.2</w:t>
      </w:r>
      <w:r>
        <w:rPr>
          <w:rFonts w:hint="eastAsia"/>
        </w:rPr>
        <w:t>∶</w:t>
      </w:r>
      <w:r>
        <w:t>33.5</w:t>
      </w:r>
      <w:r>
        <w:rPr>
          <w:rFonts w:hint="eastAsia"/>
        </w:rPr>
        <w:t>调整为</w:t>
      </w:r>
      <w:r>
        <w:t>2017</w:t>
      </w:r>
      <w:r>
        <w:rPr>
          <w:rFonts w:hint="eastAsia"/>
        </w:rPr>
        <w:t>年的</w:t>
      </w:r>
      <w:r>
        <w:t>11.9</w:t>
      </w:r>
      <w:r>
        <w:rPr>
          <w:rFonts w:hint="eastAsia"/>
        </w:rPr>
        <w:t>∶</w:t>
      </w:r>
      <w:r>
        <w:t>52.1</w:t>
      </w:r>
      <w:r>
        <w:rPr>
          <w:rFonts w:hint="eastAsia"/>
        </w:rPr>
        <w:t>∶</w:t>
      </w:r>
      <w:r>
        <w:t>36</w:t>
      </w:r>
      <w:r>
        <w:rPr>
          <w:rFonts w:hint="eastAsia"/>
        </w:rPr>
        <w:t>，产业结构不断优化（图</w:t>
      </w:r>
      <w:r>
        <w:t>1-1</w:t>
      </w:r>
      <w:r>
        <w:rPr>
          <w:rFonts w:hint="eastAsia"/>
        </w:rPr>
        <w:t>）。以工业为主导的产业体系逐步形成，中国重汽、机科院、中节能等一批央企项目落地。产业升级加快，以生态旅游、现代物流、互联网经济为核心的现代服务业发展水平全面提升，培育形成一批亿元以上电商企业；实施千亿现代农业产业跨越发展行动计划，逐步形成高优粮食、绿色林业、精致园艺、生态养殖、现代烟草五大特色农业主导产业；环保、新能源汽车、智能制造等战略新兴产业快速发展，科技创新能力不断增强。</w:t>
      </w:r>
    </w:p>
    <w:p w14:paraId="1E7740F3">
      <w:pPr>
        <w:spacing w:line="240" w:lineRule="auto"/>
        <w:jc w:val="center"/>
      </w:pPr>
      <w:r>
        <w:rPr>
          <w:rFonts w:ascii="Times New Roman" w:hAnsi="Times New Roman" w:eastAsia="仿宋_GB2312" w:cs="Times New Roman"/>
          <w:kern w:val="2"/>
          <w:sz w:val="32"/>
          <w:szCs w:val="21"/>
          <w:lang w:val="en-US" w:eastAsia="zh-CN" w:bidi="ar-SA"/>
        </w:rPr>
        <w:pict>
          <v:shape id="_x0000_i1025" o:spt="75" type="#_x0000_t75" style="height:188.25pt;width:417pt;" fillcolor="#FFFFFF" filled="f" o:preferrelative="t" stroked="f" coordsize="21600,21600">
            <v:path/>
            <v:fill on="f" color2="#FFFFFF" focussize="0,0"/>
            <v:stroke on="f"/>
            <v:imagedata r:id="rId15" gain="65536f" blacklevel="0f" gamma="0" o:title=""/>
            <o:lock v:ext="edit" position="f" selection="f" grouping="f" rotation="f" cropping="f" text="f" aspectratio="f"/>
            <w10:wrap type="none"/>
            <w10:anchorlock/>
          </v:shape>
        </w:pict>
      </w:r>
    </w:p>
    <w:p w14:paraId="3125E8D6">
      <w:pPr>
        <w:ind w:firstLine="560"/>
        <w:jc w:val="center"/>
        <w:rPr>
          <w:sz w:val="28"/>
        </w:rPr>
      </w:pPr>
      <w:r>
        <w:rPr>
          <w:rFonts w:hint="eastAsia"/>
          <w:sz w:val="28"/>
        </w:rPr>
        <w:t>图</w:t>
      </w:r>
      <w:r>
        <w:rPr>
          <w:sz w:val="28"/>
        </w:rPr>
        <w:t>1-1 2010-2017</w:t>
      </w:r>
      <w:r>
        <w:rPr>
          <w:rFonts w:hint="eastAsia"/>
          <w:sz w:val="28"/>
        </w:rPr>
        <w:t>年三明市三次产业结构比重变化情况</w:t>
      </w:r>
    </w:p>
    <w:p w14:paraId="1CCB94B2">
      <w:pPr>
        <w:pStyle w:val="5"/>
        <w:spacing w:line="240" w:lineRule="auto"/>
        <w:rPr>
          <w:rFonts w:ascii="楷体" w:hAnsi="楷体" w:eastAsia="楷体"/>
        </w:rPr>
      </w:pPr>
      <w:bookmarkStart w:id="11" w:name="_Toc524597378"/>
      <w:r>
        <w:rPr>
          <w:rFonts w:hint="eastAsia" w:ascii="楷体" w:hAnsi="楷体" w:eastAsia="楷体"/>
        </w:rPr>
        <w:t>（三）能源结构进一步优化</w:t>
      </w:r>
      <w:bookmarkEnd w:id="11"/>
    </w:p>
    <w:p w14:paraId="69358557">
      <w:pPr>
        <w:ind w:firstLine="640" w:firstLineChars="200"/>
      </w:pPr>
      <w:r>
        <w:t>2017</w:t>
      </w:r>
      <w:r>
        <w:rPr>
          <w:rFonts w:hint="eastAsia"/>
        </w:rPr>
        <w:t>年，全市能源消费总量</w:t>
      </w:r>
      <w:r>
        <w:t>1340.49</w:t>
      </w:r>
      <w:r>
        <w:rPr>
          <w:rFonts w:hint="eastAsia"/>
        </w:rPr>
        <w:t>万吨标煤，单位</w:t>
      </w:r>
      <w:r>
        <w:t>GDP</w:t>
      </w:r>
      <w:r>
        <w:rPr>
          <w:rFonts w:hint="eastAsia"/>
        </w:rPr>
        <w:t>总能耗</w:t>
      </w:r>
      <w:r>
        <w:t>0.719</w:t>
      </w:r>
      <w:r>
        <w:rPr>
          <w:rFonts w:hint="eastAsia"/>
        </w:rPr>
        <w:t>吨标煤</w:t>
      </w:r>
      <w:r>
        <w:t>/</w:t>
      </w:r>
      <w:r>
        <w:rPr>
          <w:rFonts w:hint="eastAsia"/>
        </w:rPr>
        <w:t>万元，较</w:t>
      </w:r>
      <w:r>
        <w:t>2016</w:t>
      </w:r>
      <w:r>
        <w:rPr>
          <w:rFonts w:hint="eastAsia"/>
        </w:rPr>
        <w:t>年降低</w:t>
      </w:r>
      <w:r>
        <w:t>3.02%</w:t>
      </w:r>
      <w:r>
        <w:rPr>
          <w:rFonts w:hint="eastAsia"/>
        </w:rPr>
        <w:t>。能源消费结构以煤炭为主，</w:t>
      </w:r>
      <w:r>
        <w:t>2017</w:t>
      </w:r>
      <w:r>
        <w:rPr>
          <w:rFonts w:hint="eastAsia"/>
        </w:rPr>
        <w:t>年非化石能源占比达</w:t>
      </w:r>
      <w:r>
        <w:t>26.87%</w:t>
      </w:r>
      <w:r>
        <w:rPr>
          <w:rFonts w:hint="eastAsia"/>
        </w:rPr>
        <w:t>，非化石能源占比显著提高。主要耗能行业为冶金、水泥、化工、建材、火电等。“十二五”期间，我市积极稳妥推进三明核电，加快天然气、陆上风电、分布式光伏发电等新能源项目建设，构筑安全、稳定、经济、清洁的能源供应体系，海西天然气管网三明境内段一期、宁化鸡公岽风电、池潭电厂改扩建等项目积极推进建设，同时三明抽水蓄能、西气东输三线龙岩</w:t>
      </w:r>
      <w:r>
        <w:t>-</w:t>
      </w:r>
      <w:r>
        <w:rPr>
          <w:rFonts w:hint="eastAsia"/>
        </w:rPr>
        <w:t>三明支干线工程、新疆煤制天然气外输管道工程、大唐国际沙县热电联产等重大项目也有序推进。</w:t>
      </w:r>
    </w:p>
    <w:p w14:paraId="15EAB77C">
      <w:pPr>
        <w:pStyle w:val="5"/>
        <w:spacing w:line="240" w:lineRule="auto"/>
        <w:rPr>
          <w:rFonts w:ascii="楷体" w:hAnsi="楷体" w:eastAsia="楷体"/>
        </w:rPr>
      </w:pPr>
      <w:bookmarkStart w:id="12" w:name="_Toc524597379"/>
      <w:r>
        <w:rPr>
          <w:rFonts w:hint="eastAsia" w:ascii="楷体" w:hAnsi="楷体" w:eastAsia="楷体"/>
        </w:rPr>
        <w:t>（四）重点领域低碳工作加速推进</w:t>
      </w:r>
      <w:bookmarkEnd w:id="12"/>
    </w:p>
    <w:p w14:paraId="72A940E4">
      <w:pPr>
        <w:ind w:firstLine="643" w:firstLineChars="200"/>
      </w:pPr>
      <w:r>
        <w:rPr>
          <w:rFonts w:hint="eastAsia"/>
          <w:b/>
        </w:rPr>
        <w:t>工业领域</w:t>
      </w:r>
      <w:r>
        <w:rPr>
          <w:rFonts w:hint="eastAsia"/>
        </w:rPr>
        <w:t>，我市大力实施节能技术改造，加快淘汰落后产能。</w:t>
      </w:r>
      <w:r>
        <w:t>2015</w:t>
      </w:r>
      <w:r>
        <w:rPr>
          <w:rFonts w:hint="eastAsia"/>
        </w:rPr>
        <w:t>年全市规模以上工业增加值能耗为</w:t>
      </w:r>
      <w:r>
        <w:t>1.06</w:t>
      </w:r>
      <w:r>
        <w:rPr>
          <w:rFonts w:hint="eastAsia"/>
        </w:rPr>
        <w:t>吨标准煤／万元，比</w:t>
      </w:r>
      <w:r>
        <w:t>2010</w:t>
      </w:r>
      <w:r>
        <w:rPr>
          <w:rFonts w:hint="eastAsia"/>
        </w:rPr>
        <w:t>年下降</w:t>
      </w:r>
      <w:r>
        <w:t>44%</w:t>
      </w:r>
      <w:r>
        <w:rPr>
          <w:rFonts w:hint="eastAsia"/>
        </w:rPr>
        <w:t>，超额完成省上下达</w:t>
      </w:r>
      <w:r>
        <w:t>20%</w:t>
      </w:r>
      <w:r>
        <w:rPr>
          <w:rFonts w:hint="eastAsia"/>
        </w:rPr>
        <w:t>的目标任务。</w:t>
      </w:r>
      <w:r>
        <w:rPr>
          <w:rFonts w:hint="eastAsia"/>
          <w:b/>
        </w:rPr>
        <w:t>建筑领域</w:t>
      </w:r>
      <w:r>
        <w:rPr>
          <w:rFonts w:hint="eastAsia"/>
        </w:rPr>
        <w:t>，建筑节能和绿色建筑工作成效显著。建筑节能水平逐步提升，我市夏热冬冷地区居住建筑节能改造累计完成建筑面积</w:t>
      </w:r>
      <w:r>
        <w:t>17.89</w:t>
      </w:r>
      <w:r>
        <w:rPr>
          <w:rFonts w:hint="eastAsia"/>
        </w:rPr>
        <w:t>万平方米；绿色建筑项目由点到面逐步推进，共计实施三明碧桂园绿色住宅小区一星级绿建等</w:t>
      </w:r>
      <w:r>
        <w:t>21</w:t>
      </w:r>
      <w:r>
        <w:rPr>
          <w:rFonts w:hint="eastAsia"/>
        </w:rPr>
        <w:t>个绿建项目。</w:t>
      </w:r>
      <w:r>
        <w:rPr>
          <w:rFonts w:hint="eastAsia"/>
          <w:b/>
        </w:rPr>
        <w:t>交通领域</w:t>
      </w:r>
      <w:r>
        <w:rPr>
          <w:rFonts w:hint="eastAsia"/>
        </w:rPr>
        <w:t>，进一步完善公共交通体系，发展新能源汽车。公交线网已覆盖</w:t>
      </w:r>
      <w:r>
        <w:t>12</w:t>
      </w:r>
      <w:r>
        <w:rPr>
          <w:rFonts w:hint="eastAsia"/>
        </w:rPr>
        <w:t>个县（市、区）的中心城区，中心城区公共交通占机动化出行比例达到</w:t>
      </w:r>
      <w:r>
        <w:t>30.5%</w:t>
      </w:r>
      <w:r>
        <w:rPr>
          <w:rFonts w:hint="eastAsia"/>
        </w:rPr>
        <w:t>；全市累计投入清洁能源、新能源公交车</w:t>
      </w:r>
      <w:r>
        <w:t>635</w:t>
      </w:r>
      <w:r>
        <w:rPr>
          <w:rFonts w:hint="eastAsia"/>
        </w:rPr>
        <w:t>辆，占公交车辆总数的</w:t>
      </w:r>
      <w:r>
        <w:t>57.1%</w:t>
      </w:r>
      <w:r>
        <w:rPr>
          <w:rFonts w:hint="eastAsia"/>
        </w:rPr>
        <w:t>；加快推进新能源充电站和新能源加气站建设，完成贵溪洋公交综合停车场等三个</w:t>
      </w:r>
      <w:r>
        <w:t>LNG</w:t>
      </w:r>
      <w:r>
        <w:rPr>
          <w:rFonts w:hint="eastAsia"/>
        </w:rPr>
        <w:t>加注气站项目建设。</w:t>
      </w:r>
    </w:p>
    <w:p w14:paraId="03D3842D">
      <w:pPr>
        <w:pStyle w:val="5"/>
        <w:spacing w:line="240" w:lineRule="auto"/>
        <w:rPr>
          <w:rFonts w:ascii="楷体" w:hAnsi="楷体" w:eastAsia="楷体"/>
        </w:rPr>
      </w:pPr>
      <w:bookmarkStart w:id="13" w:name="_Toc524597380"/>
      <w:r>
        <w:rPr>
          <w:rFonts w:hint="eastAsia" w:ascii="楷体" w:hAnsi="楷体" w:eastAsia="楷体"/>
        </w:rPr>
        <w:t>（五）碳汇能力持续增强</w:t>
      </w:r>
      <w:bookmarkEnd w:id="13"/>
    </w:p>
    <w:p w14:paraId="79A19714">
      <w:pPr>
        <w:ind w:firstLine="640" w:firstLineChars="200"/>
      </w:pPr>
      <w:r>
        <w:rPr>
          <w:rFonts w:hint="eastAsia"/>
        </w:rPr>
        <w:t>“十二五”时期，我市超额完成造林任务，全市新增造林面积</w:t>
      </w:r>
      <w:r>
        <w:t>301.15</w:t>
      </w:r>
      <w:r>
        <w:rPr>
          <w:rFonts w:hint="eastAsia"/>
        </w:rPr>
        <w:t>万亩，超过省市政府下达责任目标</w:t>
      </w:r>
      <w:r>
        <w:t>13.6%</w:t>
      </w:r>
      <w:r>
        <w:rPr>
          <w:rFonts w:hint="eastAsia"/>
        </w:rPr>
        <w:t>。截至</w:t>
      </w:r>
      <w:r>
        <w:t>2015</w:t>
      </w:r>
      <w:r>
        <w:rPr>
          <w:rFonts w:hint="eastAsia"/>
        </w:rPr>
        <w:t>年，全市完成森林抚育</w:t>
      </w:r>
      <w:r>
        <w:t>872</w:t>
      </w:r>
      <w:r>
        <w:rPr>
          <w:rFonts w:hint="eastAsia"/>
        </w:rPr>
        <w:t>万亩，森林蓄积量达到</w:t>
      </w:r>
      <w:r>
        <w:t>1.62</w:t>
      </w:r>
      <w:r>
        <w:rPr>
          <w:rFonts w:hint="eastAsia"/>
        </w:rPr>
        <w:t>亿立方米，超过“十二五”规划目标（</w:t>
      </w:r>
      <w:r>
        <w:t>1.4865</w:t>
      </w:r>
      <w:r>
        <w:rPr>
          <w:rFonts w:hint="eastAsia"/>
        </w:rPr>
        <w:t>亿立方米）</w:t>
      </w:r>
      <w:r>
        <w:t>8.98%</w:t>
      </w:r>
      <w:r>
        <w:rPr>
          <w:rFonts w:hint="eastAsia"/>
        </w:rPr>
        <w:t>。全市建成国家级自然保护区、森林公园、湿地公园、地质公园</w:t>
      </w:r>
      <w:r>
        <w:t>16</w:t>
      </w:r>
      <w:r>
        <w:rPr>
          <w:rFonts w:hint="eastAsia"/>
        </w:rPr>
        <w:t>个。划定重点生态区位林</w:t>
      </w:r>
      <w:r>
        <w:t>925</w:t>
      </w:r>
      <w:r>
        <w:rPr>
          <w:rFonts w:hint="eastAsia"/>
        </w:rPr>
        <w:t>万亩，占林地面积</w:t>
      </w:r>
      <w:r>
        <w:t>32.5%</w:t>
      </w:r>
      <w:r>
        <w:rPr>
          <w:rFonts w:hint="eastAsia"/>
        </w:rPr>
        <w:t>，其中生态公益林面积</w:t>
      </w:r>
      <w:r>
        <w:t>730</w:t>
      </w:r>
      <w:r>
        <w:rPr>
          <w:rFonts w:hint="eastAsia"/>
        </w:rPr>
        <w:t>万亩。实施三明市区城市绿道、森林城市创建等一批生态工程，三明市及所辖</w:t>
      </w:r>
      <w:r>
        <w:t>9</w:t>
      </w:r>
      <w:r>
        <w:rPr>
          <w:rFonts w:hint="eastAsia"/>
        </w:rPr>
        <w:t>个县（市）荣获省级森林城市（县城）称号，约占全省的</w:t>
      </w:r>
      <w:r>
        <w:t>1/3,</w:t>
      </w:r>
      <w:r>
        <w:rPr>
          <w:rFonts w:hint="eastAsia"/>
        </w:rPr>
        <w:t>基本实现省级森林城市（县城）全覆盖。全市森林覆盖率达到</w:t>
      </w:r>
      <w:r>
        <w:t>75.89%</w:t>
      </w:r>
      <w:r>
        <w:rPr>
          <w:rFonts w:hint="eastAsia"/>
        </w:rPr>
        <w:t>，森林固碳、涵养水源能力增强，成为全国最绿省份的最绿城市之一。</w:t>
      </w:r>
    </w:p>
    <w:p w14:paraId="15B24E23">
      <w:pPr>
        <w:pStyle w:val="5"/>
        <w:spacing w:line="240" w:lineRule="auto"/>
        <w:rPr>
          <w:rFonts w:ascii="楷体" w:hAnsi="楷体" w:eastAsia="楷体"/>
        </w:rPr>
      </w:pPr>
      <w:bookmarkStart w:id="14" w:name="_Toc524597381"/>
      <w:r>
        <w:rPr>
          <w:rFonts w:hint="eastAsia" w:ascii="楷体" w:hAnsi="楷体" w:eastAsia="楷体"/>
        </w:rPr>
        <w:t>（六）试点示范创建扎实推进</w:t>
      </w:r>
      <w:bookmarkEnd w:id="14"/>
    </w:p>
    <w:p w14:paraId="1FF495F3">
      <w:pPr>
        <w:ind w:firstLine="640" w:firstLineChars="200"/>
      </w:pPr>
      <w:r>
        <w:rPr>
          <w:rFonts w:hint="eastAsia"/>
        </w:rPr>
        <w:t>全市积极推进多层级的低碳试点示范建设工作。</w:t>
      </w:r>
      <w:r>
        <w:rPr>
          <w:rFonts w:hint="eastAsia"/>
          <w:b/>
        </w:rPr>
        <w:t>一是低碳城市试点</w:t>
      </w:r>
      <w:r>
        <w:rPr>
          <w:rFonts w:hint="eastAsia"/>
        </w:rPr>
        <w:t>。我市于</w:t>
      </w:r>
      <w:r>
        <w:t>2017</w:t>
      </w:r>
      <w:r>
        <w:rPr>
          <w:rFonts w:hint="eastAsia"/>
        </w:rPr>
        <w:t>年</w:t>
      </w:r>
      <w:r>
        <w:t>1</w:t>
      </w:r>
      <w:r>
        <w:rPr>
          <w:rFonts w:hint="eastAsia"/>
        </w:rPr>
        <w:t>月被评为第三批国家低碳城市试点，积极探索三明特色低碳绿色发展模式和发展路径。</w:t>
      </w:r>
      <w:r>
        <w:rPr>
          <w:rFonts w:hint="eastAsia"/>
          <w:b/>
        </w:rPr>
        <w:t>二是低碳专项试点</w:t>
      </w:r>
      <w:r>
        <w:rPr>
          <w:rFonts w:hint="eastAsia"/>
        </w:rPr>
        <w:t>。我市被列为国家生态保护与建设示范区和全国集体林业综合改革试验示范区，泰宁县被列为国家生态文明建设示范区、国家主体功能区建设试点。</w:t>
      </w:r>
      <w:r>
        <w:rPr>
          <w:rFonts w:hint="eastAsia"/>
          <w:b/>
        </w:rPr>
        <w:t>三是低碳园区试点。</w:t>
      </w:r>
      <w:r>
        <w:rPr>
          <w:rFonts w:hint="eastAsia"/>
        </w:rPr>
        <w:t>三明生态新城于</w:t>
      </w:r>
      <w:r>
        <w:t>2015</w:t>
      </w:r>
      <w:r>
        <w:rPr>
          <w:rFonts w:hint="eastAsia"/>
        </w:rPr>
        <w:t>年</w:t>
      </w:r>
      <w:r>
        <w:t>8</w:t>
      </w:r>
      <w:r>
        <w:rPr>
          <w:rFonts w:hint="eastAsia"/>
        </w:rPr>
        <w:t>月被列入首批</w:t>
      </w:r>
      <w:r>
        <w:t>8</w:t>
      </w:r>
      <w:r>
        <w:rPr>
          <w:rFonts w:hint="eastAsia"/>
        </w:rPr>
        <w:t>个国家低碳城（镇）试点之一，以“低碳发展、生态优先、产城融合”为原则积极推进生态新城建设。</w:t>
      </w:r>
      <w:r>
        <w:rPr>
          <w:rFonts w:hint="eastAsia"/>
          <w:b/>
        </w:rPr>
        <w:t>四是低碳社区试点</w:t>
      </w:r>
      <w:r>
        <w:rPr>
          <w:rFonts w:hint="eastAsia"/>
        </w:rPr>
        <w:t>。全市筛选出首批</w:t>
      </w:r>
      <w:r>
        <w:t>6</w:t>
      </w:r>
      <w:r>
        <w:rPr>
          <w:rFonts w:hint="eastAsia"/>
        </w:rPr>
        <w:t>个低碳社区进行重点培育，其中沙县西郊村入选全省首批低碳社区试点。多点联动、层层推进的低碳试点示范创建工作将为我市的低碳城市建设提供丰富的实践经验。</w:t>
      </w:r>
    </w:p>
    <w:p w14:paraId="27F17939">
      <w:pPr>
        <w:pStyle w:val="5"/>
        <w:spacing w:line="240" w:lineRule="auto"/>
        <w:rPr>
          <w:rFonts w:ascii="楷体" w:hAnsi="楷体" w:eastAsia="楷体"/>
        </w:rPr>
      </w:pPr>
      <w:bookmarkStart w:id="15" w:name="_Toc524597382"/>
      <w:r>
        <w:rPr>
          <w:rFonts w:hint="eastAsia" w:ascii="楷体" w:hAnsi="楷体" w:eastAsia="楷体"/>
        </w:rPr>
        <w:t>（七）低碳发展基础工作不断夯实</w:t>
      </w:r>
      <w:bookmarkEnd w:id="15"/>
    </w:p>
    <w:p w14:paraId="55005F99">
      <w:pPr>
        <w:ind w:firstLine="640" w:firstLineChars="200"/>
      </w:pPr>
      <w:r>
        <w:rPr>
          <w:rFonts w:hint="eastAsia"/>
        </w:rPr>
        <w:t>“十二五”期间，我市积极开展各项低碳发展基础工作，强化基础能力支撑。</w:t>
      </w:r>
      <w:r>
        <w:rPr>
          <w:rFonts w:hint="eastAsia"/>
          <w:b/>
        </w:rPr>
        <w:t>一是加强目标分解落实与评价考核</w:t>
      </w:r>
      <w:r>
        <w:rPr>
          <w:rFonts w:hint="eastAsia"/>
        </w:rPr>
        <w:t>，设定单位地区生产总值二氧化碳排放年度降低目标，并及时将该目标分解落实到各县（市、区）；同时，制定控制温室气体排放考核实施方案，对所辖县（市、区）开展考核评价。</w:t>
      </w:r>
      <w:r>
        <w:rPr>
          <w:rFonts w:hint="eastAsia"/>
          <w:b/>
        </w:rPr>
        <w:t>二是建立温室气体排放统计核算制度</w:t>
      </w:r>
      <w:r>
        <w:rPr>
          <w:rFonts w:hint="eastAsia"/>
        </w:rPr>
        <w:t>，积极贯彻落实《福建省应对气候变化基础统计报表制度》，建立健全基础统计与调查制度；同时，建立重点单位温室气体排放报告制度，组织相关企业填报历史数据并开展第三方核查，确保碳市场建设顺利推进。</w:t>
      </w:r>
      <w:r>
        <w:rPr>
          <w:rFonts w:hint="eastAsia"/>
          <w:b/>
        </w:rPr>
        <w:t>三是执行低碳产品标准、标识和认证制度</w:t>
      </w:r>
      <w:r>
        <w:rPr>
          <w:rFonts w:hint="eastAsia"/>
        </w:rPr>
        <w:t>，广泛应用高强度、高韧性建筑用钢材和高性能混凝土，鼓励将低碳产品加入政府采购节能环保产品清单。</w:t>
      </w:r>
      <w:r>
        <w:rPr>
          <w:rFonts w:hint="eastAsia"/>
          <w:b/>
        </w:rPr>
        <w:t>四是加大资金支持力度</w:t>
      </w:r>
      <w:r>
        <w:rPr>
          <w:rFonts w:hint="eastAsia"/>
        </w:rPr>
        <w:t>，“十二五”期间，我市共安排各级低碳节能与循环经济专项资金</w:t>
      </w:r>
      <w:r>
        <w:t>1.4</w:t>
      </w:r>
      <w:r>
        <w:rPr>
          <w:rFonts w:hint="eastAsia"/>
        </w:rPr>
        <w:t>亿元，组织实施市级节能技术改造和发展循环经济项目</w:t>
      </w:r>
      <w:r>
        <w:t>484</w:t>
      </w:r>
      <w:r>
        <w:rPr>
          <w:rFonts w:hint="eastAsia"/>
        </w:rPr>
        <w:t>项。</w:t>
      </w:r>
      <w:r>
        <w:rPr>
          <w:rFonts w:hint="eastAsia"/>
          <w:b/>
        </w:rPr>
        <w:t>五是加强组织领导和公众参与</w:t>
      </w:r>
      <w:r>
        <w:rPr>
          <w:rFonts w:hint="eastAsia"/>
        </w:rPr>
        <w:t>，成立三明市低碳城市试点创建工作领导小组，发挥对低碳城市建设的统筹协调职能；认真组织开展全国节能宣传周、全国低碳日等相关活动，大力宣传绿色低碳发展理念。</w:t>
      </w:r>
    </w:p>
    <w:p w14:paraId="58E9C2F4">
      <w:pPr>
        <w:pStyle w:val="4"/>
      </w:pPr>
      <w:bookmarkStart w:id="16" w:name="_Toc524597383"/>
      <w:r>
        <w:rPr>
          <w:rFonts w:hint="eastAsia"/>
        </w:rPr>
        <w:t>面临形势</w:t>
      </w:r>
      <w:bookmarkEnd w:id="16"/>
    </w:p>
    <w:p w14:paraId="7D89E113">
      <w:pPr>
        <w:pStyle w:val="5"/>
        <w:rPr>
          <w:rFonts w:ascii="楷体" w:hAnsi="楷体" w:eastAsia="楷体"/>
        </w:rPr>
      </w:pPr>
      <w:bookmarkStart w:id="17" w:name="_Toc524597384"/>
      <w:r>
        <w:rPr>
          <w:rFonts w:hint="eastAsia" w:ascii="楷体" w:hAnsi="楷体" w:eastAsia="楷体"/>
        </w:rPr>
        <w:t>（一）积极应对气候变化成为全球共识</w:t>
      </w:r>
      <w:bookmarkEnd w:id="17"/>
    </w:p>
    <w:p w14:paraId="77816096">
      <w:pPr>
        <w:ind w:firstLine="640"/>
      </w:pPr>
      <w:r>
        <w:rPr>
          <w:rFonts w:hint="eastAsia"/>
        </w:rPr>
        <w:t>随着国际社会对气候变化的科学认识不断深化，绿色低碳发展已经成为国际潮流与各国共识，全球各重要国家纷纷制定低碳发展战略和路线图，加快发展低碳技术，以图占据未来国际竞争的制高点。中国政府高度重视气候变化问题。我国“十三五”规划纲要提出“创新、协调、绿色、开放、共享”五大发展理念，绿色发展成为贯彻“十三五”规划通篇的主基调之一。</w:t>
      </w:r>
      <w:r>
        <w:t>2016</w:t>
      </w:r>
      <w:r>
        <w:rPr>
          <w:rFonts w:hint="eastAsia"/>
        </w:rPr>
        <w:t>年</w:t>
      </w:r>
      <w:r>
        <w:t>10</w:t>
      </w:r>
      <w:r>
        <w:rPr>
          <w:rFonts w:hint="eastAsia"/>
        </w:rPr>
        <w:t>月，国务院印发《“十三五”控制温室气体排放工作方案》（国发</w:t>
      </w:r>
      <w:r>
        <w:t>[2016]61</w:t>
      </w:r>
      <w:r>
        <w:rPr>
          <w:rFonts w:hint="eastAsia"/>
        </w:rPr>
        <w:t>号），进一步落实“十三五”期间我国应对气候变化与低碳发展的目标和主要任务。</w:t>
      </w:r>
      <w:r>
        <w:t>2017</w:t>
      </w:r>
      <w:r>
        <w:rPr>
          <w:rFonts w:hint="eastAsia"/>
        </w:rPr>
        <w:t>年</w:t>
      </w:r>
      <w:r>
        <w:t>10</w:t>
      </w:r>
      <w:r>
        <w:rPr>
          <w:rFonts w:hint="eastAsia"/>
        </w:rPr>
        <w:t>月，习近平总书记在十九大报告中首次将绿色低碳纳入经济体系建设，提出“在中高端消费、创新引领、绿色低碳、共享经济、现代供应链、人力资本服务等领域培育新增长点、形成新动能”，同时在“加快生态文明体制改革，建设美丽中国”方面强调“推进绿色发展”，提出“加快建立绿色生产和消费的法律制度和政策导向，建立健全绿色低碳循环发展的经济体系”。由此可见，应对气候变化、推进绿色低碳发展必将成为我国“十三五”期间乃至更长期的重点工作之一。</w:t>
      </w:r>
    </w:p>
    <w:p w14:paraId="67D88B75">
      <w:pPr>
        <w:pStyle w:val="5"/>
        <w:rPr>
          <w:rFonts w:ascii="楷体" w:hAnsi="楷体" w:eastAsia="楷体"/>
        </w:rPr>
      </w:pPr>
      <w:bookmarkStart w:id="18" w:name="_Toc524597385"/>
      <w:r>
        <w:rPr>
          <w:rFonts w:hint="eastAsia" w:ascii="楷体" w:hAnsi="楷体" w:eastAsia="楷体"/>
        </w:rPr>
        <w:t>（二）低碳发展是三明市推进生态文明的必由之路</w:t>
      </w:r>
      <w:bookmarkEnd w:id="18"/>
    </w:p>
    <w:p w14:paraId="5ACCFBA0">
      <w:pPr>
        <w:ind w:firstLine="640" w:firstLineChars="200"/>
      </w:pPr>
      <w:r>
        <w:rPr>
          <w:rFonts w:hint="eastAsia"/>
        </w:rPr>
        <w:t>生态文明建设是中国特色社会主义事业的重要内容。党的十九大明确指出，建设生态文明是中华民族永续发展的千年大计。生态资源是三明最宝贵的资源，生态优势是三明最具竞争力的优势。在福建省创建生态文明试验区的过程中，三明市背负着先行先试、引领示范的历史使命。低碳发展是生态文明理念的基本内涵与生态文明实现的主要途径，两者关系紧密，相辅相成。《“十三五”控制温室气体排放工作方案》（国发</w:t>
      </w:r>
      <w:r>
        <w:t>[2016]61</w:t>
      </w:r>
      <w:r>
        <w:rPr>
          <w:rFonts w:hint="eastAsia"/>
        </w:rPr>
        <w:t>号）中明确提出“把低碳发展作为我国经济社会发展的重大战略和生态文明建设的重要途径”。因此，为推进生态文明建设，三明市必须走低碳发展道路，推动形成绿色低碳发展方式和生活方式，最终建成“水净、河清、天蓝、地绿、居怡”的美丽三明。</w:t>
      </w:r>
    </w:p>
    <w:p w14:paraId="022F7C32">
      <w:pPr>
        <w:pStyle w:val="5"/>
        <w:rPr>
          <w:rFonts w:ascii="楷体" w:hAnsi="楷体" w:eastAsia="楷体"/>
        </w:rPr>
      </w:pPr>
      <w:bookmarkStart w:id="19" w:name="_Toc524597386"/>
      <w:r>
        <w:rPr>
          <w:rFonts w:hint="eastAsia" w:ascii="楷体" w:hAnsi="楷体" w:eastAsia="楷体"/>
        </w:rPr>
        <w:t>（三）低碳发展是三明市经济高质量发展的内在需求</w:t>
      </w:r>
      <w:bookmarkEnd w:id="19"/>
    </w:p>
    <w:p w14:paraId="7B67CDC2">
      <w:pPr>
        <w:ind w:firstLine="640" w:firstLineChars="200"/>
      </w:pPr>
      <w:r>
        <w:rPr>
          <w:rFonts w:hint="eastAsia"/>
        </w:rPr>
        <w:t>改革开放以来，三明市社会经济的发展取得了辉煌的成就。“十三五”期间，三明市将进入转型发展的攻坚期，传统要素优势减弱，资源瓶颈的制约，竞争态势的变化，都对转型升级提出了迫切要求。而低碳发展要求我市加快发展技术含量高、资源消耗少、经济效益好、发展潜力大的新兴产业和高端制造业以及和制造业相匹配的现代服务业，能够有助于实现发展转型，并形成新的经济增长点。与此同时，“一带一路”建设的全面实施、区域率先转型的实践，都有利于转型升级的进行。三明市应抓住历史机遇，完成经济发展方式转变，突破资源环境约束，实现低碳持续健康发展。</w:t>
      </w:r>
    </w:p>
    <w:p w14:paraId="2B42B51B">
      <w:pPr>
        <w:pStyle w:val="5"/>
        <w:rPr>
          <w:rFonts w:ascii="楷体" w:hAnsi="楷体" w:eastAsia="楷体"/>
        </w:rPr>
      </w:pPr>
      <w:bookmarkStart w:id="20" w:name="_Toc524597387"/>
      <w:r>
        <w:rPr>
          <w:rFonts w:hint="eastAsia" w:ascii="楷体" w:hAnsi="楷体" w:eastAsia="楷体"/>
        </w:rPr>
        <w:t>（四）丰富的生态资源有效支撑低碳发展</w:t>
      </w:r>
      <w:bookmarkEnd w:id="20"/>
    </w:p>
    <w:p w14:paraId="23A6206F">
      <w:pPr>
        <w:ind w:firstLine="640" w:firstLineChars="200"/>
      </w:pPr>
      <w:r>
        <w:rPr>
          <w:rFonts w:hint="eastAsia"/>
        </w:rPr>
        <w:t>生态资源是三明市最宝贵的资源，为三明市低碳发展带来巨大的生态优势。全市森林覆盖率达</w:t>
      </w:r>
      <w:r>
        <w:t>77.73%</w:t>
      </w:r>
      <w:r>
        <w:rPr>
          <w:rFonts w:hint="eastAsia"/>
        </w:rPr>
        <w:t>，森林蓄积量近</w:t>
      </w:r>
      <w:r>
        <w:t>1.68</w:t>
      </w:r>
      <w:r>
        <w:rPr>
          <w:rFonts w:hint="eastAsia"/>
        </w:rPr>
        <w:t>亿立方米，处于全省前列。“十二五”期间三明市不断提升森林资源质量，连年超额完成造林绿化任务，全市完成造林绿化</w:t>
      </w:r>
      <w:r>
        <w:t>304</w:t>
      </w:r>
      <w:r>
        <w:rPr>
          <w:rFonts w:hint="eastAsia"/>
        </w:rPr>
        <w:t>万亩，是全省质量最好的设区市；林分亩均蓄积量达</w:t>
      </w:r>
      <w:r>
        <w:t>7.72</w:t>
      </w:r>
      <w:r>
        <w:rPr>
          <w:rFonts w:hint="eastAsia"/>
        </w:rPr>
        <w:t>立方米，居全省第一。丰富的森林碳汇资源为提升城市碳吸收能力提供有力基础。此外，三明市拥有丰富的水资源，全市流域集雨面积</w:t>
      </w:r>
      <w:r>
        <w:t>50</w:t>
      </w:r>
      <w:r>
        <w:rPr>
          <w:rFonts w:hint="eastAsia"/>
        </w:rPr>
        <w:t>平方公里以上的河流有</w:t>
      </w:r>
      <w:r>
        <w:t>167</w:t>
      </w:r>
      <w:r>
        <w:rPr>
          <w:rFonts w:hint="eastAsia"/>
        </w:rPr>
        <w:t>条，人均水资源拥有量</w:t>
      </w:r>
      <w:r>
        <w:t>7940</w:t>
      </w:r>
      <w:r>
        <w:rPr>
          <w:rFonts w:hint="eastAsia"/>
        </w:rPr>
        <w:t>立方米，是全省平均水平的</w:t>
      </w:r>
      <w:r>
        <w:t>2.5</w:t>
      </w:r>
      <w:r>
        <w:rPr>
          <w:rFonts w:hint="eastAsia"/>
        </w:rPr>
        <w:t>倍，为推动三明市能源清洁化提供重要支撑。</w:t>
      </w:r>
    </w:p>
    <w:p w14:paraId="34E6ACA2">
      <w:pPr>
        <w:pStyle w:val="4"/>
      </w:pPr>
      <w:bookmarkStart w:id="21" w:name="_Toc496795308"/>
      <w:bookmarkEnd w:id="21"/>
      <w:bookmarkStart w:id="22" w:name="_Toc524597388"/>
      <w:r>
        <w:rPr>
          <w:rFonts w:hint="eastAsia"/>
        </w:rPr>
        <w:t>问题与挑战</w:t>
      </w:r>
      <w:bookmarkEnd w:id="22"/>
    </w:p>
    <w:p w14:paraId="3EA6A44A">
      <w:pPr>
        <w:pStyle w:val="5"/>
        <w:rPr>
          <w:rFonts w:ascii="楷体" w:hAnsi="楷体" w:eastAsia="楷体"/>
        </w:rPr>
      </w:pPr>
      <w:bookmarkStart w:id="23" w:name="_Toc524597389"/>
      <w:r>
        <w:rPr>
          <w:rFonts w:hint="eastAsia" w:ascii="楷体" w:hAnsi="楷体" w:eastAsia="楷体"/>
        </w:rPr>
        <w:t>（一）经济快速发展与碳排放“双控”矛盾仍将持续</w:t>
      </w:r>
      <w:bookmarkEnd w:id="23"/>
    </w:p>
    <w:p w14:paraId="7F0C9DE4">
      <w:pPr>
        <w:ind w:firstLine="640" w:firstLineChars="200"/>
      </w:pPr>
      <w:r>
        <w:rPr>
          <w:rFonts w:hint="eastAsia"/>
        </w:rPr>
        <w:t>为积极应对全球气候变化，国家将合理控制能源消费总量，在经济发展与碳排放控制的夹缝中寻求持续发展的模式将是一个不能逃避的阶段。“十三五”时期，三明市要实现全面建成小康社会和科学发展跨越发展战略目标，必须保持经济的中高速增长和一定的投资强度，特别是全市产业重型化特征明显，发展经济必然会占用较多的生态空间和环境容量，所带来的能源需求与温室气体排放也必将快速增长，将面临加快发展和加强保护双重压力的挑战。</w:t>
      </w:r>
    </w:p>
    <w:p w14:paraId="32AAE9D7">
      <w:pPr>
        <w:pStyle w:val="5"/>
        <w:rPr>
          <w:rFonts w:ascii="楷体" w:hAnsi="楷体" w:eastAsia="楷体"/>
        </w:rPr>
      </w:pPr>
      <w:bookmarkStart w:id="24" w:name="_Toc524597390"/>
      <w:r>
        <w:rPr>
          <w:rFonts w:hint="eastAsia" w:ascii="楷体" w:hAnsi="楷体" w:eastAsia="楷体"/>
        </w:rPr>
        <w:t>（二）通过能源结构调整大幅降低碳排放水平仍需时间</w:t>
      </w:r>
      <w:bookmarkEnd w:id="24"/>
    </w:p>
    <w:p w14:paraId="1D6610CA">
      <w:pPr>
        <w:ind w:firstLine="640" w:firstLineChars="200"/>
      </w:pPr>
      <w:r>
        <w:rPr>
          <w:rFonts w:hint="eastAsia"/>
        </w:rPr>
        <w:t>目前三明市能源生产和消费还是以煤炭和电力为主，尽管大力推动可再生能源发展，但由于新能源和可再生能源发展还处于起步阶段，非化石能源比例仍然偏低。全市天然气、太阳能、核电的大规模发展受到资金、技术等多方面因素制约，天然气管网建设严重滞后，天然气和太阳能等清洁能源使用率较低，核电项目处于前期工作阶段。此外，尽管三明市水力资源丰富，水电是目前可再生能源的主要部分，但已建成的水电站不同程度地存在设备老化、技术落后等现象，严重影响了水电发展和电力供应的稳定性、可靠性及电能的利用率；电网</w:t>
      </w:r>
      <w:r>
        <w:t>35kV</w:t>
      </w:r>
      <w:r>
        <w:rPr>
          <w:rFonts w:hint="eastAsia"/>
        </w:rPr>
        <w:t>线路多为单链、单辐射供电结构，电网较为薄弱，电网自动化、信息化、智能化还不高，难以支撑可再生能源快速大规模发展。因此，通过能源结构调整大幅降低碳排放水平仍需时间。</w:t>
      </w:r>
    </w:p>
    <w:p w14:paraId="1120C22E">
      <w:pPr>
        <w:pStyle w:val="5"/>
        <w:rPr>
          <w:rFonts w:ascii="楷体" w:hAnsi="楷体" w:eastAsia="楷体"/>
        </w:rPr>
      </w:pPr>
      <w:bookmarkStart w:id="25" w:name="_Toc524597391"/>
      <w:r>
        <w:rPr>
          <w:rFonts w:hint="eastAsia" w:ascii="楷体" w:hAnsi="楷体" w:eastAsia="楷体"/>
        </w:rPr>
        <w:t>（三）产业资源依赖与经济低碳转型的矛盾突出</w:t>
      </w:r>
      <w:bookmarkEnd w:id="25"/>
    </w:p>
    <w:p w14:paraId="1F993794">
      <w:pPr>
        <w:ind w:firstLine="640" w:firstLineChars="200"/>
      </w:pPr>
      <w:r>
        <w:rPr>
          <w:rFonts w:hint="eastAsia"/>
        </w:rPr>
        <w:t>三明市产业资源型、低端化的问题较为突出，资源加工型产业占全市工业总量近</w:t>
      </w:r>
      <w:r>
        <w:t>60%</w:t>
      </w:r>
      <w:r>
        <w:rPr>
          <w:rFonts w:hint="eastAsia"/>
        </w:rPr>
        <w:t>左右，工业品中</w:t>
      </w:r>
      <w:r>
        <w:t>75%</w:t>
      </w:r>
      <w:r>
        <w:rPr>
          <w:rFonts w:hint="eastAsia"/>
        </w:rPr>
        <w:t>以上属于中低端产品，对资源依赖度高，碳排放强度较低的高新产业和新兴产业占全市地区生产总值比重较低。此外，作为福建省的老工业基地，三明市第二产业比重较高，产业结构调整缓慢，经济增长过多依赖第二产业，导致目前经济仍存在高碳特征。因此，三明市经济结构的低碳转型仍需要时间。</w:t>
      </w:r>
    </w:p>
    <w:p w14:paraId="017F23D5">
      <w:pPr>
        <w:pStyle w:val="5"/>
        <w:rPr>
          <w:rFonts w:ascii="楷体" w:hAnsi="楷体" w:eastAsia="楷体"/>
        </w:rPr>
      </w:pPr>
      <w:bookmarkStart w:id="26" w:name="_Toc524597392"/>
      <w:r>
        <w:rPr>
          <w:rFonts w:hint="eastAsia" w:ascii="楷体" w:hAnsi="楷体" w:eastAsia="楷体"/>
        </w:rPr>
        <w:t>（四）技术创新对低碳发展支撑不足</w:t>
      </w:r>
      <w:bookmarkEnd w:id="26"/>
    </w:p>
    <w:p w14:paraId="5202F92D">
      <w:pPr>
        <w:ind w:firstLine="640" w:firstLineChars="200"/>
      </w:pPr>
      <w:r>
        <w:rPr>
          <w:rFonts w:hint="eastAsia"/>
        </w:rPr>
        <w:t>虽然“十二五”期间全市工业经济保持良好的发展态势，但创新能力偏弱仍是三明市经济发展深层次的矛盾和问题。全市高新技术产业所占比重较低，拥有高新技术企业</w:t>
      </w:r>
      <w:r>
        <w:t>42</w:t>
      </w:r>
      <w:r>
        <w:rPr>
          <w:rFonts w:hint="eastAsia"/>
        </w:rPr>
        <w:t>家，仅占规模工业企业总数的</w:t>
      </w:r>
      <w:r>
        <w:t>2.34%</w:t>
      </w:r>
      <w:r>
        <w:rPr>
          <w:rFonts w:hint="eastAsia"/>
        </w:rPr>
        <w:t>；企业创新能力不强，全市规模工业企业中只有</w:t>
      </w:r>
      <w:r>
        <w:t>4.2%</w:t>
      </w:r>
      <w:r>
        <w:rPr>
          <w:rFonts w:hint="eastAsia"/>
        </w:rPr>
        <w:t>的企业建有研发机构，多数企业缺乏核心技术和自主品牌；全社会研发投入仅占</w:t>
      </w:r>
      <w:r>
        <w:t>GDP</w:t>
      </w:r>
      <w:r>
        <w:rPr>
          <w:rFonts w:hint="eastAsia"/>
        </w:rPr>
        <w:t>比重的</w:t>
      </w:r>
      <w:r>
        <w:t>0.89%</w:t>
      </w:r>
      <w:r>
        <w:rPr>
          <w:rFonts w:hint="eastAsia"/>
        </w:rPr>
        <w:t>，比全省平均水平低</w:t>
      </w:r>
      <w:r>
        <w:t>0.62</w:t>
      </w:r>
      <w:r>
        <w:rPr>
          <w:rFonts w:hint="eastAsia"/>
        </w:rPr>
        <w:t>个百分点，专利指数与全省平均水平差距较大；产业人才支撑不足，高校、科研院所少，高水平创新团队、行业领军人物和优秀拔尖人才短缺，导致支撑低碳发展、采用低碳技术的动力不足。</w:t>
      </w:r>
    </w:p>
    <w:p w14:paraId="09D9C89D">
      <w:pPr>
        <w:pStyle w:val="5"/>
        <w:rPr>
          <w:rFonts w:ascii="楷体" w:hAnsi="楷体" w:eastAsia="楷体"/>
        </w:rPr>
      </w:pPr>
      <w:bookmarkStart w:id="27" w:name="_Toc524597393"/>
      <w:r>
        <w:rPr>
          <w:rFonts w:hint="eastAsia" w:ascii="楷体" w:hAnsi="楷体" w:eastAsia="楷体"/>
        </w:rPr>
        <w:t>（五）低碳发展的体制机制尚未健全</w:t>
      </w:r>
      <w:bookmarkEnd w:id="27"/>
    </w:p>
    <w:p w14:paraId="62829F7D">
      <w:pPr>
        <w:ind w:firstLine="640" w:firstLineChars="200"/>
      </w:pPr>
      <w:r>
        <w:rPr>
          <w:rFonts w:hint="eastAsia"/>
        </w:rPr>
        <w:t>尽管三明市已经通过国家第三批低碳城市试点，对碳数据管理机制和森林碳汇补偿机制创新有一定尝试，但是低碳发展制度体系仍然不够完善，责任约束机制落实力度需要加强，各部门执法职能仍需整合完善，缺少鼓励和扶持低碳经济发展的长效激励机制，低碳文化尚需培育。县区级政府对低碳发展的现实性、影响的深远性、任务的紧迫性的认识有待进一步提高，部门间的认识程度也不均衡，导致对转变经济发展方式的重视程度不够，没有形成多部门合力。伴随国家对低碳发展的重视，要把低碳发展问题与建立长效机制结合起来，建立健全的低碳发展机制，形成制度保障。</w:t>
      </w:r>
    </w:p>
    <w:p w14:paraId="2C4FE185">
      <w:pPr>
        <w:pStyle w:val="5"/>
        <w:rPr>
          <w:rFonts w:ascii="楷体" w:hAnsi="楷体" w:eastAsia="楷体"/>
        </w:rPr>
      </w:pPr>
      <w:bookmarkStart w:id="28" w:name="_Toc524597394"/>
      <w:r>
        <w:rPr>
          <w:rFonts w:hint="eastAsia" w:ascii="楷体" w:hAnsi="楷体" w:eastAsia="楷体"/>
        </w:rPr>
        <w:t>（六）公众低碳意识有待提高</w:t>
      </w:r>
      <w:bookmarkEnd w:id="28"/>
    </w:p>
    <w:p w14:paraId="250A0CF1">
      <w:pPr>
        <w:ind w:firstLine="640" w:firstLineChars="200"/>
      </w:pPr>
      <w:r>
        <w:rPr>
          <w:rFonts w:hint="eastAsia"/>
        </w:rPr>
        <w:t>尽管在全社会的低碳生活宣传引导下，公众的消费意识有所转变，但公众的消费方式普遍以铺张浪费等不可持续的消费方式为主，真正践行低碳消费的市民仍然较少；且低碳节能产品推广不足，制约公众低碳消费观的形成，影响公众低碳意识的提高。</w:t>
      </w:r>
    </w:p>
    <w:p w14:paraId="3F654CF8">
      <w:pPr>
        <w:ind w:firstLine="640" w:firstLineChars="200"/>
        <w:sectPr>
          <w:footerReference r:id="rId11" w:type="default"/>
          <w:footerReference r:id="rId12" w:type="even"/>
          <w:pgSz w:w="11906" w:h="16838"/>
          <w:pgMar w:top="1701" w:right="1418" w:bottom="1418" w:left="1474" w:header="851" w:footer="992" w:gutter="0"/>
          <w:pgNumType w:start="1"/>
          <w:cols w:space="720" w:num="1"/>
          <w:docGrid w:type="lines" w:linePitch="623" w:charSpace="0"/>
        </w:sectPr>
      </w:pPr>
    </w:p>
    <w:p w14:paraId="3D2FA2DD">
      <w:pPr>
        <w:ind w:firstLine="640" w:firstLineChars="200"/>
        <w:sectPr>
          <w:footerReference r:id="rId13" w:type="default"/>
          <w:pgSz w:w="11906" w:h="16838"/>
          <w:pgMar w:top="1701" w:right="1418" w:bottom="1418" w:left="1474" w:header="851" w:footer="992" w:gutter="0"/>
          <w:cols w:space="720" w:num="1"/>
          <w:docGrid w:type="lines" w:linePitch="623" w:charSpace="0"/>
        </w:sectPr>
      </w:pPr>
    </w:p>
    <w:p w14:paraId="36321C80">
      <w:pPr>
        <w:pStyle w:val="2"/>
        <w:spacing w:before="260" w:after="260"/>
        <w:jc w:val="center"/>
        <w:rPr>
          <w:sz w:val="36"/>
        </w:rPr>
      </w:pPr>
      <w:r>
        <w:rPr>
          <w:sz w:val="36"/>
        </w:rPr>
        <w:tab/>
      </w:r>
      <w:bookmarkStart w:id="29" w:name="_Toc524597395"/>
      <w:r>
        <w:rPr>
          <w:rFonts w:hint="eastAsia"/>
          <w:sz w:val="36"/>
        </w:rPr>
        <w:t>三明市低碳发展规划体系</w:t>
      </w:r>
      <w:bookmarkEnd w:id="29"/>
    </w:p>
    <w:p w14:paraId="49D66B48">
      <w:pPr>
        <w:pStyle w:val="4"/>
      </w:pPr>
      <w:bookmarkStart w:id="30" w:name="_Toc524597396"/>
      <w:r>
        <w:rPr>
          <w:rFonts w:hint="eastAsia"/>
        </w:rPr>
        <w:t>指导思想</w:t>
      </w:r>
      <w:bookmarkEnd w:id="30"/>
    </w:p>
    <w:p w14:paraId="57D07DAC">
      <w:pPr>
        <w:ind w:firstLine="640" w:firstLineChars="200"/>
      </w:pPr>
      <w:r>
        <w:rPr>
          <w:rFonts w:hint="eastAsia"/>
        </w:rPr>
        <w:t>全面贯彻党的十九大</w:t>
      </w:r>
      <w:bookmarkStart w:id="199" w:name="_GoBack"/>
      <w:bookmarkEnd w:id="199"/>
      <w:r>
        <w:rPr>
          <w:rFonts w:hint="eastAsia"/>
        </w:rPr>
        <w:t>精神，以习近平新时代中国特色社会主义思想为指导，深入贯彻落实习近平总书记系列重要讲话精神和对福建工作的重要指示，把握福建省全力推进生态文明试验区建设的机遇，统筹推进“五位一体”总体布局，协调推进“四个全面”战略布局，牢固树立创新、协调、绿色、开放、共享的发展理念，坚持“念好发展经，画好山水画”的工作主题，以建设国家低碳城市试点为总抓手，以加快转变经济发展方式为主线，综合运用产业结构调整、城镇化低碳发展、试点示范建设、体制机制创新、基础能力提升等措施，有效控制温室气体排放，努力将我市打造成为山清水秀、宜居宜业的清新三明，积极探索建立政府推动与市场运作相结合的低碳发展模式，走出一条有三明特色的低碳发展道路。</w:t>
      </w:r>
    </w:p>
    <w:p w14:paraId="23D77F59">
      <w:pPr>
        <w:pStyle w:val="4"/>
      </w:pPr>
      <w:bookmarkStart w:id="31" w:name="_Toc524597397"/>
      <w:r>
        <w:rPr>
          <w:rFonts w:hint="eastAsia"/>
        </w:rPr>
        <w:t>基本原则</w:t>
      </w:r>
      <w:bookmarkEnd w:id="31"/>
    </w:p>
    <w:p w14:paraId="0D0A0B83">
      <w:pPr>
        <w:pStyle w:val="5"/>
        <w:rPr>
          <w:rFonts w:ascii="楷体" w:hAnsi="楷体" w:eastAsia="楷体"/>
        </w:rPr>
      </w:pPr>
      <w:bookmarkStart w:id="32" w:name="_Toc524597398"/>
      <w:r>
        <w:rPr>
          <w:rFonts w:hint="eastAsia" w:ascii="楷体" w:hAnsi="楷体" w:eastAsia="楷体"/>
        </w:rPr>
        <w:t>（一）坚持规划引领</w:t>
      </w:r>
      <w:bookmarkEnd w:id="32"/>
    </w:p>
    <w:p w14:paraId="3672D4C2">
      <w:pPr>
        <w:ind w:firstLine="640" w:firstLineChars="200"/>
      </w:pPr>
      <w:r>
        <w:rPr>
          <w:rFonts w:hint="eastAsia"/>
          <w:snapToGrid w:val="0"/>
        </w:rPr>
        <w:t>立足三明实际，着眼三明长远发展，从确保经济社会科学良性发展的角度，科学谋划，统一部署，围绕低碳发展长期目标，制定绿色低碳发展规划或计划，探索三明特色的低碳模式，切实提高低碳发展能力。</w:t>
      </w:r>
    </w:p>
    <w:p w14:paraId="67F3A522">
      <w:pPr>
        <w:pStyle w:val="5"/>
        <w:rPr>
          <w:rFonts w:ascii="楷体" w:hAnsi="楷体" w:eastAsia="楷体"/>
        </w:rPr>
      </w:pPr>
      <w:bookmarkStart w:id="33" w:name="_Toc524597399"/>
      <w:r>
        <w:rPr>
          <w:rFonts w:hint="eastAsia" w:ascii="楷体" w:hAnsi="楷体" w:eastAsia="楷体"/>
        </w:rPr>
        <w:t>（二）坚持创新驱动</w:t>
      </w:r>
      <w:bookmarkEnd w:id="33"/>
    </w:p>
    <w:p w14:paraId="118888E8">
      <w:pPr>
        <w:ind w:firstLine="640" w:firstLineChars="200"/>
        <w:rPr>
          <w:snapToGrid w:val="0"/>
        </w:rPr>
      </w:pPr>
      <w:r>
        <w:rPr>
          <w:rFonts w:hint="eastAsia"/>
          <w:snapToGrid w:val="0"/>
        </w:rPr>
        <w:t>充分发挥科技创新、体制创新在低碳发展中的关键作用，积极研发和引进低碳发展实用技术，逐步完善有利于绿色低碳发展的体制机制，为低碳发展提供强有力的科技与制度支撑。</w:t>
      </w:r>
    </w:p>
    <w:p w14:paraId="5F41A1C8">
      <w:pPr>
        <w:pStyle w:val="5"/>
        <w:rPr>
          <w:rFonts w:ascii="楷体" w:hAnsi="楷体" w:eastAsia="楷体"/>
        </w:rPr>
      </w:pPr>
      <w:bookmarkStart w:id="34" w:name="_Toc524597400"/>
      <w:r>
        <w:rPr>
          <w:rFonts w:hint="eastAsia" w:ascii="楷体" w:hAnsi="楷体" w:eastAsia="楷体"/>
        </w:rPr>
        <w:t>（三）坚持分类推进</w:t>
      </w:r>
      <w:bookmarkEnd w:id="34"/>
    </w:p>
    <w:p w14:paraId="1C4385A4">
      <w:pPr>
        <w:ind w:firstLine="640" w:firstLineChars="200"/>
      </w:pPr>
      <w:r>
        <w:rPr>
          <w:rFonts w:hint="eastAsia"/>
          <w:snapToGrid w:val="0"/>
        </w:rPr>
        <w:t>在整体目标统一的前提下，坚持因地制宜，在城市、园区、企业、社区等各领域各行业，分别创建一批低碳试点示范，以点带面推动低碳发展，为全市低碳试点示范创建工作提供借鉴和实践。</w:t>
      </w:r>
    </w:p>
    <w:p w14:paraId="4C51AF58">
      <w:pPr>
        <w:pStyle w:val="5"/>
        <w:rPr>
          <w:rFonts w:ascii="楷体" w:hAnsi="楷体" w:eastAsia="楷体"/>
        </w:rPr>
      </w:pPr>
      <w:bookmarkStart w:id="35" w:name="_Toc524597401"/>
      <w:r>
        <w:rPr>
          <w:rFonts w:hint="eastAsia" w:ascii="楷体" w:hAnsi="楷体" w:eastAsia="楷体"/>
        </w:rPr>
        <w:t>（四）坚持社会参与</w:t>
      </w:r>
      <w:bookmarkEnd w:id="35"/>
    </w:p>
    <w:p w14:paraId="221BC2D5">
      <w:pPr>
        <w:ind w:firstLine="640" w:firstLineChars="200"/>
        <w:rPr>
          <w:snapToGrid w:val="0"/>
        </w:rPr>
      </w:pPr>
      <w:r>
        <w:rPr>
          <w:rFonts w:hint="eastAsia"/>
          <w:snapToGrid w:val="0"/>
        </w:rPr>
        <w:t>坚持政府推动、市场调节和公众参与相结合的原则，以明确责任与协调机制调动企业、社会团体、公众参与低碳发展的积极性，形成低碳城市建设合力。</w:t>
      </w:r>
    </w:p>
    <w:p w14:paraId="51DEDF11">
      <w:pPr>
        <w:pStyle w:val="4"/>
      </w:pPr>
      <w:bookmarkStart w:id="36" w:name="_Toc524597402"/>
      <w:r>
        <w:rPr>
          <w:rFonts w:hint="eastAsia"/>
        </w:rPr>
        <w:t>总体思路</w:t>
      </w:r>
      <w:bookmarkEnd w:id="36"/>
    </w:p>
    <w:p w14:paraId="0583C3E6">
      <w:pPr>
        <w:ind w:firstLine="640" w:firstLineChars="200"/>
      </w:pPr>
      <w:r>
        <w:rPr>
          <w:rFonts w:hint="eastAsia"/>
        </w:rPr>
        <w:t>紧紧围绕低碳发展这一目标，推进实施“壮大一条路径”、“建美一座城市”、“推动一批示范”、“引领一组创新”、“夯实一个基础”的</w:t>
      </w:r>
      <w:r>
        <w:rPr>
          <w:rFonts w:hint="eastAsia"/>
          <w:b/>
        </w:rPr>
        <w:t>“五个一”构想</w:t>
      </w:r>
      <w:r>
        <w:rPr>
          <w:rFonts w:hint="eastAsia"/>
        </w:rPr>
        <w:t>，实现三明市经济与社会发展低碳化，最终打造山清水秀、宜居宜业的清新三明。</w:t>
      </w:r>
    </w:p>
    <w:p w14:paraId="11726213">
      <w:pPr>
        <w:ind w:firstLine="643" w:firstLineChars="200"/>
      </w:pPr>
      <w:r>
        <w:rPr>
          <w:rFonts w:hint="eastAsia"/>
          <w:b/>
        </w:rPr>
        <w:t>“壮大一条路径”</w:t>
      </w:r>
      <w:r>
        <w:rPr>
          <w:rFonts w:hint="eastAsia"/>
        </w:rPr>
        <w:t>：以打造绿色低碳产业体系为目标，推进传统产业高端化集聚化，推进新兴低碳产业专业化规模化，打造三明双创基地，这是三明市低碳发展的核心。</w:t>
      </w:r>
    </w:p>
    <w:p w14:paraId="2892FEB4">
      <w:pPr>
        <w:ind w:firstLine="643" w:firstLineChars="200"/>
      </w:pPr>
      <w:r>
        <w:rPr>
          <w:rFonts w:hint="eastAsia"/>
          <w:b/>
        </w:rPr>
        <w:t>“建美一座城市”</w:t>
      </w:r>
      <w:r>
        <w:rPr>
          <w:rFonts w:hint="eastAsia"/>
        </w:rPr>
        <w:t>：以推动城镇化低碳发展为目标，构建低碳能源保障体系，加强城乡低碳化建设和管理，增强生态系统碳汇能力，这是三明市低碳城市建设的关键。</w:t>
      </w:r>
    </w:p>
    <w:p w14:paraId="17845529">
      <w:pPr>
        <w:ind w:firstLine="643" w:firstLineChars="200"/>
      </w:pPr>
      <w:r>
        <w:rPr>
          <w:rFonts w:hint="eastAsia"/>
          <w:b/>
        </w:rPr>
        <w:t>“推动一批示范”</w:t>
      </w:r>
      <w:r>
        <w:rPr>
          <w:rFonts w:hint="eastAsia"/>
        </w:rPr>
        <w:t>：落实低碳先行先试要求为目标，推进低碳城镇试点建设、低碳景区试点建设、近零碳排放区示范工程建设，这是探索三明特色低碳发展模式的重要抓手。</w:t>
      </w:r>
    </w:p>
    <w:p w14:paraId="6D1D0011">
      <w:pPr>
        <w:ind w:firstLine="643" w:firstLineChars="200"/>
      </w:pPr>
      <w:r>
        <w:rPr>
          <w:rFonts w:hint="eastAsia"/>
          <w:b/>
        </w:rPr>
        <w:t>“引领一组创新”</w:t>
      </w:r>
      <w:r>
        <w:rPr>
          <w:rFonts w:hint="eastAsia"/>
        </w:rPr>
        <w:t>：以探索低碳制度建设新模式为目标，研究碳数据管理机制和碳汇补偿机制建设，是三明市作为低碳城市试点，先行先试开展制度创新模式研究、为全国低碳发展发挥示范带头作用的重要支撑。</w:t>
      </w:r>
    </w:p>
    <w:p w14:paraId="7B4383E4">
      <w:pPr>
        <w:ind w:firstLine="643" w:firstLineChars="200"/>
      </w:pPr>
      <w:r>
        <w:rPr>
          <w:rFonts w:hint="eastAsia"/>
          <w:b/>
        </w:rPr>
        <w:t>“夯实一个基础”：</w:t>
      </w:r>
      <w:r>
        <w:rPr>
          <w:rFonts w:hint="eastAsia"/>
        </w:rPr>
        <w:t>以提升城市低碳管理能力为目标，做好碳排放交易基础工作与低碳领域基础研究和专业化培训，这是实现低碳发展的重要基础。</w:t>
      </w:r>
    </w:p>
    <w:p w14:paraId="53E950E9">
      <w:pPr>
        <w:pStyle w:val="4"/>
      </w:pPr>
      <w:bookmarkStart w:id="37" w:name="_Toc524597403"/>
      <w:r>
        <w:rPr>
          <w:rFonts w:hint="eastAsia"/>
        </w:rPr>
        <w:t>发展目标</w:t>
      </w:r>
      <w:bookmarkEnd w:id="37"/>
    </w:p>
    <w:p w14:paraId="19308896">
      <w:pPr>
        <w:ind w:firstLine="643" w:firstLineChars="200"/>
        <w:rPr>
          <w:b/>
        </w:rPr>
      </w:pPr>
      <w:r>
        <w:rPr>
          <w:rFonts w:hint="eastAsia"/>
          <w:b/>
        </w:rPr>
        <w:t>低碳发展总体水平迈上新台阶。</w:t>
      </w:r>
      <w:r>
        <w:rPr>
          <w:rFonts w:hint="eastAsia"/>
        </w:rPr>
        <w:t>到</w:t>
      </w:r>
      <w:r>
        <w:t>2020</w:t>
      </w:r>
      <w:r>
        <w:rPr>
          <w:rFonts w:hint="eastAsia"/>
        </w:rPr>
        <w:t>年，单位生产总值二氧化碳排放比</w:t>
      </w:r>
      <w:r>
        <w:t>2015</w:t>
      </w:r>
      <w:r>
        <w:rPr>
          <w:rFonts w:hint="eastAsia"/>
        </w:rPr>
        <w:t>年降低</w:t>
      </w:r>
      <w:r>
        <w:t>20.5%</w:t>
      </w:r>
      <w:r>
        <w:rPr>
          <w:rFonts w:hint="eastAsia"/>
        </w:rPr>
        <w:t>，非化石能源占一次能源消费比重增长到</w:t>
      </w:r>
      <w:r>
        <w:t>19%</w:t>
      </w:r>
      <w:r>
        <w:rPr>
          <w:rFonts w:hint="eastAsia"/>
        </w:rPr>
        <w:t>，森林覆盖率保持在</w:t>
      </w:r>
      <w:r>
        <w:t>76.8%</w:t>
      </w:r>
      <w:r>
        <w:rPr>
          <w:rFonts w:hint="eastAsia"/>
        </w:rPr>
        <w:t>以上。到</w:t>
      </w:r>
      <w:r>
        <w:t>2022</w:t>
      </w:r>
      <w:r>
        <w:rPr>
          <w:rFonts w:hint="eastAsia"/>
        </w:rPr>
        <w:t>年，单位生产总值二氧化碳排放持续下降，非化石能源占比持续增长，森林覆盖率保持在</w:t>
      </w:r>
      <w:r>
        <w:t>76.8</w:t>
      </w:r>
      <w:r>
        <w:rPr>
          <w:rFonts w:hint="eastAsia"/>
        </w:rPr>
        <w:t>%以上。</w:t>
      </w:r>
      <w:r>
        <w:rPr>
          <w:rFonts w:hint="eastAsia"/>
          <w:b/>
        </w:rPr>
        <w:t>力争到</w:t>
      </w:r>
      <w:r>
        <w:rPr>
          <w:b/>
        </w:rPr>
        <w:t>2027</w:t>
      </w:r>
      <w:r>
        <w:rPr>
          <w:rFonts w:hint="eastAsia"/>
          <w:b/>
        </w:rPr>
        <w:t>年达到二氧化碳排放峰值。</w:t>
      </w:r>
    </w:p>
    <w:p w14:paraId="5D1FBD0F">
      <w:pPr>
        <w:ind w:firstLine="643" w:firstLineChars="200"/>
        <w:rPr>
          <w:b/>
        </w:rPr>
      </w:pPr>
      <w:r>
        <w:rPr>
          <w:rFonts w:hint="eastAsia"/>
          <w:b/>
        </w:rPr>
        <w:t>产业低碳转型实现新突破。</w:t>
      </w:r>
      <w:r>
        <w:rPr>
          <w:rFonts w:hint="eastAsia"/>
        </w:rPr>
        <w:t>工业化和信息化更加融合，先进制造业、现代服务业、新产业和新业态对经济增长的支撑作用加大，发展的质量和效益稳步提升，产业结构低碳化特征不断凸显。到</w:t>
      </w:r>
      <w:r>
        <w:t>2022</w:t>
      </w:r>
      <w:r>
        <w:rPr>
          <w:rFonts w:hint="eastAsia"/>
        </w:rPr>
        <w:t>年，基本实现农业生产生态化、工业生产清洁化、服务业发展优质化。</w:t>
      </w:r>
    </w:p>
    <w:p w14:paraId="59A35638">
      <w:pPr>
        <w:ind w:firstLine="643" w:firstLineChars="200"/>
      </w:pPr>
      <w:r>
        <w:rPr>
          <w:rFonts w:hint="eastAsia"/>
          <w:b/>
        </w:rPr>
        <w:t>能源结构逐步优化。</w:t>
      </w:r>
      <w:r>
        <w:rPr>
          <w:rFonts w:hint="eastAsia"/>
        </w:rPr>
        <w:t>以清洁、低碳为发展方向，优化电源结构，建成一批风电、光伏发电、水电等清洁能源项目，力争到“十三五”末我市清洁能源发电比重达</w:t>
      </w:r>
      <w:r>
        <w:t>55%</w:t>
      </w:r>
      <w:r>
        <w:rPr>
          <w:rFonts w:hint="eastAsia"/>
        </w:rPr>
        <w:t>。优化能源消费结构，提升能源利用效率，逐步降低煤炭消费比重，进一步加大减排力度，大力发展清洁能源、新兴能源，到</w:t>
      </w:r>
      <w:r>
        <w:t>2020</w:t>
      </w:r>
      <w:r>
        <w:rPr>
          <w:rFonts w:hint="eastAsia"/>
        </w:rPr>
        <w:t>年，万元生产总值能耗比</w:t>
      </w:r>
      <w:r>
        <w:t>2015</w:t>
      </w:r>
      <w:r>
        <w:rPr>
          <w:rFonts w:hint="eastAsia"/>
        </w:rPr>
        <w:t>年降低</w:t>
      </w:r>
      <w:r>
        <w:t>20%</w:t>
      </w:r>
      <w:r>
        <w:rPr>
          <w:rFonts w:hint="eastAsia"/>
        </w:rPr>
        <w:t>，降至</w:t>
      </w:r>
      <w:r>
        <w:t>0.67</w:t>
      </w:r>
      <w:r>
        <w:rPr>
          <w:rFonts w:hint="eastAsia"/>
        </w:rPr>
        <w:t>吨标准煤</w:t>
      </w:r>
      <w:r>
        <w:t>/</w:t>
      </w:r>
      <w:r>
        <w:rPr>
          <w:rFonts w:hint="eastAsia"/>
        </w:rPr>
        <w:t>万元</w:t>
      </w:r>
      <w:r>
        <w:t>,2021-2022</w:t>
      </w:r>
      <w:r>
        <w:rPr>
          <w:rFonts w:hint="eastAsia"/>
        </w:rPr>
        <w:t>年持续逐年下降。</w:t>
      </w:r>
    </w:p>
    <w:p w14:paraId="3032E1F9">
      <w:pPr>
        <w:ind w:firstLine="643" w:firstLineChars="200"/>
      </w:pPr>
      <w:r>
        <w:rPr>
          <w:rFonts w:hint="eastAsia"/>
          <w:b/>
        </w:rPr>
        <w:t>低碳社会建设稳步推进。</w:t>
      </w:r>
      <w:r>
        <w:rPr>
          <w:rFonts w:hint="eastAsia"/>
        </w:rPr>
        <w:t>低碳城市建设和管理新模式基本成型，建筑、交通、居民生活等城市重点排放领域碳排放强度明显下降。到</w:t>
      </w:r>
      <w:r>
        <w:t>2022</w:t>
      </w:r>
      <w:r>
        <w:rPr>
          <w:rFonts w:hint="eastAsia"/>
        </w:rPr>
        <w:t>年，通过低碳试点示范，形成一批各具特色的低碳社区、园区和景区，全面完成三明生态新城全国低碳城试点任务。勤俭节约、绿色低碳、文明健康的生活方式和消费模式深入人心。</w:t>
      </w:r>
    </w:p>
    <w:p w14:paraId="40852D5E">
      <w:pPr>
        <w:ind w:firstLine="643" w:firstLineChars="200"/>
        <w:rPr>
          <w:b/>
        </w:rPr>
      </w:pPr>
      <w:r>
        <w:rPr>
          <w:rFonts w:hint="eastAsia"/>
          <w:b/>
        </w:rPr>
        <w:t>生态屏障作用不断增强。</w:t>
      </w:r>
      <w:r>
        <w:rPr>
          <w:rFonts w:hint="eastAsia"/>
        </w:rPr>
        <w:t>生态建设与生态修复持续推进，城市林分树种结构优化，森林固碳、涵养水源能力明显增强，到</w:t>
      </w:r>
      <w:r>
        <w:t>2022</w:t>
      </w:r>
      <w:r>
        <w:rPr>
          <w:rFonts w:hint="eastAsia"/>
        </w:rPr>
        <w:t>年，森林蓄积量达</w:t>
      </w:r>
      <w:r>
        <w:t>1.73</w:t>
      </w:r>
      <w:r>
        <w:rPr>
          <w:rFonts w:hint="eastAsia"/>
        </w:rPr>
        <w:t>亿立方米以上，自然保护区（含保护小区）面积占国土面积比例达</w:t>
      </w:r>
      <w:r>
        <w:t>6.97%</w:t>
      </w:r>
      <w:r>
        <w:rPr>
          <w:rFonts w:hint="eastAsia"/>
        </w:rPr>
        <w:t>以上。持续推进国家森林城市建设，到</w:t>
      </w:r>
      <w:r>
        <w:t>2022</w:t>
      </w:r>
      <w:r>
        <w:rPr>
          <w:rFonts w:hint="eastAsia"/>
        </w:rPr>
        <w:t>年，建成区绿化覆盖率达</w:t>
      </w:r>
      <w:r>
        <w:t>44%</w:t>
      </w:r>
      <w:r>
        <w:rPr>
          <w:rFonts w:hint="eastAsia"/>
        </w:rPr>
        <w:t>以上，绿地率达</w:t>
      </w:r>
      <w:r>
        <w:t>40%</w:t>
      </w:r>
      <w:r>
        <w:rPr>
          <w:rFonts w:hint="eastAsia"/>
        </w:rPr>
        <w:t>以上，人均公园绿地面积达</w:t>
      </w:r>
      <w:r>
        <w:t>14.5</w:t>
      </w:r>
      <w:r>
        <w:rPr>
          <w:rFonts w:hint="eastAsia"/>
        </w:rPr>
        <w:t>平方米以上。</w:t>
      </w:r>
    </w:p>
    <w:p w14:paraId="08DC07FB">
      <w:pPr>
        <w:ind w:firstLine="643" w:firstLineChars="200"/>
      </w:pPr>
      <w:r>
        <w:rPr>
          <w:rFonts w:hint="eastAsia"/>
          <w:b/>
        </w:rPr>
        <w:t>低碳制度体系进一步健全。</w:t>
      </w:r>
      <w:r>
        <w:rPr>
          <w:rFonts w:hint="eastAsia"/>
        </w:rPr>
        <w:t>到</w:t>
      </w:r>
      <w:r>
        <w:t>2022</w:t>
      </w:r>
      <w:r>
        <w:rPr>
          <w:rFonts w:hint="eastAsia"/>
        </w:rPr>
        <w:t>年，温室气体排放统计监测和核查体系、碳强度考核评价体系、生态补偿制度等关键制度建设取得突破，政府决策机制、跨部门协调机制、资金流转机制、信息共享机制、市民参与机制和舆论监督机制等机制体制进一步完善。</w:t>
      </w:r>
    </w:p>
    <w:p w14:paraId="0F44EAF3">
      <w:pPr>
        <w:ind w:firstLine="640" w:firstLineChars="200"/>
      </w:pPr>
    </w:p>
    <w:p w14:paraId="161046B1">
      <w:pPr>
        <w:jc w:val="center"/>
        <w:rPr>
          <w:rFonts w:ascii="仿宋_GB2312" w:hAnsi="宋体" w:cs="宋体"/>
          <w:b/>
          <w:kern w:val="0"/>
          <w:sz w:val="28"/>
          <w:szCs w:val="28"/>
        </w:rPr>
      </w:pPr>
      <w:r>
        <w:rPr>
          <w:rFonts w:hint="eastAsia" w:ascii="仿宋_GB2312" w:hAnsi="宋体" w:cs="宋体"/>
          <w:b/>
          <w:kern w:val="0"/>
          <w:sz w:val="28"/>
          <w:szCs w:val="28"/>
        </w:rPr>
        <w:t>三明市低碳发展主要目标体系</w:t>
      </w:r>
    </w:p>
    <w:tbl>
      <w:tblPr>
        <w:tblStyle w:val="28"/>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458"/>
        <w:gridCol w:w="1787"/>
        <w:gridCol w:w="960"/>
        <w:gridCol w:w="1222"/>
        <w:gridCol w:w="1559"/>
        <w:gridCol w:w="1275"/>
        <w:gridCol w:w="851"/>
      </w:tblGrid>
      <w:tr w14:paraId="7E7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960" w:type="dxa"/>
            <w:vMerge w:val="restart"/>
            <w:tcBorders>
              <w:top w:val="single" w:color="auto" w:sz="4" w:space="0"/>
              <w:left w:val="single" w:color="auto" w:sz="4" w:space="0"/>
              <w:bottom w:val="single" w:color="auto" w:sz="4" w:space="0"/>
              <w:right w:val="single" w:color="auto" w:sz="4" w:space="0"/>
            </w:tcBorders>
            <w:vAlign w:val="center"/>
          </w:tcPr>
          <w:p w14:paraId="5A624F85">
            <w:pPr>
              <w:widowControl/>
              <w:spacing w:line="240" w:lineRule="auto"/>
              <w:jc w:val="center"/>
              <w:rPr>
                <w:color w:val="000000"/>
                <w:kern w:val="0"/>
                <w:sz w:val="24"/>
                <w:szCs w:val="24"/>
              </w:rPr>
            </w:pPr>
            <w:r>
              <w:rPr>
                <w:color w:val="000000"/>
                <w:kern w:val="0"/>
                <w:sz w:val="24"/>
                <w:szCs w:val="24"/>
              </w:rPr>
              <w:t>类别</w:t>
            </w:r>
          </w:p>
        </w:tc>
        <w:tc>
          <w:tcPr>
            <w:tcW w:w="2245" w:type="dxa"/>
            <w:gridSpan w:val="2"/>
            <w:vMerge w:val="restart"/>
            <w:tcBorders>
              <w:top w:val="single" w:color="auto" w:sz="4" w:space="0"/>
              <w:left w:val="single" w:color="auto" w:sz="4" w:space="0"/>
              <w:bottom w:val="single" w:color="auto" w:sz="4" w:space="0"/>
              <w:right w:val="single" w:color="auto" w:sz="4" w:space="0"/>
            </w:tcBorders>
            <w:vAlign w:val="center"/>
          </w:tcPr>
          <w:p w14:paraId="2C009C4D">
            <w:pPr>
              <w:widowControl/>
              <w:spacing w:line="240" w:lineRule="auto"/>
              <w:jc w:val="center"/>
              <w:rPr>
                <w:color w:val="000000"/>
                <w:kern w:val="0"/>
                <w:sz w:val="24"/>
                <w:szCs w:val="24"/>
              </w:rPr>
            </w:pPr>
            <w:r>
              <w:rPr>
                <w:color w:val="000000"/>
                <w:kern w:val="0"/>
                <w:sz w:val="24"/>
                <w:szCs w:val="24"/>
              </w:rPr>
              <w:t>指标名称</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42906869">
            <w:pPr>
              <w:widowControl/>
              <w:spacing w:line="240" w:lineRule="auto"/>
              <w:jc w:val="center"/>
              <w:rPr>
                <w:color w:val="000000"/>
                <w:kern w:val="0"/>
                <w:sz w:val="24"/>
                <w:szCs w:val="24"/>
              </w:rPr>
            </w:pPr>
            <w:r>
              <w:rPr>
                <w:color w:val="000000"/>
                <w:kern w:val="0"/>
                <w:sz w:val="24"/>
                <w:szCs w:val="24"/>
              </w:rPr>
              <w:t>单位</w:t>
            </w:r>
          </w:p>
        </w:tc>
        <w:tc>
          <w:tcPr>
            <w:tcW w:w="4056" w:type="dxa"/>
            <w:gridSpan w:val="3"/>
            <w:tcBorders>
              <w:top w:val="single" w:color="auto" w:sz="4" w:space="0"/>
              <w:left w:val="nil"/>
              <w:bottom w:val="single" w:color="auto" w:sz="4" w:space="0"/>
              <w:right w:val="single" w:color="auto" w:sz="4" w:space="0"/>
            </w:tcBorders>
            <w:vAlign w:val="center"/>
          </w:tcPr>
          <w:p w14:paraId="13F4FE00">
            <w:pPr>
              <w:widowControl/>
              <w:spacing w:line="240" w:lineRule="auto"/>
              <w:jc w:val="center"/>
              <w:rPr>
                <w:color w:val="000000"/>
                <w:kern w:val="0"/>
                <w:sz w:val="24"/>
                <w:szCs w:val="24"/>
              </w:rPr>
            </w:pPr>
            <w:r>
              <w:rPr>
                <w:color w:val="000000"/>
                <w:kern w:val="0"/>
                <w:sz w:val="24"/>
                <w:szCs w:val="24"/>
              </w:rPr>
              <w:t>指标值</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14BC99E">
            <w:pPr>
              <w:widowControl/>
              <w:spacing w:line="240" w:lineRule="auto"/>
              <w:jc w:val="center"/>
              <w:rPr>
                <w:color w:val="000000"/>
                <w:kern w:val="0"/>
                <w:sz w:val="24"/>
                <w:szCs w:val="24"/>
              </w:rPr>
            </w:pPr>
            <w:r>
              <w:rPr>
                <w:color w:val="000000"/>
                <w:kern w:val="0"/>
                <w:sz w:val="24"/>
                <w:szCs w:val="24"/>
              </w:rPr>
              <w:t>指标属性</w:t>
            </w:r>
          </w:p>
        </w:tc>
      </w:tr>
      <w:tr w14:paraId="4AC3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2922195A">
            <w:pPr>
              <w:widowControl/>
              <w:spacing w:line="240" w:lineRule="auto"/>
              <w:jc w:val="left"/>
              <w:rPr>
                <w:color w:val="000000"/>
                <w:kern w:val="0"/>
                <w:sz w:val="24"/>
                <w:szCs w:val="24"/>
              </w:rPr>
            </w:pPr>
          </w:p>
        </w:tc>
        <w:tc>
          <w:tcPr>
            <w:tcW w:w="2245" w:type="dxa"/>
            <w:gridSpan w:val="2"/>
            <w:vMerge w:val="continue"/>
            <w:tcBorders>
              <w:top w:val="single" w:color="auto" w:sz="4" w:space="0"/>
              <w:left w:val="single" w:color="auto" w:sz="4" w:space="0"/>
              <w:bottom w:val="single" w:color="auto" w:sz="4" w:space="0"/>
              <w:right w:val="single" w:color="auto" w:sz="4" w:space="0"/>
            </w:tcBorders>
            <w:vAlign w:val="center"/>
          </w:tcPr>
          <w:p w14:paraId="63BD6E3E">
            <w:pPr>
              <w:widowControl/>
              <w:spacing w:line="240" w:lineRule="auto"/>
              <w:jc w:val="left"/>
              <w:rPr>
                <w:color w:val="000000"/>
                <w:kern w:val="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1CFC5E27">
            <w:pPr>
              <w:widowControl/>
              <w:spacing w:line="240" w:lineRule="auto"/>
              <w:jc w:val="center"/>
              <w:rPr>
                <w:color w:val="000000"/>
                <w:kern w:val="0"/>
                <w:sz w:val="24"/>
                <w:szCs w:val="24"/>
              </w:rPr>
            </w:pPr>
          </w:p>
        </w:tc>
        <w:tc>
          <w:tcPr>
            <w:tcW w:w="1222" w:type="dxa"/>
            <w:tcBorders>
              <w:top w:val="nil"/>
              <w:left w:val="nil"/>
              <w:bottom w:val="single" w:color="auto" w:sz="4" w:space="0"/>
              <w:right w:val="single" w:color="auto" w:sz="4" w:space="0"/>
            </w:tcBorders>
            <w:vAlign w:val="center"/>
          </w:tcPr>
          <w:p w14:paraId="4BFFB6C0">
            <w:pPr>
              <w:widowControl/>
              <w:spacing w:line="240" w:lineRule="auto"/>
              <w:jc w:val="center"/>
              <w:rPr>
                <w:color w:val="000000"/>
                <w:kern w:val="0"/>
                <w:sz w:val="24"/>
                <w:szCs w:val="24"/>
              </w:rPr>
            </w:pPr>
            <w:r>
              <w:rPr>
                <w:color w:val="000000"/>
                <w:kern w:val="0"/>
                <w:sz w:val="24"/>
                <w:szCs w:val="24"/>
              </w:rPr>
              <w:t>2017年</w:t>
            </w:r>
          </w:p>
        </w:tc>
        <w:tc>
          <w:tcPr>
            <w:tcW w:w="1559" w:type="dxa"/>
            <w:tcBorders>
              <w:top w:val="nil"/>
              <w:left w:val="nil"/>
              <w:bottom w:val="single" w:color="auto" w:sz="4" w:space="0"/>
              <w:right w:val="single" w:color="auto" w:sz="4" w:space="0"/>
            </w:tcBorders>
            <w:vAlign w:val="center"/>
          </w:tcPr>
          <w:p w14:paraId="2673742E">
            <w:pPr>
              <w:widowControl/>
              <w:spacing w:line="240" w:lineRule="auto"/>
              <w:jc w:val="center"/>
              <w:rPr>
                <w:color w:val="000000"/>
                <w:kern w:val="0"/>
                <w:sz w:val="24"/>
                <w:szCs w:val="24"/>
              </w:rPr>
            </w:pPr>
            <w:r>
              <w:rPr>
                <w:color w:val="000000"/>
                <w:kern w:val="0"/>
                <w:sz w:val="24"/>
                <w:szCs w:val="24"/>
              </w:rPr>
              <w:t>2020年</w:t>
            </w:r>
          </w:p>
        </w:tc>
        <w:tc>
          <w:tcPr>
            <w:tcW w:w="1275" w:type="dxa"/>
            <w:tcBorders>
              <w:top w:val="nil"/>
              <w:left w:val="nil"/>
              <w:bottom w:val="single" w:color="auto" w:sz="4" w:space="0"/>
              <w:right w:val="single" w:color="auto" w:sz="4" w:space="0"/>
            </w:tcBorders>
            <w:vAlign w:val="center"/>
          </w:tcPr>
          <w:p w14:paraId="7EDF9844">
            <w:pPr>
              <w:widowControl/>
              <w:spacing w:line="240" w:lineRule="auto"/>
              <w:jc w:val="center"/>
              <w:rPr>
                <w:color w:val="000000"/>
                <w:kern w:val="0"/>
                <w:sz w:val="24"/>
                <w:szCs w:val="24"/>
              </w:rPr>
            </w:pPr>
            <w:r>
              <w:rPr>
                <w:color w:val="000000"/>
                <w:kern w:val="0"/>
                <w:sz w:val="24"/>
                <w:szCs w:val="24"/>
              </w:rPr>
              <w:t>2022年</w:t>
            </w:r>
            <w:r>
              <w:rPr>
                <w:color w:val="000000"/>
                <w:kern w:val="0"/>
                <w:sz w:val="24"/>
                <w:szCs w:val="24"/>
                <w:vertAlign w:val="superscript"/>
              </w:rPr>
              <w:t>1</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6EE3D5C">
            <w:pPr>
              <w:widowControl/>
              <w:spacing w:line="240" w:lineRule="auto"/>
              <w:jc w:val="center"/>
              <w:rPr>
                <w:color w:val="000000"/>
                <w:kern w:val="0"/>
                <w:sz w:val="24"/>
                <w:szCs w:val="24"/>
              </w:rPr>
            </w:pPr>
          </w:p>
        </w:tc>
      </w:tr>
      <w:tr w14:paraId="2544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vMerge w:val="restart"/>
            <w:tcBorders>
              <w:top w:val="nil"/>
              <w:left w:val="single" w:color="auto" w:sz="4" w:space="0"/>
              <w:bottom w:val="single" w:color="auto" w:sz="4" w:space="0"/>
              <w:right w:val="single" w:color="auto" w:sz="4" w:space="0"/>
            </w:tcBorders>
            <w:vAlign w:val="center"/>
          </w:tcPr>
          <w:p w14:paraId="616178D2">
            <w:pPr>
              <w:widowControl/>
              <w:spacing w:line="240" w:lineRule="auto"/>
              <w:jc w:val="center"/>
              <w:rPr>
                <w:color w:val="000000"/>
                <w:kern w:val="0"/>
                <w:sz w:val="24"/>
                <w:szCs w:val="24"/>
              </w:rPr>
            </w:pPr>
            <w:r>
              <w:rPr>
                <w:color w:val="000000"/>
                <w:kern w:val="0"/>
                <w:sz w:val="24"/>
                <w:szCs w:val="24"/>
              </w:rPr>
              <w:t>低碳发展总体目标</w:t>
            </w:r>
          </w:p>
        </w:tc>
        <w:tc>
          <w:tcPr>
            <w:tcW w:w="458" w:type="dxa"/>
            <w:tcBorders>
              <w:top w:val="nil"/>
              <w:left w:val="nil"/>
              <w:bottom w:val="single" w:color="auto" w:sz="4" w:space="0"/>
              <w:right w:val="single" w:color="auto" w:sz="4" w:space="0"/>
            </w:tcBorders>
            <w:vAlign w:val="center"/>
          </w:tcPr>
          <w:p w14:paraId="7D798E5F">
            <w:pPr>
              <w:widowControl/>
              <w:spacing w:line="240" w:lineRule="auto"/>
              <w:jc w:val="right"/>
              <w:rPr>
                <w:color w:val="000000"/>
                <w:kern w:val="0"/>
                <w:sz w:val="24"/>
                <w:szCs w:val="24"/>
              </w:rPr>
            </w:pPr>
            <w:r>
              <w:rPr>
                <w:color w:val="000000"/>
                <w:kern w:val="0"/>
                <w:sz w:val="24"/>
                <w:szCs w:val="24"/>
              </w:rPr>
              <w:t>1</w:t>
            </w:r>
          </w:p>
        </w:tc>
        <w:tc>
          <w:tcPr>
            <w:tcW w:w="1787" w:type="dxa"/>
            <w:tcBorders>
              <w:top w:val="nil"/>
              <w:left w:val="nil"/>
              <w:bottom w:val="single" w:color="auto" w:sz="4" w:space="0"/>
              <w:right w:val="single" w:color="auto" w:sz="4" w:space="0"/>
            </w:tcBorders>
            <w:vAlign w:val="center"/>
          </w:tcPr>
          <w:p w14:paraId="2C5FF825">
            <w:pPr>
              <w:widowControl/>
              <w:spacing w:line="240" w:lineRule="auto"/>
              <w:jc w:val="left"/>
              <w:rPr>
                <w:color w:val="000000"/>
                <w:kern w:val="0"/>
                <w:sz w:val="24"/>
                <w:szCs w:val="24"/>
              </w:rPr>
            </w:pPr>
            <w:bookmarkStart w:id="38" w:name="RANGE!C3"/>
            <w:r>
              <w:rPr>
                <w:color w:val="000000"/>
                <w:kern w:val="0"/>
                <w:sz w:val="24"/>
                <w:szCs w:val="24"/>
              </w:rPr>
              <w:t>单位生产总值二氧化碳排放下降率</w:t>
            </w:r>
            <w:bookmarkEnd w:id="38"/>
          </w:p>
        </w:tc>
        <w:tc>
          <w:tcPr>
            <w:tcW w:w="960" w:type="dxa"/>
            <w:tcBorders>
              <w:top w:val="nil"/>
              <w:left w:val="nil"/>
              <w:bottom w:val="single" w:color="auto" w:sz="4" w:space="0"/>
              <w:right w:val="single" w:color="auto" w:sz="4" w:space="0"/>
            </w:tcBorders>
            <w:vAlign w:val="center"/>
          </w:tcPr>
          <w:p w14:paraId="7DE0B0C7">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482EFE7E">
            <w:pPr>
              <w:widowControl/>
              <w:spacing w:line="240" w:lineRule="auto"/>
              <w:jc w:val="center"/>
              <w:rPr>
                <w:color w:val="000000"/>
                <w:kern w:val="0"/>
                <w:sz w:val="24"/>
                <w:szCs w:val="24"/>
              </w:rPr>
            </w:pPr>
            <w:r>
              <w:rPr>
                <w:color w:val="000000"/>
                <w:kern w:val="0"/>
                <w:sz w:val="24"/>
                <w:szCs w:val="24"/>
              </w:rPr>
              <w:t>-</w:t>
            </w:r>
          </w:p>
        </w:tc>
        <w:tc>
          <w:tcPr>
            <w:tcW w:w="1559" w:type="dxa"/>
            <w:tcBorders>
              <w:top w:val="nil"/>
              <w:left w:val="nil"/>
              <w:bottom w:val="single" w:color="auto" w:sz="4" w:space="0"/>
              <w:right w:val="single" w:color="auto" w:sz="4" w:space="0"/>
            </w:tcBorders>
            <w:vAlign w:val="center"/>
          </w:tcPr>
          <w:p w14:paraId="1B3E369C">
            <w:pPr>
              <w:widowControl/>
              <w:spacing w:line="240" w:lineRule="auto"/>
              <w:jc w:val="center"/>
              <w:rPr>
                <w:color w:val="000000"/>
                <w:kern w:val="0"/>
                <w:sz w:val="24"/>
                <w:szCs w:val="24"/>
              </w:rPr>
            </w:pPr>
            <w:r>
              <w:rPr>
                <w:color w:val="000000"/>
                <w:kern w:val="0"/>
                <w:sz w:val="24"/>
                <w:szCs w:val="24"/>
              </w:rPr>
              <w:t>20.5（2016-2020年累计）</w:t>
            </w:r>
          </w:p>
        </w:tc>
        <w:tc>
          <w:tcPr>
            <w:tcW w:w="1275" w:type="dxa"/>
            <w:tcBorders>
              <w:top w:val="nil"/>
              <w:left w:val="nil"/>
              <w:bottom w:val="single" w:color="auto" w:sz="4" w:space="0"/>
              <w:right w:val="single" w:color="auto" w:sz="4" w:space="0"/>
            </w:tcBorders>
            <w:vAlign w:val="center"/>
          </w:tcPr>
          <w:p w14:paraId="4C8BA05E">
            <w:pPr>
              <w:widowControl/>
              <w:spacing w:line="240" w:lineRule="auto"/>
              <w:jc w:val="center"/>
              <w:rPr>
                <w:color w:val="000000"/>
                <w:kern w:val="0"/>
                <w:sz w:val="24"/>
                <w:szCs w:val="24"/>
              </w:rPr>
            </w:pPr>
            <w:r>
              <w:rPr>
                <w:color w:val="000000"/>
                <w:kern w:val="0"/>
                <w:sz w:val="24"/>
                <w:szCs w:val="24"/>
              </w:rPr>
              <w:t>持续逐年下降</w:t>
            </w:r>
          </w:p>
        </w:tc>
        <w:tc>
          <w:tcPr>
            <w:tcW w:w="851" w:type="dxa"/>
            <w:tcBorders>
              <w:top w:val="nil"/>
              <w:left w:val="nil"/>
              <w:bottom w:val="single" w:color="auto" w:sz="4" w:space="0"/>
              <w:right w:val="single" w:color="auto" w:sz="4" w:space="0"/>
            </w:tcBorders>
            <w:vAlign w:val="center"/>
          </w:tcPr>
          <w:p w14:paraId="35F0B2D6">
            <w:pPr>
              <w:widowControl/>
              <w:spacing w:line="240" w:lineRule="auto"/>
              <w:jc w:val="center"/>
              <w:rPr>
                <w:color w:val="000000"/>
                <w:kern w:val="0"/>
                <w:sz w:val="24"/>
                <w:szCs w:val="24"/>
              </w:rPr>
            </w:pPr>
            <w:r>
              <w:rPr>
                <w:color w:val="000000"/>
                <w:kern w:val="0"/>
                <w:sz w:val="24"/>
                <w:szCs w:val="24"/>
              </w:rPr>
              <w:t>约束性</w:t>
            </w:r>
          </w:p>
        </w:tc>
      </w:tr>
      <w:tr w14:paraId="1701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vMerge w:val="continue"/>
            <w:tcBorders>
              <w:top w:val="nil"/>
              <w:left w:val="single" w:color="auto" w:sz="4" w:space="0"/>
              <w:bottom w:val="single" w:color="auto" w:sz="4" w:space="0"/>
              <w:right w:val="single" w:color="auto" w:sz="4" w:space="0"/>
            </w:tcBorders>
            <w:vAlign w:val="center"/>
          </w:tcPr>
          <w:p w14:paraId="5A18B61D">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1AF08B91">
            <w:pPr>
              <w:widowControl/>
              <w:spacing w:line="240" w:lineRule="auto"/>
              <w:jc w:val="right"/>
              <w:rPr>
                <w:color w:val="000000"/>
                <w:kern w:val="0"/>
                <w:sz w:val="24"/>
                <w:szCs w:val="24"/>
              </w:rPr>
            </w:pPr>
            <w:r>
              <w:rPr>
                <w:color w:val="000000"/>
                <w:kern w:val="0"/>
                <w:sz w:val="24"/>
                <w:szCs w:val="24"/>
              </w:rPr>
              <w:t>2</w:t>
            </w:r>
          </w:p>
        </w:tc>
        <w:tc>
          <w:tcPr>
            <w:tcW w:w="1787" w:type="dxa"/>
            <w:tcBorders>
              <w:top w:val="nil"/>
              <w:left w:val="nil"/>
              <w:bottom w:val="single" w:color="auto" w:sz="4" w:space="0"/>
              <w:right w:val="single" w:color="auto" w:sz="4" w:space="0"/>
            </w:tcBorders>
            <w:vAlign w:val="center"/>
          </w:tcPr>
          <w:p w14:paraId="1A29F39E">
            <w:pPr>
              <w:widowControl/>
              <w:spacing w:line="240" w:lineRule="auto"/>
              <w:jc w:val="left"/>
              <w:rPr>
                <w:color w:val="000000"/>
                <w:kern w:val="0"/>
                <w:sz w:val="24"/>
                <w:szCs w:val="24"/>
              </w:rPr>
            </w:pPr>
            <w:r>
              <w:rPr>
                <w:color w:val="000000"/>
                <w:kern w:val="0"/>
                <w:sz w:val="24"/>
                <w:szCs w:val="24"/>
              </w:rPr>
              <w:t>单位生产总值能耗下降率</w:t>
            </w:r>
          </w:p>
        </w:tc>
        <w:tc>
          <w:tcPr>
            <w:tcW w:w="960" w:type="dxa"/>
            <w:tcBorders>
              <w:top w:val="nil"/>
              <w:left w:val="nil"/>
              <w:bottom w:val="single" w:color="auto" w:sz="4" w:space="0"/>
              <w:right w:val="single" w:color="auto" w:sz="4" w:space="0"/>
            </w:tcBorders>
            <w:vAlign w:val="center"/>
          </w:tcPr>
          <w:p w14:paraId="41E733E4">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047B3D5B">
            <w:pPr>
              <w:widowControl/>
              <w:spacing w:line="240" w:lineRule="auto"/>
              <w:jc w:val="center"/>
              <w:rPr>
                <w:color w:val="000000"/>
                <w:kern w:val="0"/>
                <w:sz w:val="24"/>
                <w:szCs w:val="24"/>
              </w:rPr>
            </w:pPr>
            <w:r>
              <w:rPr>
                <w:color w:val="000000"/>
                <w:kern w:val="0"/>
                <w:sz w:val="24"/>
                <w:szCs w:val="24"/>
              </w:rPr>
              <w:t>-3.02</w:t>
            </w:r>
          </w:p>
        </w:tc>
        <w:tc>
          <w:tcPr>
            <w:tcW w:w="1559" w:type="dxa"/>
            <w:tcBorders>
              <w:top w:val="nil"/>
              <w:left w:val="nil"/>
              <w:bottom w:val="single" w:color="auto" w:sz="4" w:space="0"/>
              <w:right w:val="single" w:color="auto" w:sz="4" w:space="0"/>
            </w:tcBorders>
            <w:vAlign w:val="center"/>
          </w:tcPr>
          <w:p w14:paraId="3F4C6BE2">
            <w:pPr>
              <w:widowControl/>
              <w:spacing w:line="240" w:lineRule="auto"/>
              <w:jc w:val="center"/>
              <w:rPr>
                <w:color w:val="000000"/>
                <w:kern w:val="0"/>
                <w:sz w:val="24"/>
                <w:szCs w:val="24"/>
              </w:rPr>
            </w:pPr>
            <w:r>
              <w:rPr>
                <w:color w:val="000000"/>
                <w:kern w:val="0"/>
                <w:sz w:val="24"/>
                <w:szCs w:val="24"/>
              </w:rPr>
              <w:t>20（2016-2020年累计）</w:t>
            </w:r>
          </w:p>
        </w:tc>
        <w:tc>
          <w:tcPr>
            <w:tcW w:w="1275" w:type="dxa"/>
            <w:tcBorders>
              <w:top w:val="nil"/>
              <w:left w:val="nil"/>
              <w:bottom w:val="single" w:color="auto" w:sz="4" w:space="0"/>
              <w:right w:val="single" w:color="auto" w:sz="4" w:space="0"/>
            </w:tcBorders>
            <w:vAlign w:val="center"/>
          </w:tcPr>
          <w:p w14:paraId="3A787AF9">
            <w:pPr>
              <w:widowControl/>
              <w:spacing w:line="240" w:lineRule="auto"/>
              <w:jc w:val="center"/>
              <w:rPr>
                <w:color w:val="000000"/>
                <w:kern w:val="0"/>
                <w:sz w:val="24"/>
                <w:szCs w:val="24"/>
              </w:rPr>
            </w:pPr>
            <w:r>
              <w:rPr>
                <w:color w:val="000000"/>
                <w:kern w:val="0"/>
                <w:sz w:val="24"/>
                <w:szCs w:val="24"/>
              </w:rPr>
              <w:t>持续逐年下降</w:t>
            </w:r>
          </w:p>
        </w:tc>
        <w:tc>
          <w:tcPr>
            <w:tcW w:w="851" w:type="dxa"/>
            <w:tcBorders>
              <w:top w:val="nil"/>
              <w:left w:val="nil"/>
              <w:bottom w:val="single" w:color="auto" w:sz="4" w:space="0"/>
              <w:right w:val="single" w:color="auto" w:sz="4" w:space="0"/>
            </w:tcBorders>
            <w:vAlign w:val="center"/>
          </w:tcPr>
          <w:p w14:paraId="790D2604">
            <w:pPr>
              <w:widowControl/>
              <w:spacing w:line="240" w:lineRule="auto"/>
              <w:jc w:val="center"/>
              <w:rPr>
                <w:color w:val="000000"/>
                <w:kern w:val="0"/>
                <w:sz w:val="24"/>
                <w:szCs w:val="24"/>
              </w:rPr>
            </w:pPr>
            <w:r>
              <w:rPr>
                <w:color w:val="000000"/>
                <w:kern w:val="0"/>
                <w:sz w:val="24"/>
                <w:szCs w:val="24"/>
              </w:rPr>
              <w:t>约束性</w:t>
            </w:r>
          </w:p>
        </w:tc>
      </w:tr>
      <w:tr w14:paraId="7166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60" w:type="dxa"/>
            <w:vMerge w:val="restart"/>
            <w:tcBorders>
              <w:top w:val="nil"/>
              <w:left w:val="single" w:color="auto" w:sz="4" w:space="0"/>
              <w:bottom w:val="single" w:color="auto" w:sz="4" w:space="0"/>
              <w:right w:val="single" w:color="auto" w:sz="4" w:space="0"/>
            </w:tcBorders>
            <w:vAlign w:val="center"/>
          </w:tcPr>
          <w:p w14:paraId="62A04555">
            <w:pPr>
              <w:widowControl/>
              <w:spacing w:line="240" w:lineRule="auto"/>
              <w:jc w:val="center"/>
              <w:rPr>
                <w:color w:val="000000"/>
                <w:kern w:val="0"/>
                <w:sz w:val="24"/>
                <w:szCs w:val="24"/>
              </w:rPr>
            </w:pPr>
            <w:r>
              <w:rPr>
                <w:color w:val="000000"/>
                <w:kern w:val="0"/>
                <w:sz w:val="24"/>
                <w:szCs w:val="24"/>
              </w:rPr>
              <w:t>低碳</w:t>
            </w:r>
          </w:p>
          <w:p w14:paraId="2BB1DA2E">
            <w:pPr>
              <w:widowControl/>
              <w:spacing w:line="240" w:lineRule="auto"/>
              <w:jc w:val="center"/>
              <w:rPr>
                <w:color w:val="000000"/>
                <w:kern w:val="0"/>
                <w:sz w:val="24"/>
                <w:szCs w:val="24"/>
              </w:rPr>
            </w:pPr>
            <w:r>
              <w:rPr>
                <w:color w:val="000000"/>
                <w:kern w:val="0"/>
                <w:sz w:val="24"/>
                <w:szCs w:val="24"/>
              </w:rPr>
              <w:t>产业</w:t>
            </w:r>
          </w:p>
        </w:tc>
        <w:tc>
          <w:tcPr>
            <w:tcW w:w="458" w:type="dxa"/>
            <w:tcBorders>
              <w:top w:val="nil"/>
              <w:left w:val="nil"/>
              <w:bottom w:val="single" w:color="auto" w:sz="4" w:space="0"/>
              <w:right w:val="single" w:color="auto" w:sz="4" w:space="0"/>
            </w:tcBorders>
            <w:vAlign w:val="center"/>
          </w:tcPr>
          <w:p w14:paraId="69C91ADA">
            <w:pPr>
              <w:widowControl/>
              <w:spacing w:line="240" w:lineRule="auto"/>
              <w:jc w:val="right"/>
              <w:rPr>
                <w:color w:val="000000"/>
                <w:kern w:val="0"/>
                <w:sz w:val="24"/>
                <w:szCs w:val="24"/>
              </w:rPr>
            </w:pPr>
            <w:r>
              <w:rPr>
                <w:color w:val="000000"/>
                <w:kern w:val="0"/>
                <w:sz w:val="24"/>
                <w:szCs w:val="24"/>
              </w:rPr>
              <w:t>3</w:t>
            </w:r>
          </w:p>
        </w:tc>
        <w:tc>
          <w:tcPr>
            <w:tcW w:w="1787" w:type="dxa"/>
            <w:tcBorders>
              <w:top w:val="nil"/>
              <w:left w:val="nil"/>
              <w:bottom w:val="single" w:color="auto" w:sz="4" w:space="0"/>
              <w:right w:val="single" w:color="auto" w:sz="4" w:space="0"/>
            </w:tcBorders>
            <w:vAlign w:val="center"/>
          </w:tcPr>
          <w:p w14:paraId="13C9CA16">
            <w:pPr>
              <w:widowControl/>
              <w:spacing w:line="240" w:lineRule="auto"/>
              <w:jc w:val="left"/>
              <w:rPr>
                <w:color w:val="000000"/>
                <w:kern w:val="0"/>
                <w:sz w:val="24"/>
                <w:szCs w:val="24"/>
              </w:rPr>
            </w:pPr>
            <w:r>
              <w:rPr>
                <w:color w:val="000000"/>
                <w:kern w:val="0"/>
                <w:sz w:val="24"/>
                <w:szCs w:val="24"/>
              </w:rPr>
              <w:t>第三产业增加值占地区生产总值比例</w:t>
            </w:r>
          </w:p>
        </w:tc>
        <w:tc>
          <w:tcPr>
            <w:tcW w:w="960" w:type="dxa"/>
            <w:tcBorders>
              <w:top w:val="nil"/>
              <w:left w:val="nil"/>
              <w:bottom w:val="single" w:color="auto" w:sz="4" w:space="0"/>
              <w:right w:val="single" w:color="auto" w:sz="4" w:space="0"/>
            </w:tcBorders>
            <w:vAlign w:val="center"/>
          </w:tcPr>
          <w:p w14:paraId="37F9AF49">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2D7242C9">
            <w:pPr>
              <w:widowControl/>
              <w:spacing w:line="240" w:lineRule="auto"/>
              <w:jc w:val="center"/>
              <w:rPr>
                <w:color w:val="000000"/>
                <w:kern w:val="0"/>
                <w:sz w:val="24"/>
                <w:szCs w:val="24"/>
              </w:rPr>
            </w:pPr>
            <w:r>
              <w:rPr>
                <w:color w:val="000000"/>
                <w:kern w:val="0"/>
                <w:sz w:val="24"/>
                <w:szCs w:val="24"/>
              </w:rPr>
              <w:t>35.5</w:t>
            </w:r>
          </w:p>
        </w:tc>
        <w:tc>
          <w:tcPr>
            <w:tcW w:w="1559" w:type="dxa"/>
            <w:tcBorders>
              <w:top w:val="nil"/>
              <w:left w:val="nil"/>
              <w:bottom w:val="single" w:color="auto" w:sz="4" w:space="0"/>
              <w:right w:val="single" w:color="auto" w:sz="4" w:space="0"/>
            </w:tcBorders>
            <w:vAlign w:val="center"/>
          </w:tcPr>
          <w:p w14:paraId="0A73C5B5">
            <w:pPr>
              <w:widowControl/>
              <w:spacing w:line="240" w:lineRule="auto"/>
              <w:jc w:val="center"/>
              <w:rPr>
                <w:color w:val="000000"/>
                <w:kern w:val="0"/>
                <w:sz w:val="24"/>
                <w:szCs w:val="24"/>
              </w:rPr>
            </w:pPr>
            <w:r>
              <w:rPr>
                <w:color w:val="000000"/>
                <w:kern w:val="0"/>
                <w:sz w:val="24"/>
                <w:szCs w:val="24"/>
              </w:rPr>
              <w:t>38</w:t>
            </w:r>
          </w:p>
        </w:tc>
        <w:tc>
          <w:tcPr>
            <w:tcW w:w="1275" w:type="dxa"/>
            <w:tcBorders>
              <w:top w:val="nil"/>
              <w:left w:val="nil"/>
              <w:bottom w:val="single" w:color="auto" w:sz="4" w:space="0"/>
              <w:right w:val="single" w:color="auto" w:sz="4" w:space="0"/>
            </w:tcBorders>
            <w:vAlign w:val="center"/>
          </w:tcPr>
          <w:p w14:paraId="5E1B0587">
            <w:pPr>
              <w:widowControl/>
              <w:spacing w:line="240" w:lineRule="auto"/>
              <w:jc w:val="center"/>
              <w:rPr>
                <w:color w:val="000000"/>
                <w:kern w:val="0"/>
                <w:sz w:val="24"/>
                <w:szCs w:val="24"/>
              </w:rPr>
            </w:pPr>
            <w:r>
              <w:rPr>
                <w:color w:val="000000"/>
                <w:kern w:val="0"/>
                <w:sz w:val="24"/>
                <w:szCs w:val="24"/>
              </w:rPr>
              <w:t>38以上</w:t>
            </w:r>
          </w:p>
        </w:tc>
        <w:tc>
          <w:tcPr>
            <w:tcW w:w="851" w:type="dxa"/>
            <w:tcBorders>
              <w:top w:val="nil"/>
              <w:left w:val="nil"/>
              <w:bottom w:val="single" w:color="auto" w:sz="4" w:space="0"/>
              <w:right w:val="single" w:color="auto" w:sz="4" w:space="0"/>
            </w:tcBorders>
            <w:vAlign w:val="center"/>
          </w:tcPr>
          <w:p w14:paraId="330379E9">
            <w:pPr>
              <w:widowControl/>
              <w:spacing w:line="240" w:lineRule="auto"/>
              <w:jc w:val="center"/>
              <w:rPr>
                <w:color w:val="000000"/>
                <w:kern w:val="0"/>
                <w:sz w:val="24"/>
                <w:szCs w:val="24"/>
              </w:rPr>
            </w:pPr>
            <w:r>
              <w:rPr>
                <w:color w:val="000000"/>
                <w:kern w:val="0"/>
                <w:sz w:val="24"/>
                <w:szCs w:val="24"/>
              </w:rPr>
              <w:t>预期性</w:t>
            </w:r>
          </w:p>
        </w:tc>
      </w:tr>
      <w:tr w14:paraId="581D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vMerge w:val="continue"/>
            <w:tcBorders>
              <w:top w:val="nil"/>
              <w:left w:val="single" w:color="auto" w:sz="4" w:space="0"/>
              <w:bottom w:val="single" w:color="auto" w:sz="4" w:space="0"/>
              <w:right w:val="single" w:color="auto" w:sz="4" w:space="0"/>
            </w:tcBorders>
            <w:vAlign w:val="center"/>
          </w:tcPr>
          <w:p w14:paraId="72A5E525">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7FF6C7C1">
            <w:pPr>
              <w:widowControl/>
              <w:spacing w:line="240" w:lineRule="auto"/>
              <w:jc w:val="right"/>
              <w:rPr>
                <w:color w:val="000000"/>
                <w:kern w:val="0"/>
                <w:sz w:val="24"/>
                <w:szCs w:val="24"/>
              </w:rPr>
            </w:pPr>
            <w:r>
              <w:rPr>
                <w:color w:val="000000"/>
                <w:kern w:val="0"/>
                <w:sz w:val="24"/>
                <w:szCs w:val="24"/>
              </w:rPr>
              <w:t>4</w:t>
            </w:r>
          </w:p>
        </w:tc>
        <w:tc>
          <w:tcPr>
            <w:tcW w:w="1787" w:type="dxa"/>
            <w:tcBorders>
              <w:top w:val="nil"/>
              <w:left w:val="nil"/>
              <w:bottom w:val="single" w:color="auto" w:sz="4" w:space="0"/>
              <w:right w:val="single" w:color="auto" w:sz="4" w:space="0"/>
            </w:tcBorders>
            <w:vAlign w:val="center"/>
          </w:tcPr>
          <w:p w14:paraId="40A75170">
            <w:pPr>
              <w:widowControl/>
              <w:spacing w:line="240" w:lineRule="auto"/>
              <w:jc w:val="left"/>
              <w:rPr>
                <w:color w:val="000000"/>
                <w:kern w:val="0"/>
                <w:sz w:val="24"/>
                <w:szCs w:val="24"/>
              </w:rPr>
            </w:pPr>
            <w:r>
              <w:rPr>
                <w:color w:val="000000"/>
                <w:kern w:val="0"/>
                <w:sz w:val="24"/>
                <w:szCs w:val="24"/>
              </w:rPr>
              <w:t>万元工业增加值能耗</w:t>
            </w:r>
          </w:p>
        </w:tc>
        <w:tc>
          <w:tcPr>
            <w:tcW w:w="960" w:type="dxa"/>
            <w:tcBorders>
              <w:top w:val="nil"/>
              <w:left w:val="nil"/>
              <w:bottom w:val="single" w:color="auto" w:sz="4" w:space="0"/>
              <w:right w:val="single" w:color="auto" w:sz="4" w:space="0"/>
            </w:tcBorders>
            <w:vAlign w:val="center"/>
          </w:tcPr>
          <w:p w14:paraId="2136E802">
            <w:pPr>
              <w:widowControl/>
              <w:spacing w:line="240" w:lineRule="auto"/>
              <w:jc w:val="center"/>
              <w:rPr>
                <w:color w:val="000000"/>
                <w:kern w:val="0"/>
                <w:sz w:val="24"/>
                <w:szCs w:val="24"/>
              </w:rPr>
            </w:pPr>
            <w:r>
              <w:rPr>
                <w:color w:val="000000"/>
                <w:kern w:val="0"/>
                <w:sz w:val="24"/>
                <w:szCs w:val="24"/>
              </w:rPr>
              <w:t>吨标煤/万元</w:t>
            </w:r>
          </w:p>
        </w:tc>
        <w:tc>
          <w:tcPr>
            <w:tcW w:w="1222" w:type="dxa"/>
            <w:tcBorders>
              <w:top w:val="nil"/>
              <w:left w:val="nil"/>
              <w:bottom w:val="single" w:color="auto" w:sz="4" w:space="0"/>
              <w:right w:val="single" w:color="auto" w:sz="4" w:space="0"/>
            </w:tcBorders>
            <w:vAlign w:val="center"/>
          </w:tcPr>
          <w:p w14:paraId="6975182F">
            <w:pPr>
              <w:widowControl/>
              <w:spacing w:line="240" w:lineRule="auto"/>
              <w:jc w:val="center"/>
              <w:rPr>
                <w:color w:val="000000"/>
                <w:kern w:val="0"/>
                <w:sz w:val="24"/>
                <w:szCs w:val="24"/>
              </w:rPr>
            </w:pPr>
            <w:r>
              <w:rPr>
                <w:color w:val="000000"/>
                <w:kern w:val="0"/>
                <w:sz w:val="24"/>
                <w:szCs w:val="24"/>
              </w:rPr>
              <w:t>0.91</w:t>
            </w:r>
          </w:p>
        </w:tc>
        <w:tc>
          <w:tcPr>
            <w:tcW w:w="1559" w:type="dxa"/>
            <w:tcBorders>
              <w:top w:val="nil"/>
              <w:left w:val="nil"/>
              <w:bottom w:val="single" w:color="auto" w:sz="4" w:space="0"/>
              <w:right w:val="single" w:color="auto" w:sz="4" w:space="0"/>
            </w:tcBorders>
            <w:vAlign w:val="center"/>
          </w:tcPr>
          <w:p w14:paraId="402EA1C0">
            <w:pPr>
              <w:widowControl/>
              <w:spacing w:line="240" w:lineRule="auto"/>
              <w:jc w:val="center"/>
              <w:rPr>
                <w:color w:val="000000"/>
                <w:kern w:val="0"/>
                <w:sz w:val="24"/>
                <w:szCs w:val="24"/>
              </w:rPr>
            </w:pPr>
            <w:r>
              <w:rPr>
                <w:color w:val="000000"/>
                <w:kern w:val="0"/>
                <w:sz w:val="24"/>
                <w:szCs w:val="24"/>
              </w:rPr>
              <w:t>逐年下降</w:t>
            </w:r>
          </w:p>
        </w:tc>
        <w:tc>
          <w:tcPr>
            <w:tcW w:w="1275" w:type="dxa"/>
            <w:tcBorders>
              <w:top w:val="nil"/>
              <w:left w:val="nil"/>
              <w:bottom w:val="single" w:color="auto" w:sz="4" w:space="0"/>
              <w:right w:val="single" w:color="auto" w:sz="4" w:space="0"/>
            </w:tcBorders>
            <w:vAlign w:val="center"/>
          </w:tcPr>
          <w:p w14:paraId="49DEB168">
            <w:pPr>
              <w:widowControl/>
              <w:spacing w:line="240" w:lineRule="auto"/>
              <w:jc w:val="center"/>
              <w:rPr>
                <w:color w:val="000000"/>
                <w:kern w:val="0"/>
                <w:sz w:val="24"/>
                <w:szCs w:val="24"/>
              </w:rPr>
            </w:pPr>
            <w:r>
              <w:rPr>
                <w:color w:val="000000"/>
                <w:kern w:val="0"/>
                <w:sz w:val="24"/>
                <w:szCs w:val="24"/>
              </w:rPr>
              <w:t>逐年下降</w:t>
            </w:r>
          </w:p>
        </w:tc>
        <w:tc>
          <w:tcPr>
            <w:tcW w:w="851" w:type="dxa"/>
            <w:tcBorders>
              <w:top w:val="nil"/>
              <w:left w:val="nil"/>
              <w:bottom w:val="single" w:color="auto" w:sz="4" w:space="0"/>
              <w:right w:val="single" w:color="auto" w:sz="4" w:space="0"/>
            </w:tcBorders>
            <w:vAlign w:val="center"/>
          </w:tcPr>
          <w:p w14:paraId="1AA131C4">
            <w:pPr>
              <w:widowControl/>
              <w:spacing w:line="240" w:lineRule="auto"/>
              <w:jc w:val="center"/>
              <w:rPr>
                <w:color w:val="000000"/>
                <w:kern w:val="0"/>
                <w:sz w:val="24"/>
                <w:szCs w:val="24"/>
              </w:rPr>
            </w:pPr>
            <w:r>
              <w:rPr>
                <w:color w:val="000000"/>
                <w:kern w:val="0"/>
                <w:sz w:val="24"/>
                <w:szCs w:val="24"/>
              </w:rPr>
              <w:t>预期性</w:t>
            </w:r>
          </w:p>
        </w:tc>
      </w:tr>
      <w:tr w14:paraId="6129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60" w:type="dxa"/>
            <w:vMerge w:val="restart"/>
            <w:tcBorders>
              <w:top w:val="nil"/>
              <w:left w:val="single" w:color="auto" w:sz="4" w:space="0"/>
              <w:bottom w:val="single" w:color="auto" w:sz="4" w:space="0"/>
              <w:right w:val="single" w:color="auto" w:sz="4" w:space="0"/>
            </w:tcBorders>
            <w:vAlign w:val="center"/>
          </w:tcPr>
          <w:p w14:paraId="43E86AF0">
            <w:pPr>
              <w:widowControl/>
              <w:spacing w:line="240" w:lineRule="auto"/>
              <w:jc w:val="center"/>
              <w:rPr>
                <w:color w:val="000000"/>
                <w:kern w:val="0"/>
                <w:sz w:val="24"/>
                <w:szCs w:val="24"/>
              </w:rPr>
            </w:pPr>
            <w:r>
              <w:rPr>
                <w:color w:val="000000"/>
                <w:kern w:val="0"/>
                <w:sz w:val="24"/>
                <w:szCs w:val="24"/>
              </w:rPr>
              <w:t>低碳</w:t>
            </w:r>
          </w:p>
          <w:p w14:paraId="5A9A69CD">
            <w:pPr>
              <w:widowControl/>
              <w:spacing w:line="240" w:lineRule="auto"/>
              <w:jc w:val="center"/>
              <w:rPr>
                <w:color w:val="000000"/>
                <w:kern w:val="0"/>
                <w:sz w:val="24"/>
                <w:szCs w:val="24"/>
              </w:rPr>
            </w:pPr>
            <w:r>
              <w:rPr>
                <w:color w:val="000000"/>
                <w:kern w:val="0"/>
                <w:sz w:val="24"/>
                <w:szCs w:val="24"/>
              </w:rPr>
              <w:t>能源</w:t>
            </w:r>
          </w:p>
        </w:tc>
        <w:tc>
          <w:tcPr>
            <w:tcW w:w="458" w:type="dxa"/>
            <w:tcBorders>
              <w:top w:val="nil"/>
              <w:left w:val="nil"/>
              <w:bottom w:val="single" w:color="auto" w:sz="4" w:space="0"/>
              <w:right w:val="single" w:color="auto" w:sz="4" w:space="0"/>
            </w:tcBorders>
            <w:vAlign w:val="center"/>
          </w:tcPr>
          <w:p w14:paraId="29E4E448">
            <w:pPr>
              <w:widowControl/>
              <w:spacing w:line="240" w:lineRule="auto"/>
              <w:jc w:val="right"/>
              <w:rPr>
                <w:color w:val="000000"/>
                <w:kern w:val="0"/>
                <w:sz w:val="24"/>
                <w:szCs w:val="24"/>
              </w:rPr>
            </w:pPr>
            <w:r>
              <w:rPr>
                <w:color w:val="000000"/>
                <w:kern w:val="0"/>
                <w:sz w:val="24"/>
                <w:szCs w:val="24"/>
              </w:rPr>
              <w:t>5</w:t>
            </w:r>
          </w:p>
        </w:tc>
        <w:tc>
          <w:tcPr>
            <w:tcW w:w="1787" w:type="dxa"/>
            <w:tcBorders>
              <w:top w:val="nil"/>
              <w:left w:val="nil"/>
              <w:bottom w:val="single" w:color="auto" w:sz="4" w:space="0"/>
              <w:right w:val="single" w:color="auto" w:sz="4" w:space="0"/>
            </w:tcBorders>
            <w:vAlign w:val="center"/>
          </w:tcPr>
          <w:p w14:paraId="2295E020">
            <w:pPr>
              <w:widowControl/>
              <w:spacing w:line="240" w:lineRule="auto"/>
              <w:jc w:val="left"/>
              <w:rPr>
                <w:color w:val="000000"/>
                <w:kern w:val="0"/>
                <w:sz w:val="24"/>
                <w:szCs w:val="24"/>
              </w:rPr>
            </w:pPr>
            <w:r>
              <w:rPr>
                <w:color w:val="000000"/>
                <w:kern w:val="0"/>
                <w:sz w:val="24"/>
                <w:szCs w:val="24"/>
              </w:rPr>
              <w:t>非化石能源占一次能源消费比重</w:t>
            </w:r>
          </w:p>
        </w:tc>
        <w:tc>
          <w:tcPr>
            <w:tcW w:w="960" w:type="dxa"/>
            <w:tcBorders>
              <w:top w:val="nil"/>
              <w:left w:val="nil"/>
              <w:bottom w:val="single" w:color="auto" w:sz="4" w:space="0"/>
              <w:right w:val="single" w:color="auto" w:sz="4" w:space="0"/>
            </w:tcBorders>
            <w:vAlign w:val="center"/>
          </w:tcPr>
          <w:p w14:paraId="3E5126E5">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6F0FB29D">
            <w:pPr>
              <w:widowControl/>
              <w:spacing w:line="240" w:lineRule="auto"/>
              <w:jc w:val="center"/>
              <w:rPr>
                <w:color w:val="000000"/>
                <w:kern w:val="0"/>
                <w:sz w:val="24"/>
                <w:szCs w:val="24"/>
              </w:rPr>
            </w:pPr>
            <w:r>
              <w:rPr>
                <w:color w:val="000000"/>
                <w:kern w:val="0"/>
                <w:sz w:val="24"/>
                <w:szCs w:val="24"/>
              </w:rPr>
              <w:t>26.87</w:t>
            </w:r>
          </w:p>
        </w:tc>
        <w:tc>
          <w:tcPr>
            <w:tcW w:w="1559" w:type="dxa"/>
            <w:tcBorders>
              <w:top w:val="nil"/>
              <w:left w:val="nil"/>
              <w:bottom w:val="single" w:color="auto" w:sz="4" w:space="0"/>
              <w:right w:val="single" w:color="auto" w:sz="4" w:space="0"/>
            </w:tcBorders>
            <w:vAlign w:val="center"/>
          </w:tcPr>
          <w:p w14:paraId="447BDB95">
            <w:pPr>
              <w:widowControl/>
              <w:spacing w:line="240" w:lineRule="auto"/>
              <w:jc w:val="center"/>
              <w:rPr>
                <w:color w:val="000000"/>
                <w:kern w:val="0"/>
                <w:sz w:val="24"/>
                <w:szCs w:val="24"/>
              </w:rPr>
            </w:pPr>
            <w:r>
              <w:rPr>
                <w:color w:val="000000"/>
                <w:kern w:val="0"/>
                <w:sz w:val="24"/>
                <w:szCs w:val="24"/>
              </w:rPr>
              <w:t>19</w:t>
            </w:r>
          </w:p>
        </w:tc>
        <w:tc>
          <w:tcPr>
            <w:tcW w:w="1275" w:type="dxa"/>
            <w:tcBorders>
              <w:top w:val="nil"/>
              <w:left w:val="nil"/>
              <w:bottom w:val="single" w:color="auto" w:sz="4" w:space="0"/>
              <w:right w:val="single" w:color="auto" w:sz="4" w:space="0"/>
            </w:tcBorders>
            <w:vAlign w:val="center"/>
          </w:tcPr>
          <w:p w14:paraId="34512049">
            <w:pPr>
              <w:widowControl/>
              <w:spacing w:line="240" w:lineRule="auto"/>
              <w:jc w:val="center"/>
              <w:rPr>
                <w:color w:val="000000"/>
                <w:kern w:val="0"/>
                <w:sz w:val="24"/>
                <w:szCs w:val="24"/>
              </w:rPr>
            </w:pPr>
            <w:r>
              <w:rPr>
                <w:color w:val="000000"/>
                <w:kern w:val="0"/>
                <w:sz w:val="24"/>
                <w:szCs w:val="24"/>
              </w:rPr>
              <w:t>持续增长</w:t>
            </w:r>
          </w:p>
        </w:tc>
        <w:tc>
          <w:tcPr>
            <w:tcW w:w="851" w:type="dxa"/>
            <w:tcBorders>
              <w:top w:val="nil"/>
              <w:left w:val="nil"/>
              <w:bottom w:val="single" w:color="auto" w:sz="4" w:space="0"/>
              <w:right w:val="single" w:color="auto" w:sz="4" w:space="0"/>
            </w:tcBorders>
            <w:vAlign w:val="center"/>
          </w:tcPr>
          <w:p w14:paraId="75C632F6">
            <w:pPr>
              <w:widowControl/>
              <w:spacing w:line="240" w:lineRule="auto"/>
              <w:jc w:val="center"/>
              <w:rPr>
                <w:color w:val="000000"/>
                <w:kern w:val="0"/>
                <w:sz w:val="24"/>
                <w:szCs w:val="24"/>
              </w:rPr>
            </w:pPr>
            <w:r>
              <w:rPr>
                <w:color w:val="000000"/>
                <w:kern w:val="0"/>
                <w:sz w:val="24"/>
                <w:szCs w:val="24"/>
              </w:rPr>
              <w:t>约束性</w:t>
            </w:r>
          </w:p>
        </w:tc>
      </w:tr>
      <w:tr w14:paraId="641F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continue"/>
            <w:tcBorders>
              <w:top w:val="nil"/>
              <w:left w:val="single" w:color="auto" w:sz="4" w:space="0"/>
              <w:bottom w:val="single" w:color="auto" w:sz="4" w:space="0"/>
              <w:right w:val="single" w:color="auto" w:sz="4" w:space="0"/>
            </w:tcBorders>
            <w:vAlign w:val="center"/>
          </w:tcPr>
          <w:p w14:paraId="3A8E4209">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11B9D161">
            <w:pPr>
              <w:widowControl/>
              <w:spacing w:line="240" w:lineRule="auto"/>
              <w:jc w:val="right"/>
              <w:rPr>
                <w:color w:val="000000"/>
                <w:kern w:val="0"/>
                <w:sz w:val="24"/>
                <w:szCs w:val="24"/>
              </w:rPr>
            </w:pPr>
            <w:r>
              <w:rPr>
                <w:color w:val="000000"/>
                <w:kern w:val="0"/>
                <w:sz w:val="24"/>
                <w:szCs w:val="24"/>
              </w:rPr>
              <w:t>6</w:t>
            </w:r>
          </w:p>
        </w:tc>
        <w:tc>
          <w:tcPr>
            <w:tcW w:w="1787" w:type="dxa"/>
            <w:tcBorders>
              <w:top w:val="nil"/>
              <w:left w:val="nil"/>
              <w:bottom w:val="single" w:color="auto" w:sz="4" w:space="0"/>
              <w:right w:val="single" w:color="auto" w:sz="4" w:space="0"/>
            </w:tcBorders>
            <w:vAlign w:val="center"/>
          </w:tcPr>
          <w:p w14:paraId="0F328153">
            <w:pPr>
              <w:widowControl/>
              <w:spacing w:line="240" w:lineRule="auto"/>
              <w:jc w:val="left"/>
              <w:rPr>
                <w:color w:val="000000"/>
                <w:kern w:val="0"/>
                <w:sz w:val="24"/>
                <w:szCs w:val="24"/>
              </w:rPr>
            </w:pPr>
            <w:r>
              <w:rPr>
                <w:color w:val="000000"/>
                <w:kern w:val="0"/>
                <w:sz w:val="24"/>
                <w:szCs w:val="24"/>
              </w:rPr>
              <w:t>清洁能源发电比重</w:t>
            </w:r>
          </w:p>
        </w:tc>
        <w:tc>
          <w:tcPr>
            <w:tcW w:w="960" w:type="dxa"/>
            <w:tcBorders>
              <w:top w:val="nil"/>
              <w:left w:val="nil"/>
              <w:bottom w:val="single" w:color="auto" w:sz="4" w:space="0"/>
              <w:right w:val="single" w:color="auto" w:sz="4" w:space="0"/>
            </w:tcBorders>
            <w:vAlign w:val="center"/>
          </w:tcPr>
          <w:p w14:paraId="0FB80312">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2552DFB2">
            <w:pPr>
              <w:widowControl/>
              <w:spacing w:line="240" w:lineRule="auto"/>
              <w:jc w:val="center"/>
              <w:rPr>
                <w:color w:val="000000"/>
                <w:kern w:val="0"/>
                <w:sz w:val="24"/>
                <w:szCs w:val="24"/>
              </w:rPr>
            </w:pPr>
            <w:r>
              <w:rPr>
                <w:color w:val="000000"/>
                <w:kern w:val="0"/>
                <w:sz w:val="24"/>
                <w:szCs w:val="24"/>
              </w:rPr>
              <w:t>—</w:t>
            </w:r>
          </w:p>
        </w:tc>
        <w:tc>
          <w:tcPr>
            <w:tcW w:w="1559" w:type="dxa"/>
            <w:tcBorders>
              <w:top w:val="nil"/>
              <w:left w:val="nil"/>
              <w:bottom w:val="single" w:color="auto" w:sz="4" w:space="0"/>
              <w:right w:val="single" w:color="auto" w:sz="4" w:space="0"/>
            </w:tcBorders>
            <w:vAlign w:val="center"/>
          </w:tcPr>
          <w:p w14:paraId="54F39062">
            <w:pPr>
              <w:widowControl/>
              <w:spacing w:line="240" w:lineRule="auto"/>
              <w:jc w:val="center"/>
              <w:rPr>
                <w:color w:val="000000"/>
                <w:kern w:val="0"/>
                <w:sz w:val="24"/>
                <w:szCs w:val="24"/>
              </w:rPr>
            </w:pPr>
            <w:r>
              <w:rPr>
                <w:color w:val="000000"/>
                <w:kern w:val="0"/>
                <w:sz w:val="24"/>
                <w:szCs w:val="24"/>
              </w:rPr>
              <w:t>55</w:t>
            </w:r>
          </w:p>
        </w:tc>
        <w:tc>
          <w:tcPr>
            <w:tcW w:w="1275" w:type="dxa"/>
            <w:tcBorders>
              <w:top w:val="nil"/>
              <w:left w:val="nil"/>
              <w:bottom w:val="single" w:color="auto" w:sz="4" w:space="0"/>
              <w:right w:val="single" w:color="auto" w:sz="4" w:space="0"/>
            </w:tcBorders>
            <w:vAlign w:val="center"/>
          </w:tcPr>
          <w:p w14:paraId="7C4E0930">
            <w:pPr>
              <w:widowControl/>
              <w:spacing w:line="240" w:lineRule="auto"/>
              <w:jc w:val="center"/>
              <w:rPr>
                <w:color w:val="000000"/>
                <w:kern w:val="0"/>
                <w:sz w:val="24"/>
                <w:szCs w:val="24"/>
              </w:rPr>
            </w:pPr>
            <w:r>
              <w:rPr>
                <w:color w:val="000000"/>
                <w:kern w:val="0"/>
                <w:sz w:val="24"/>
                <w:szCs w:val="24"/>
              </w:rPr>
              <w:t>55以上</w:t>
            </w:r>
          </w:p>
        </w:tc>
        <w:tc>
          <w:tcPr>
            <w:tcW w:w="851" w:type="dxa"/>
            <w:tcBorders>
              <w:top w:val="nil"/>
              <w:left w:val="nil"/>
              <w:bottom w:val="single" w:color="auto" w:sz="4" w:space="0"/>
              <w:right w:val="single" w:color="auto" w:sz="4" w:space="0"/>
            </w:tcBorders>
            <w:vAlign w:val="center"/>
          </w:tcPr>
          <w:p w14:paraId="0AFCB917">
            <w:pPr>
              <w:widowControl/>
              <w:spacing w:line="240" w:lineRule="auto"/>
              <w:jc w:val="center"/>
              <w:rPr>
                <w:color w:val="000000"/>
                <w:kern w:val="0"/>
                <w:sz w:val="24"/>
                <w:szCs w:val="24"/>
              </w:rPr>
            </w:pPr>
            <w:r>
              <w:rPr>
                <w:color w:val="000000"/>
                <w:kern w:val="0"/>
                <w:sz w:val="24"/>
                <w:szCs w:val="24"/>
              </w:rPr>
              <w:t>预期性</w:t>
            </w:r>
          </w:p>
        </w:tc>
      </w:tr>
      <w:tr w14:paraId="6DA9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restart"/>
            <w:tcBorders>
              <w:top w:val="nil"/>
              <w:left w:val="single" w:color="auto" w:sz="4" w:space="0"/>
              <w:bottom w:val="single" w:color="auto" w:sz="4" w:space="0"/>
              <w:right w:val="single" w:color="auto" w:sz="4" w:space="0"/>
            </w:tcBorders>
            <w:vAlign w:val="center"/>
          </w:tcPr>
          <w:p w14:paraId="03D06E2D">
            <w:pPr>
              <w:widowControl/>
              <w:spacing w:line="240" w:lineRule="auto"/>
              <w:jc w:val="center"/>
              <w:rPr>
                <w:color w:val="000000"/>
                <w:kern w:val="0"/>
                <w:sz w:val="24"/>
                <w:szCs w:val="24"/>
              </w:rPr>
            </w:pPr>
            <w:r>
              <w:rPr>
                <w:color w:val="000000"/>
                <w:kern w:val="0"/>
                <w:sz w:val="24"/>
                <w:szCs w:val="24"/>
              </w:rPr>
              <w:t>低碳</w:t>
            </w:r>
          </w:p>
          <w:p w14:paraId="72E5748C">
            <w:pPr>
              <w:widowControl/>
              <w:spacing w:line="240" w:lineRule="auto"/>
              <w:jc w:val="center"/>
              <w:rPr>
                <w:color w:val="000000"/>
                <w:kern w:val="0"/>
                <w:sz w:val="24"/>
                <w:szCs w:val="24"/>
              </w:rPr>
            </w:pPr>
            <w:r>
              <w:rPr>
                <w:color w:val="000000"/>
                <w:kern w:val="0"/>
                <w:sz w:val="24"/>
                <w:szCs w:val="24"/>
              </w:rPr>
              <w:t>生活</w:t>
            </w:r>
          </w:p>
        </w:tc>
        <w:tc>
          <w:tcPr>
            <w:tcW w:w="458" w:type="dxa"/>
            <w:tcBorders>
              <w:top w:val="nil"/>
              <w:left w:val="nil"/>
              <w:bottom w:val="single" w:color="auto" w:sz="4" w:space="0"/>
              <w:right w:val="single" w:color="auto" w:sz="4" w:space="0"/>
            </w:tcBorders>
            <w:vAlign w:val="center"/>
          </w:tcPr>
          <w:p w14:paraId="2BE13989">
            <w:pPr>
              <w:widowControl/>
              <w:spacing w:line="240" w:lineRule="auto"/>
              <w:jc w:val="right"/>
              <w:rPr>
                <w:color w:val="000000"/>
                <w:kern w:val="0"/>
                <w:sz w:val="24"/>
                <w:szCs w:val="24"/>
              </w:rPr>
            </w:pPr>
            <w:r>
              <w:rPr>
                <w:color w:val="000000"/>
                <w:kern w:val="0"/>
                <w:sz w:val="24"/>
                <w:szCs w:val="24"/>
              </w:rPr>
              <w:t>7</w:t>
            </w:r>
          </w:p>
        </w:tc>
        <w:tc>
          <w:tcPr>
            <w:tcW w:w="1787" w:type="dxa"/>
            <w:tcBorders>
              <w:top w:val="nil"/>
              <w:left w:val="nil"/>
              <w:bottom w:val="single" w:color="auto" w:sz="4" w:space="0"/>
              <w:right w:val="single" w:color="auto" w:sz="4" w:space="0"/>
            </w:tcBorders>
            <w:vAlign w:val="center"/>
          </w:tcPr>
          <w:p w14:paraId="3AF8DADB">
            <w:pPr>
              <w:widowControl/>
              <w:spacing w:line="240" w:lineRule="auto"/>
              <w:jc w:val="left"/>
              <w:rPr>
                <w:color w:val="000000"/>
                <w:kern w:val="0"/>
                <w:sz w:val="24"/>
                <w:szCs w:val="24"/>
              </w:rPr>
            </w:pPr>
            <w:r>
              <w:rPr>
                <w:color w:val="000000"/>
                <w:kern w:val="0"/>
                <w:sz w:val="24"/>
                <w:szCs w:val="24"/>
              </w:rPr>
              <w:t>新建绿色建筑比例</w:t>
            </w:r>
          </w:p>
        </w:tc>
        <w:tc>
          <w:tcPr>
            <w:tcW w:w="960" w:type="dxa"/>
            <w:tcBorders>
              <w:top w:val="nil"/>
              <w:left w:val="nil"/>
              <w:bottom w:val="single" w:color="auto" w:sz="4" w:space="0"/>
              <w:right w:val="single" w:color="auto" w:sz="4" w:space="0"/>
            </w:tcBorders>
            <w:vAlign w:val="center"/>
          </w:tcPr>
          <w:p w14:paraId="335512E8">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5C2AFE6B">
            <w:pPr>
              <w:widowControl/>
              <w:spacing w:line="240" w:lineRule="auto"/>
              <w:jc w:val="center"/>
              <w:rPr>
                <w:color w:val="000000"/>
                <w:kern w:val="0"/>
                <w:sz w:val="24"/>
                <w:szCs w:val="24"/>
              </w:rPr>
            </w:pPr>
            <w:r>
              <w:rPr>
                <w:color w:val="000000"/>
                <w:kern w:val="0"/>
                <w:sz w:val="24"/>
                <w:szCs w:val="24"/>
              </w:rPr>
              <w:t>23.06</w:t>
            </w:r>
          </w:p>
        </w:tc>
        <w:tc>
          <w:tcPr>
            <w:tcW w:w="1559" w:type="dxa"/>
            <w:tcBorders>
              <w:top w:val="nil"/>
              <w:left w:val="nil"/>
              <w:bottom w:val="single" w:color="auto" w:sz="4" w:space="0"/>
              <w:right w:val="single" w:color="auto" w:sz="4" w:space="0"/>
            </w:tcBorders>
            <w:vAlign w:val="center"/>
          </w:tcPr>
          <w:p w14:paraId="5DC864F8">
            <w:pPr>
              <w:widowControl/>
              <w:spacing w:line="240" w:lineRule="auto"/>
              <w:jc w:val="center"/>
              <w:rPr>
                <w:color w:val="000000"/>
                <w:kern w:val="0"/>
                <w:sz w:val="24"/>
                <w:szCs w:val="24"/>
              </w:rPr>
            </w:pPr>
            <w:r>
              <w:rPr>
                <w:color w:val="000000"/>
                <w:kern w:val="0"/>
                <w:sz w:val="24"/>
                <w:szCs w:val="24"/>
              </w:rPr>
              <w:t>50</w:t>
            </w:r>
          </w:p>
        </w:tc>
        <w:tc>
          <w:tcPr>
            <w:tcW w:w="1275" w:type="dxa"/>
            <w:tcBorders>
              <w:top w:val="nil"/>
              <w:left w:val="nil"/>
              <w:bottom w:val="single" w:color="auto" w:sz="4" w:space="0"/>
              <w:right w:val="single" w:color="auto" w:sz="4" w:space="0"/>
            </w:tcBorders>
            <w:vAlign w:val="center"/>
          </w:tcPr>
          <w:p w14:paraId="55DFC91F">
            <w:pPr>
              <w:widowControl/>
              <w:spacing w:line="240" w:lineRule="auto"/>
              <w:jc w:val="center"/>
              <w:rPr>
                <w:color w:val="000000"/>
                <w:kern w:val="0"/>
                <w:sz w:val="24"/>
                <w:szCs w:val="24"/>
              </w:rPr>
            </w:pPr>
            <w:r>
              <w:rPr>
                <w:color w:val="000000"/>
                <w:kern w:val="0"/>
                <w:sz w:val="24"/>
                <w:szCs w:val="24"/>
              </w:rPr>
              <w:t>51</w:t>
            </w:r>
          </w:p>
        </w:tc>
        <w:tc>
          <w:tcPr>
            <w:tcW w:w="851" w:type="dxa"/>
            <w:tcBorders>
              <w:top w:val="nil"/>
              <w:left w:val="nil"/>
              <w:bottom w:val="single" w:color="auto" w:sz="4" w:space="0"/>
              <w:right w:val="single" w:color="auto" w:sz="4" w:space="0"/>
            </w:tcBorders>
            <w:vAlign w:val="center"/>
          </w:tcPr>
          <w:p w14:paraId="72DDC9B0">
            <w:pPr>
              <w:widowControl/>
              <w:spacing w:line="240" w:lineRule="auto"/>
              <w:jc w:val="center"/>
              <w:rPr>
                <w:color w:val="000000"/>
                <w:kern w:val="0"/>
                <w:sz w:val="24"/>
                <w:szCs w:val="24"/>
              </w:rPr>
            </w:pPr>
            <w:r>
              <w:rPr>
                <w:color w:val="000000"/>
                <w:kern w:val="0"/>
                <w:sz w:val="24"/>
                <w:szCs w:val="24"/>
              </w:rPr>
              <w:t>预期性</w:t>
            </w:r>
          </w:p>
        </w:tc>
      </w:tr>
      <w:tr w14:paraId="2BCD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top w:val="nil"/>
              <w:left w:val="single" w:color="auto" w:sz="4" w:space="0"/>
              <w:bottom w:val="single" w:color="auto" w:sz="4" w:space="0"/>
              <w:right w:val="single" w:color="auto" w:sz="4" w:space="0"/>
            </w:tcBorders>
            <w:vAlign w:val="center"/>
          </w:tcPr>
          <w:p w14:paraId="6A04CD38">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30FF1934">
            <w:pPr>
              <w:widowControl/>
              <w:spacing w:line="240" w:lineRule="auto"/>
              <w:jc w:val="right"/>
              <w:rPr>
                <w:color w:val="000000"/>
                <w:kern w:val="0"/>
                <w:sz w:val="24"/>
                <w:szCs w:val="24"/>
              </w:rPr>
            </w:pPr>
            <w:r>
              <w:rPr>
                <w:color w:val="000000"/>
                <w:kern w:val="0"/>
                <w:sz w:val="24"/>
                <w:szCs w:val="24"/>
              </w:rPr>
              <w:t>8</w:t>
            </w:r>
          </w:p>
        </w:tc>
        <w:tc>
          <w:tcPr>
            <w:tcW w:w="1787" w:type="dxa"/>
            <w:tcBorders>
              <w:top w:val="nil"/>
              <w:left w:val="nil"/>
              <w:bottom w:val="single" w:color="auto" w:sz="4" w:space="0"/>
              <w:right w:val="single" w:color="auto" w:sz="4" w:space="0"/>
            </w:tcBorders>
            <w:vAlign w:val="center"/>
          </w:tcPr>
          <w:p w14:paraId="6B980251">
            <w:pPr>
              <w:widowControl/>
              <w:spacing w:line="240" w:lineRule="auto"/>
              <w:jc w:val="left"/>
              <w:rPr>
                <w:color w:val="000000"/>
                <w:kern w:val="0"/>
                <w:sz w:val="24"/>
                <w:szCs w:val="24"/>
              </w:rPr>
            </w:pPr>
            <w:r>
              <w:rPr>
                <w:color w:val="000000"/>
                <w:kern w:val="0"/>
                <w:sz w:val="24"/>
                <w:szCs w:val="24"/>
              </w:rPr>
              <w:t>市区公共交通出行比例</w:t>
            </w:r>
          </w:p>
        </w:tc>
        <w:tc>
          <w:tcPr>
            <w:tcW w:w="960" w:type="dxa"/>
            <w:tcBorders>
              <w:top w:val="nil"/>
              <w:left w:val="nil"/>
              <w:bottom w:val="single" w:color="auto" w:sz="4" w:space="0"/>
              <w:right w:val="single" w:color="auto" w:sz="4" w:space="0"/>
            </w:tcBorders>
            <w:vAlign w:val="center"/>
          </w:tcPr>
          <w:p w14:paraId="4EF33BBB">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06FC223E">
            <w:pPr>
              <w:widowControl/>
              <w:spacing w:line="240" w:lineRule="auto"/>
              <w:jc w:val="center"/>
              <w:rPr>
                <w:color w:val="000000"/>
                <w:kern w:val="0"/>
                <w:sz w:val="24"/>
                <w:szCs w:val="24"/>
              </w:rPr>
            </w:pPr>
            <w:r>
              <w:rPr>
                <w:color w:val="000000"/>
                <w:kern w:val="0"/>
                <w:sz w:val="24"/>
                <w:szCs w:val="24"/>
              </w:rPr>
              <w:t>30.5</w:t>
            </w:r>
          </w:p>
        </w:tc>
        <w:tc>
          <w:tcPr>
            <w:tcW w:w="1559" w:type="dxa"/>
            <w:tcBorders>
              <w:top w:val="nil"/>
              <w:left w:val="nil"/>
              <w:bottom w:val="single" w:color="auto" w:sz="4" w:space="0"/>
              <w:right w:val="single" w:color="auto" w:sz="4" w:space="0"/>
            </w:tcBorders>
            <w:vAlign w:val="center"/>
          </w:tcPr>
          <w:p w14:paraId="59ECA841">
            <w:pPr>
              <w:widowControl/>
              <w:spacing w:line="240" w:lineRule="auto"/>
              <w:jc w:val="center"/>
              <w:rPr>
                <w:color w:val="000000"/>
                <w:kern w:val="0"/>
                <w:sz w:val="24"/>
                <w:szCs w:val="24"/>
              </w:rPr>
            </w:pPr>
            <w:r>
              <w:rPr>
                <w:color w:val="000000"/>
                <w:kern w:val="0"/>
                <w:sz w:val="24"/>
                <w:szCs w:val="24"/>
              </w:rPr>
              <w:t>35</w:t>
            </w:r>
          </w:p>
        </w:tc>
        <w:tc>
          <w:tcPr>
            <w:tcW w:w="1275" w:type="dxa"/>
            <w:tcBorders>
              <w:top w:val="nil"/>
              <w:left w:val="nil"/>
              <w:bottom w:val="single" w:color="auto" w:sz="4" w:space="0"/>
              <w:right w:val="single" w:color="auto" w:sz="4" w:space="0"/>
            </w:tcBorders>
            <w:vAlign w:val="center"/>
          </w:tcPr>
          <w:p w14:paraId="3DF97411">
            <w:pPr>
              <w:widowControl/>
              <w:spacing w:line="240" w:lineRule="auto"/>
              <w:jc w:val="center"/>
              <w:rPr>
                <w:color w:val="000000"/>
                <w:kern w:val="0"/>
                <w:sz w:val="24"/>
                <w:szCs w:val="24"/>
              </w:rPr>
            </w:pPr>
            <w:r>
              <w:rPr>
                <w:color w:val="000000"/>
                <w:kern w:val="0"/>
                <w:sz w:val="24"/>
                <w:szCs w:val="24"/>
              </w:rPr>
              <w:t>35以上</w:t>
            </w:r>
          </w:p>
        </w:tc>
        <w:tc>
          <w:tcPr>
            <w:tcW w:w="851" w:type="dxa"/>
            <w:tcBorders>
              <w:top w:val="nil"/>
              <w:left w:val="nil"/>
              <w:bottom w:val="single" w:color="auto" w:sz="4" w:space="0"/>
              <w:right w:val="single" w:color="auto" w:sz="4" w:space="0"/>
            </w:tcBorders>
            <w:vAlign w:val="center"/>
          </w:tcPr>
          <w:p w14:paraId="20CBAC3E">
            <w:pPr>
              <w:widowControl/>
              <w:spacing w:line="240" w:lineRule="auto"/>
              <w:jc w:val="center"/>
              <w:rPr>
                <w:color w:val="000000"/>
                <w:kern w:val="0"/>
                <w:sz w:val="24"/>
                <w:szCs w:val="24"/>
              </w:rPr>
            </w:pPr>
            <w:r>
              <w:rPr>
                <w:color w:val="000000"/>
                <w:kern w:val="0"/>
                <w:sz w:val="24"/>
                <w:szCs w:val="24"/>
              </w:rPr>
              <w:t>预期性</w:t>
            </w:r>
          </w:p>
        </w:tc>
      </w:tr>
      <w:tr w14:paraId="6F7B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60" w:type="dxa"/>
            <w:vMerge w:val="continue"/>
            <w:tcBorders>
              <w:top w:val="nil"/>
              <w:left w:val="single" w:color="auto" w:sz="4" w:space="0"/>
              <w:bottom w:val="single" w:color="auto" w:sz="4" w:space="0"/>
              <w:right w:val="single" w:color="auto" w:sz="4" w:space="0"/>
            </w:tcBorders>
            <w:vAlign w:val="center"/>
          </w:tcPr>
          <w:p w14:paraId="2328684D">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511E1FA1">
            <w:pPr>
              <w:widowControl/>
              <w:spacing w:line="240" w:lineRule="auto"/>
              <w:jc w:val="right"/>
              <w:rPr>
                <w:color w:val="000000"/>
                <w:kern w:val="0"/>
                <w:sz w:val="24"/>
                <w:szCs w:val="24"/>
              </w:rPr>
            </w:pPr>
            <w:r>
              <w:rPr>
                <w:color w:val="000000"/>
                <w:kern w:val="0"/>
                <w:sz w:val="24"/>
                <w:szCs w:val="24"/>
              </w:rPr>
              <w:t>9</w:t>
            </w:r>
          </w:p>
        </w:tc>
        <w:tc>
          <w:tcPr>
            <w:tcW w:w="1787" w:type="dxa"/>
            <w:tcBorders>
              <w:top w:val="nil"/>
              <w:left w:val="nil"/>
              <w:bottom w:val="single" w:color="auto" w:sz="4" w:space="0"/>
              <w:right w:val="single" w:color="auto" w:sz="4" w:space="0"/>
            </w:tcBorders>
            <w:vAlign w:val="center"/>
          </w:tcPr>
          <w:p w14:paraId="26FA37B9">
            <w:pPr>
              <w:widowControl/>
              <w:spacing w:line="240" w:lineRule="auto"/>
              <w:jc w:val="left"/>
              <w:rPr>
                <w:color w:val="000000"/>
                <w:kern w:val="0"/>
                <w:sz w:val="24"/>
                <w:szCs w:val="24"/>
              </w:rPr>
            </w:pPr>
            <w:r>
              <w:rPr>
                <w:color w:val="000000"/>
                <w:kern w:val="0"/>
                <w:sz w:val="24"/>
                <w:szCs w:val="24"/>
              </w:rPr>
              <w:t>城区居住小区生活垃圾分类达标率</w:t>
            </w:r>
          </w:p>
        </w:tc>
        <w:tc>
          <w:tcPr>
            <w:tcW w:w="960" w:type="dxa"/>
            <w:tcBorders>
              <w:top w:val="nil"/>
              <w:left w:val="nil"/>
              <w:bottom w:val="single" w:color="auto" w:sz="4" w:space="0"/>
              <w:right w:val="single" w:color="auto" w:sz="4" w:space="0"/>
            </w:tcBorders>
            <w:vAlign w:val="center"/>
          </w:tcPr>
          <w:p w14:paraId="14F54909">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1600D540">
            <w:pPr>
              <w:widowControl/>
              <w:spacing w:line="240" w:lineRule="auto"/>
              <w:jc w:val="center"/>
              <w:rPr>
                <w:color w:val="000000"/>
                <w:kern w:val="0"/>
                <w:sz w:val="24"/>
                <w:szCs w:val="24"/>
              </w:rPr>
            </w:pPr>
            <w:r>
              <w:rPr>
                <w:color w:val="000000"/>
                <w:kern w:val="0"/>
                <w:sz w:val="24"/>
                <w:szCs w:val="24"/>
              </w:rPr>
              <w:t>0</w:t>
            </w:r>
          </w:p>
        </w:tc>
        <w:tc>
          <w:tcPr>
            <w:tcW w:w="1559" w:type="dxa"/>
            <w:tcBorders>
              <w:top w:val="nil"/>
              <w:left w:val="nil"/>
              <w:bottom w:val="single" w:color="auto" w:sz="4" w:space="0"/>
              <w:right w:val="single" w:color="auto" w:sz="4" w:space="0"/>
            </w:tcBorders>
            <w:vAlign w:val="center"/>
          </w:tcPr>
          <w:p w14:paraId="45461D16">
            <w:pPr>
              <w:widowControl/>
              <w:spacing w:line="240" w:lineRule="auto"/>
              <w:jc w:val="center"/>
              <w:rPr>
                <w:color w:val="000000"/>
                <w:kern w:val="0"/>
                <w:sz w:val="24"/>
                <w:szCs w:val="24"/>
              </w:rPr>
            </w:pPr>
            <w:r>
              <w:rPr>
                <w:color w:val="000000"/>
                <w:kern w:val="0"/>
                <w:sz w:val="24"/>
                <w:szCs w:val="24"/>
              </w:rPr>
              <w:t>30</w:t>
            </w:r>
          </w:p>
        </w:tc>
        <w:tc>
          <w:tcPr>
            <w:tcW w:w="1275" w:type="dxa"/>
            <w:tcBorders>
              <w:top w:val="nil"/>
              <w:left w:val="nil"/>
              <w:bottom w:val="single" w:color="auto" w:sz="4" w:space="0"/>
              <w:right w:val="single" w:color="auto" w:sz="4" w:space="0"/>
            </w:tcBorders>
            <w:vAlign w:val="center"/>
          </w:tcPr>
          <w:p w14:paraId="36715D72">
            <w:pPr>
              <w:widowControl/>
              <w:spacing w:line="240" w:lineRule="auto"/>
              <w:jc w:val="center"/>
              <w:rPr>
                <w:color w:val="000000"/>
                <w:kern w:val="0"/>
                <w:sz w:val="24"/>
                <w:szCs w:val="24"/>
              </w:rPr>
            </w:pPr>
            <w:r>
              <w:rPr>
                <w:color w:val="000000"/>
                <w:kern w:val="0"/>
                <w:sz w:val="24"/>
                <w:szCs w:val="24"/>
              </w:rPr>
              <w:t>35</w:t>
            </w:r>
          </w:p>
        </w:tc>
        <w:tc>
          <w:tcPr>
            <w:tcW w:w="851" w:type="dxa"/>
            <w:tcBorders>
              <w:top w:val="nil"/>
              <w:left w:val="nil"/>
              <w:bottom w:val="single" w:color="auto" w:sz="4" w:space="0"/>
              <w:right w:val="single" w:color="auto" w:sz="4" w:space="0"/>
            </w:tcBorders>
            <w:vAlign w:val="center"/>
          </w:tcPr>
          <w:p w14:paraId="64961766">
            <w:pPr>
              <w:widowControl/>
              <w:spacing w:line="240" w:lineRule="auto"/>
              <w:jc w:val="center"/>
              <w:rPr>
                <w:color w:val="000000"/>
                <w:kern w:val="0"/>
                <w:sz w:val="24"/>
                <w:szCs w:val="24"/>
              </w:rPr>
            </w:pPr>
            <w:r>
              <w:rPr>
                <w:color w:val="000000"/>
                <w:kern w:val="0"/>
                <w:sz w:val="24"/>
                <w:szCs w:val="24"/>
              </w:rPr>
              <w:t>预期性</w:t>
            </w:r>
          </w:p>
        </w:tc>
      </w:tr>
      <w:tr w14:paraId="4078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restart"/>
            <w:tcBorders>
              <w:top w:val="nil"/>
              <w:left w:val="single" w:color="auto" w:sz="4" w:space="0"/>
              <w:bottom w:val="single" w:color="auto" w:sz="4" w:space="0"/>
              <w:right w:val="single" w:color="auto" w:sz="4" w:space="0"/>
            </w:tcBorders>
            <w:vAlign w:val="center"/>
          </w:tcPr>
          <w:p w14:paraId="04ED7373">
            <w:pPr>
              <w:widowControl/>
              <w:spacing w:line="240" w:lineRule="auto"/>
              <w:jc w:val="center"/>
              <w:rPr>
                <w:color w:val="000000"/>
                <w:kern w:val="0"/>
                <w:sz w:val="24"/>
                <w:szCs w:val="24"/>
              </w:rPr>
            </w:pPr>
            <w:r>
              <w:rPr>
                <w:color w:val="000000"/>
                <w:kern w:val="0"/>
                <w:sz w:val="24"/>
                <w:szCs w:val="24"/>
              </w:rPr>
              <w:t>低碳</w:t>
            </w:r>
          </w:p>
          <w:p w14:paraId="0FBFF8F6">
            <w:pPr>
              <w:widowControl/>
              <w:spacing w:line="240" w:lineRule="auto"/>
              <w:jc w:val="center"/>
              <w:rPr>
                <w:color w:val="000000"/>
                <w:kern w:val="0"/>
                <w:sz w:val="24"/>
                <w:szCs w:val="24"/>
              </w:rPr>
            </w:pPr>
            <w:r>
              <w:rPr>
                <w:color w:val="000000"/>
                <w:kern w:val="0"/>
                <w:sz w:val="24"/>
                <w:szCs w:val="24"/>
              </w:rPr>
              <w:t>生态</w:t>
            </w:r>
          </w:p>
        </w:tc>
        <w:tc>
          <w:tcPr>
            <w:tcW w:w="458" w:type="dxa"/>
            <w:tcBorders>
              <w:top w:val="nil"/>
              <w:left w:val="nil"/>
              <w:bottom w:val="single" w:color="auto" w:sz="4" w:space="0"/>
              <w:right w:val="single" w:color="auto" w:sz="4" w:space="0"/>
            </w:tcBorders>
            <w:vAlign w:val="center"/>
          </w:tcPr>
          <w:p w14:paraId="40DAB269">
            <w:pPr>
              <w:widowControl/>
              <w:spacing w:line="240" w:lineRule="auto"/>
              <w:jc w:val="right"/>
              <w:rPr>
                <w:color w:val="000000"/>
                <w:kern w:val="0"/>
                <w:sz w:val="24"/>
                <w:szCs w:val="24"/>
              </w:rPr>
            </w:pPr>
            <w:r>
              <w:rPr>
                <w:color w:val="000000"/>
                <w:kern w:val="0"/>
                <w:sz w:val="24"/>
                <w:szCs w:val="24"/>
              </w:rPr>
              <w:t>10</w:t>
            </w:r>
          </w:p>
        </w:tc>
        <w:tc>
          <w:tcPr>
            <w:tcW w:w="1787" w:type="dxa"/>
            <w:tcBorders>
              <w:top w:val="nil"/>
              <w:left w:val="nil"/>
              <w:bottom w:val="single" w:color="auto" w:sz="4" w:space="0"/>
              <w:right w:val="single" w:color="auto" w:sz="4" w:space="0"/>
            </w:tcBorders>
            <w:vAlign w:val="center"/>
          </w:tcPr>
          <w:p w14:paraId="76785D36">
            <w:pPr>
              <w:widowControl/>
              <w:spacing w:line="240" w:lineRule="auto"/>
              <w:jc w:val="left"/>
              <w:rPr>
                <w:color w:val="000000"/>
                <w:kern w:val="0"/>
                <w:sz w:val="24"/>
                <w:szCs w:val="24"/>
              </w:rPr>
            </w:pPr>
            <w:r>
              <w:rPr>
                <w:color w:val="000000"/>
                <w:kern w:val="0"/>
                <w:sz w:val="24"/>
                <w:szCs w:val="24"/>
              </w:rPr>
              <w:t>森林覆盖率</w:t>
            </w:r>
          </w:p>
        </w:tc>
        <w:tc>
          <w:tcPr>
            <w:tcW w:w="960" w:type="dxa"/>
            <w:tcBorders>
              <w:top w:val="nil"/>
              <w:left w:val="nil"/>
              <w:bottom w:val="single" w:color="auto" w:sz="4" w:space="0"/>
              <w:right w:val="single" w:color="auto" w:sz="4" w:space="0"/>
            </w:tcBorders>
            <w:vAlign w:val="center"/>
          </w:tcPr>
          <w:p w14:paraId="28BF0117">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5D59A136">
            <w:pPr>
              <w:widowControl/>
              <w:spacing w:line="240" w:lineRule="auto"/>
              <w:jc w:val="center"/>
              <w:rPr>
                <w:color w:val="000000"/>
                <w:kern w:val="0"/>
                <w:sz w:val="24"/>
                <w:szCs w:val="24"/>
              </w:rPr>
            </w:pPr>
            <w:r>
              <w:rPr>
                <w:color w:val="000000"/>
                <w:kern w:val="0"/>
                <w:sz w:val="24"/>
                <w:szCs w:val="24"/>
              </w:rPr>
              <w:t>77.73</w:t>
            </w:r>
          </w:p>
        </w:tc>
        <w:tc>
          <w:tcPr>
            <w:tcW w:w="1559" w:type="dxa"/>
            <w:tcBorders>
              <w:top w:val="nil"/>
              <w:left w:val="nil"/>
              <w:bottom w:val="single" w:color="auto" w:sz="4" w:space="0"/>
              <w:right w:val="single" w:color="auto" w:sz="4" w:space="0"/>
            </w:tcBorders>
            <w:vAlign w:val="center"/>
          </w:tcPr>
          <w:p w14:paraId="00F06578">
            <w:pPr>
              <w:widowControl/>
              <w:spacing w:line="240" w:lineRule="auto"/>
              <w:jc w:val="center"/>
              <w:rPr>
                <w:color w:val="000000"/>
                <w:kern w:val="0"/>
                <w:sz w:val="24"/>
                <w:szCs w:val="24"/>
              </w:rPr>
            </w:pPr>
            <w:r>
              <w:rPr>
                <w:color w:val="000000"/>
                <w:kern w:val="0"/>
                <w:sz w:val="24"/>
                <w:szCs w:val="24"/>
              </w:rPr>
              <w:t>76.8</w:t>
            </w:r>
          </w:p>
        </w:tc>
        <w:tc>
          <w:tcPr>
            <w:tcW w:w="1275" w:type="dxa"/>
            <w:tcBorders>
              <w:top w:val="nil"/>
              <w:left w:val="nil"/>
              <w:bottom w:val="single" w:color="auto" w:sz="4" w:space="0"/>
              <w:right w:val="single" w:color="auto" w:sz="4" w:space="0"/>
            </w:tcBorders>
            <w:vAlign w:val="center"/>
          </w:tcPr>
          <w:p w14:paraId="31DC7762">
            <w:pPr>
              <w:widowControl/>
              <w:spacing w:line="240" w:lineRule="auto"/>
              <w:jc w:val="center"/>
              <w:rPr>
                <w:color w:val="000000"/>
                <w:kern w:val="0"/>
                <w:sz w:val="24"/>
                <w:szCs w:val="24"/>
              </w:rPr>
            </w:pPr>
            <w:r>
              <w:rPr>
                <w:color w:val="000000"/>
                <w:kern w:val="0"/>
                <w:sz w:val="24"/>
                <w:szCs w:val="24"/>
              </w:rPr>
              <w:t>76.8以上</w:t>
            </w:r>
          </w:p>
        </w:tc>
        <w:tc>
          <w:tcPr>
            <w:tcW w:w="851" w:type="dxa"/>
            <w:tcBorders>
              <w:top w:val="nil"/>
              <w:left w:val="nil"/>
              <w:bottom w:val="single" w:color="auto" w:sz="4" w:space="0"/>
              <w:right w:val="single" w:color="auto" w:sz="4" w:space="0"/>
            </w:tcBorders>
            <w:vAlign w:val="center"/>
          </w:tcPr>
          <w:p w14:paraId="10C05E40">
            <w:pPr>
              <w:widowControl/>
              <w:spacing w:line="240" w:lineRule="auto"/>
              <w:jc w:val="center"/>
              <w:rPr>
                <w:color w:val="000000"/>
                <w:kern w:val="0"/>
                <w:sz w:val="24"/>
                <w:szCs w:val="24"/>
              </w:rPr>
            </w:pPr>
            <w:r>
              <w:rPr>
                <w:color w:val="000000"/>
                <w:kern w:val="0"/>
                <w:sz w:val="24"/>
                <w:szCs w:val="24"/>
              </w:rPr>
              <w:t>约束性</w:t>
            </w:r>
          </w:p>
        </w:tc>
      </w:tr>
      <w:tr w14:paraId="4215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continue"/>
            <w:tcBorders>
              <w:top w:val="nil"/>
              <w:left w:val="single" w:color="auto" w:sz="4" w:space="0"/>
              <w:bottom w:val="single" w:color="auto" w:sz="4" w:space="0"/>
              <w:right w:val="single" w:color="auto" w:sz="4" w:space="0"/>
            </w:tcBorders>
            <w:vAlign w:val="center"/>
          </w:tcPr>
          <w:p w14:paraId="412C15DD">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4E822536">
            <w:pPr>
              <w:widowControl/>
              <w:spacing w:line="240" w:lineRule="auto"/>
              <w:jc w:val="right"/>
              <w:rPr>
                <w:color w:val="000000"/>
                <w:kern w:val="0"/>
                <w:sz w:val="24"/>
                <w:szCs w:val="24"/>
              </w:rPr>
            </w:pPr>
            <w:r>
              <w:rPr>
                <w:color w:val="000000"/>
                <w:kern w:val="0"/>
                <w:sz w:val="24"/>
                <w:szCs w:val="24"/>
              </w:rPr>
              <w:t>11</w:t>
            </w:r>
          </w:p>
        </w:tc>
        <w:tc>
          <w:tcPr>
            <w:tcW w:w="1787" w:type="dxa"/>
            <w:tcBorders>
              <w:top w:val="nil"/>
              <w:left w:val="nil"/>
              <w:bottom w:val="single" w:color="auto" w:sz="4" w:space="0"/>
              <w:right w:val="single" w:color="auto" w:sz="4" w:space="0"/>
            </w:tcBorders>
            <w:vAlign w:val="center"/>
          </w:tcPr>
          <w:p w14:paraId="45EA78A7">
            <w:pPr>
              <w:widowControl/>
              <w:spacing w:line="240" w:lineRule="auto"/>
              <w:jc w:val="left"/>
              <w:rPr>
                <w:color w:val="000000"/>
                <w:kern w:val="0"/>
                <w:sz w:val="24"/>
                <w:szCs w:val="24"/>
              </w:rPr>
            </w:pPr>
            <w:r>
              <w:rPr>
                <w:color w:val="000000"/>
                <w:kern w:val="0"/>
                <w:sz w:val="24"/>
                <w:szCs w:val="24"/>
              </w:rPr>
              <w:t>森林蓄积量</w:t>
            </w:r>
          </w:p>
        </w:tc>
        <w:tc>
          <w:tcPr>
            <w:tcW w:w="960" w:type="dxa"/>
            <w:tcBorders>
              <w:top w:val="nil"/>
              <w:left w:val="nil"/>
              <w:bottom w:val="single" w:color="auto" w:sz="4" w:space="0"/>
              <w:right w:val="single" w:color="auto" w:sz="4" w:space="0"/>
            </w:tcBorders>
            <w:vAlign w:val="center"/>
          </w:tcPr>
          <w:p w14:paraId="2BA0B30B">
            <w:pPr>
              <w:widowControl/>
              <w:spacing w:line="240" w:lineRule="auto"/>
              <w:jc w:val="center"/>
              <w:rPr>
                <w:color w:val="000000"/>
                <w:kern w:val="0"/>
                <w:sz w:val="24"/>
                <w:szCs w:val="24"/>
              </w:rPr>
            </w:pPr>
            <w:r>
              <w:rPr>
                <w:color w:val="000000"/>
                <w:kern w:val="0"/>
                <w:sz w:val="24"/>
                <w:szCs w:val="24"/>
              </w:rPr>
              <w:t>亿立方米</w:t>
            </w:r>
          </w:p>
        </w:tc>
        <w:tc>
          <w:tcPr>
            <w:tcW w:w="1222" w:type="dxa"/>
            <w:tcBorders>
              <w:top w:val="nil"/>
              <w:left w:val="nil"/>
              <w:bottom w:val="single" w:color="auto" w:sz="4" w:space="0"/>
              <w:right w:val="single" w:color="auto" w:sz="4" w:space="0"/>
            </w:tcBorders>
            <w:vAlign w:val="center"/>
          </w:tcPr>
          <w:p w14:paraId="1770CB41">
            <w:pPr>
              <w:widowControl/>
              <w:spacing w:line="240" w:lineRule="auto"/>
              <w:jc w:val="center"/>
              <w:rPr>
                <w:color w:val="000000"/>
                <w:kern w:val="0"/>
                <w:sz w:val="24"/>
                <w:szCs w:val="24"/>
              </w:rPr>
            </w:pPr>
            <w:r>
              <w:rPr>
                <w:color w:val="000000"/>
                <w:kern w:val="0"/>
                <w:sz w:val="24"/>
                <w:szCs w:val="24"/>
              </w:rPr>
              <w:t>1.68</w:t>
            </w:r>
          </w:p>
        </w:tc>
        <w:tc>
          <w:tcPr>
            <w:tcW w:w="1559" w:type="dxa"/>
            <w:tcBorders>
              <w:top w:val="nil"/>
              <w:left w:val="nil"/>
              <w:bottom w:val="single" w:color="auto" w:sz="4" w:space="0"/>
              <w:right w:val="single" w:color="auto" w:sz="4" w:space="0"/>
            </w:tcBorders>
            <w:vAlign w:val="center"/>
          </w:tcPr>
          <w:p w14:paraId="53276553">
            <w:pPr>
              <w:widowControl/>
              <w:spacing w:line="240" w:lineRule="auto"/>
              <w:jc w:val="center"/>
              <w:rPr>
                <w:color w:val="000000"/>
                <w:kern w:val="0"/>
                <w:sz w:val="24"/>
                <w:szCs w:val="24"/>
              </w:rPr>
            </w:pPr>
            <w:r>
              <w:rPr>
                <w:color w:val="000000"/>
                <w:kern w:val="0"/>
                <w:sz w:val="24"/>
                <w:szCs w:val="24"/>
              </w:rPr>
              <w:t>1.73</w:t>
            </w:r>
          </w:p>
        </w:tc>
        <w:tc>
          <w:tcPr>
            <w:tcW w:w="1275" w:type="dxa"/>
            <w:tcBorders>
              <w:top w:val="nil"/>
              <w:left w:val="nil"/>
              <w:bottom w:val="single" w:color="auto" w:sz="4" w:space="0"/>
              <w:right w:val="single" w:color="auto" w:sz="4" w:space="0"/>
            </w:tcBorders>
            <w:vAlign w:val="center"/>
          </w:tcPr>
          <w:p w14:paraId="776D8D1A">
            <w:pPr>
              <w:widowControl/>
              <w:spacing w:line="240" w:lineRule="auto"/>
              <w:jc w:val="center"/>
              <w:rPr>
                <w:color w:val="000000"/>
                <w:kern w:val="0"/>
                <w:sz w:val="24"/>
                <w:szCs w:val="24"/>
              </w:rPr>
            </w:pPr>
            <w:r>
              <w:rPr>
                <w:color w:val="000000"/>
                <w:kern w:val="0"/>
                <w:sz w:val="24"/>
                <w:szCs w:val="24"/>
              </w:rPr>
              <w:t>1.73以上</w:t>
            </w:r>
          </w:p>
        </w:tc>
        <w:tc>
          <w:tcPr>
            <w:tcW w:w="851" w:type="dxa"/>
            <w:tcBorders>
              <w:top w:val="nil"/>
              <w:left w:val="nil"/>
              <w:bottom w:val="single" w:color="auto" w:sz="4" w:space="0"/>
              <w:right w:val="single" w:color="auto" w:sz="4" w:space="0"/>
            </w:tcBorders>
            <w:vAlign w:val="center"/>
          </w:tcPr>
          <w:p w14:paraId="7ED5E7EB">
            <w:pPr>
              <w:widowControl/>
              <w:spacing w:line="240" w:lineRule="auto"/>
              <w:jc w:val="center"/>
              <w:rPr>
                <w:color w:val="000000"/>
                <w:kern w:val="0"/>
                <w:sz w:val="24"/>
                <w:szCs w:val="24"/>
              </w:rPr>
            </w:pPr>
            <w:r>
              <w:rPr>
                <w:color w:val="000000"/>
                <w:kern w:val="0"/>
                <w:sz w:val="24"/>
                <w:szCs w:val="24"/>
              </w:rPr>
              <w:t>约束性</w:t>
            </w:r>
          </w:p>
        </w:tc>
      </w:tr>
      <w:tr w14:paraId="6D2C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top w:val="nil"/>
              <w:left w:val="single" w:color="auto" w:sz="4" w:space="0"/>
              <w:bottom w:val="single" w:color="auto" w:sz="4" w:space="0"/>
              <w:right w:val="single" w:color="auto" w:sz="4" w:space="0"/>
            </w:tcBorders>
            <w:vAlign w:val="center"/>
          </w:tcPr>
          <w:p w14:paraId="5FD5ADD4">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7183DDBA">
            <w:pPr>
              <w:widowControl/>
              <w:spacing w:line="240" w:lineRule="auto"/>
              <w:jc w:val="right"/>
              <w:rPr>
                <w:color w:val="000000"/>
                <w:kern w:val="0"/>
                <w:sz w:val="24"/>
                <w:szCs w:val="24"/>
              </w:rPr>
            </w:pPr>
            <w:r>
              <w:rPr>
                <w:color w:val="000000"/>
                <w:kern w:val="0"/>
                <w:sz w:val="24"/>
                <w:szCs w:val="24"/>
              </w:rPr>
              <w:t>12</w:t>
            </w:r>
          </w:p>
        </w:tc>
        <w:tc>
          <w:tcPr>
            <w:tcW w:w="1787" w:type="dxa"/>
            <w:tcBorders>
              <w:top w:val="nil"/>
              <w:left w:val="nil"/>
              <w:bottom w:val="single" w:color="auto" w:sz="4" w:space="0"/>
              <w:right w:val="single" w:color="auto" w:sz="4" w:space="0"/>
            </w:tcBorders>
            <w:vAlign w:val="center"/>
          </w:tcPr>
          <w:p w14:paraId="272B05DC">
            <w:pPr>
              <w:widowControl/>
              <w:spacing w:line="240" w:lineRule="auto"/>
              <w:jc w:val="left"/>
              <w:rPr>
                <w:color w:val="000000"/>
                <w:kern w:val="0"/>
                <w:sz w:val="24"/>
                <w:szCs w:val="24"/>
              </w:rPr>
            </w:pPr>
            <w:r>
              <w:rPr>
                <w:color w:val="000000"/>
                <w:kern w:val="0"/>
                <w:sz w:val="24"/>
                <w:szCs w:val="24"/>
              </w:rPr>
              <w:t>城市建成区绿化覆盖率</w:t>
            </w:r>
          </w:p>
        </w:tc>
        <w:tc>
          <w:tcPr>
            <w:tcW w:w="960" w:type="dxa"/>
            <w:tcBorders>
              <w:top w:val="nil"/>
              <w:left w:val="nil"/>
              <w:bottom w:val="single" w:color="auto" w:sz="4" w:space="0"/>
              <w:right w:val="single" w:color="auto" w:sz="4" w:space="0"/>
            </w:tcBorders>
            <w:vAlign w:val="center"/>
          </w:tcPr>
          <w:p w14:paraId="11BEAF25">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165B55AC">
            <w:pPr>
              <w:widowControl/>
              <w:spacing w:line="240" w:lineRule="auto"/>
              <w:jc w:val="center"/>
              <w:rPr>
                <w:color w:val="000000"/>
                <w:kern w:val="0"/>
                <w:sz w:val="24"/>
                <w:szCs w:val="24"/>
              </w:rPr>
            </w:pPr>
            <w:r>
              <w:rPr>
                <w:color w:val="000000"/>
                <w:kern w:val="0"/>
                <w:sz w:val="24"/>
                <w:szCs w:val="24"/>
              </w:rPr>
              <w:t>43.11</w:t>
            </w:r>
          </w:p>
        </w:tc>
        <w:tc>
          <w:tcPr>
            <w:tcW w:w="1559" w:type="dxa"/>
            <w:tcBorders>
              <w:top w:val="nil"/>
              <w:left w:val="nil"/>
              <w:bottom w:val="single" w:color="auto" w:sz="4" w:space="0"/>
              <w:right w:val="single" w:color="auto" w:sz="4" w:space="0"/>
            </w:tcBorders>
            <w:vAlign w:val="center"/>
          </w:tcPr>
          <w:p w14:paraId="73F5BA1F">
            <w:pPr>
              <w:widowControl/>
              <w:spacing w:line="240" w:lineRule="auto"/>
              <w:jc w:val="center"/>
              <w:rPr>
                <w:color w:val="000000"/>
                <w:kern w:val="0"/>
                <w:sz w:val="24"/>
                <w:szCs w:val="24"/>
              </w:rPr>
            </w:pPr>
            <w:r>
              <w:rPr>
                <w:color w:val="000000"/>
                <w:kern w:val="0"/>
                <w:sz w:val="24"/>
                <w:szCs w:val="24"/>
              </w:rPr>
              <w:t>44</w:t>
            </w:r>
          </w:p>
        </w:tc>
        <w:tc>
          <w:tcPr>
            <w:tcW w:w="1275" w:type="dxa"/>
            <w:tcBorders>
              <w:top w:val="nil"/>
              <w:left w:val="nil"/>
              <w:bottom w:val="single" w:color="auto" w:sz="4" w:space="0"/>
              <w:right w:val="single" w:color="auto" w:sz="4" w:space="0"/>
            </w:tcBorders>
            <w:vAlign w:val="center"/>
          </w:tcPr>
          <w:p w14:paraId="2784E914">
            <w:pPr>
              <w:widowControl/>
              <w:spacing w:line="240" w:lineRule="auto"/>
              <w:jc w:val="center"/>
              <w:rPr>
                <w:color w:val="000000"/>
                <w:kern w:val="0"/>
                <w:sz w:val="24"/>
                <w:szCs w:val="24"/>
              </w:rPr>
            </w:pPr>
            <w:r>
              <w:rPr>
                <w:color w:val="000000"/>
                <w:kern w:val="0"/>
                <w:sz w:val="24"/>
                <w:szCs w:val="24"/>
              </w:rPr>
              <w:t>44</w:t>
            </w:r>
          </w:p>
        </w:tc>
        <w:tc>
          <w:tcPr>
            <w:tcW w:w="851" w:type="dxa"/>
            <w:tcBorders>
              <w:top w:val="nil"/>
              <w:left w:val="nil"/>
              <w:bottom w:val="single" w:color="auto" w:sz="4" w:space="0"/>
              <w:right w:val="single" w:color="auto" w:sz="4" w:space="0"/>
            </w:tcBorders>
            <w:vAlign w:val="center"/>
          </w:tcPr>
          <w:p w14:paraId="3B298B81">
            <w:pPr>
              <w:widowControl/>
              <w:spacing w:line="240" w:lineRule="auto"/>
              <w:jc w:val="center"/>
              <w:rPr>
                <w:color w:val="000000"/>
                <w:kern w:val="0"/>
                <w:sz w:val="24"/>
                <w:szCs w:val="24"/>
              </w:rPr>
            </w:pPr>
            <w:r>
              <w:rPr>
                <w:color w:val="000000"/>
                <w:kern w:val="0"/>
                <w:sz w:val="24"/>
                <w:szCs w:val="24"/>
              </w:rPr>
              <w:t>预期性</w:t>
            </w:r>
          </w:p>
        </w:tc>
      </w:tr>
      <w:tr w14:paraId="053B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60" w:type="dxa"/>
            <w:vMerge w:val="restart"/>
            <w:tcBorders>
              <w:top w:val="nil"/>
              <w:left w:val="single" w:color="auto" w:sz="4" w:space="0"/>
              <w:bottom w:val="single" w:color="auto" w:sz="4" w:space="0"/>
              <w:right w:val="single" w:color="auto" w:sz="4" w:space="0"/>
            </w:tcBorders>
            <w:vAlign w:val="center"/>
          </w:tcPr>
          <w:p w14:paraId="27DC1B37">
            <w:pPr>
              <w:widowControl/>
              <w:spacing w:line="240" w:lineRule="auto"/>
              <w:jc w:val="center"/>
              <w:rPr>
                <w:color w:val="000000"/>
                <w:kern w:val="0"/>
                <w:sz w:val="24"/>
                <w:szCs w:val="24"/>
              </w:rPr>
            </w:pPr>
            <w:r>
              <w:rPr>
                <w:color w:val="000000"/>
                <w:kern w:val="0"/>
                <w:sz w:val="24"/>
                <w:szCs w:val="24"/>
              </w:rPr>
              <w:t>低碳试点与基础建设</w:t>
            </w:r>
          </w:p>
        </w:tc>
        <w:tc>
          <w:tcPr>
            <w:tcW w:w="458" w:type="dxa"/>
            <w:tcBorders>
              <w:top w:val="nil"/>
              <w:left w:val="nil"/>
              <w:bottom w:val="single" w:color="auto" w:sz="4" w:space="0"/>
              <w:right w:val="single" w:color="auto" w:sz="4" w:space="0"/>
            </w:tcBorders>
            <w:vAlign w:val="center"/>
          </w:tcPr>
          <w:p w14:paraId="5F6CCCDC">
            <w:pPr>
              <w:widowControl/>
              <w:spacing w:line="240" w:lineRule="auto"/>
              <w:jc w:val="right"/>
              <w:rPr>
                <w:color w:val="000000"/>
                <w:kern w:val="0"/>
                <w:sz w:val="24"/>
                <w:szCs w:val="24"/>
              </w:rPr>
            </w:pPr>
            <w:r>
              <w:rPr>
                <w:color w:val="000000"/>
                <w:kern w:val="0"/>
                <w:sz w:val="24"/>
                <w:szCs w:val="24"/>
              </w:rPr>
              <w:t>13</w:t>
            </w:r>
          </w:p>
        </w:tc>
        <w:tc>
          <w:tcPr>
            <w:tcW w:w="1787" w:type="dxa"/>
            <w:tcBorders>
              <w:top w:val="nil"/>
              <w:left w:val="nil"/>
              <w:bottom w:val="single" w:color="auto" w:sz="4" w:space="0"/>
              <w:right w:val="single" w:color="auto" w:sz="4" w:space="0"/>
            </w:tcBorders>
            <w:vAlign w:val="center"/>
          </w:tcPr>
          <w:p w14:paraId="133304CB">
            <w:pPr>
              <w:widowControl/>
              <w:spacing w:line="240" w:lineRule="auto"/>
              <w:jc w:val="left"/>
              <w:rPr>
                <w:color w:val="000000"/>
                <w:kern w:val="0"/>
                <w:sz w:val="24"/>
                <w:szCs w:val="24"/>
              </w:rPr>
            </w:pPr>
            <w:r>
              <w:rPr>
                <w:color w:val="000000"/>
                <w:kern w:val="0"/>
                <w:sz w:val="24"/>
                <w:szCs w:val="24"/>
              </w:rPr>
              <w:t>国家低碳园区、低碳社区数量</w:t>
            </w:r>
          </w:p>
        </w:tc>
        <w:tc>
          <w:tcPr>
            <w:tcW w:w="960" w:type="dxa"/>
            <w:tcBorders>
              <w:top w:val="nil"/>
              <w:left w:val="nil"/>
              <w:bottom w:val="single" w:color="auto" w:sz="4" w:space="0"/>
              <w:right w:val="single" w:color="auto" w:sz="4" w:space="0"/>
            </w:tcBorders>
            <w:vAlign w:val="center"/>
          </w:tcPr>
          <w:p w14:paraId="463BE62F">
            <w:pPr>
              <w:widowControl/>
              <w:spacing w:line="240" w:lineRule="auto"/>
              <w:jc w:val="center"/>
              <w:rPr>
                <w:color w:val="000000"/>
                <w:kern w:val="0"/>
                <w:sz w:val="24"/>
                <w:szCs w:val="24"/>
              </w:rPr>
            </w:pPr>
            <w:r>
              <w:rPr>
                <w:color w:val="000000"/>
                <w:kern w:val="0"/>
                <w:sz w:val="24"/>
                <w:szCs w:val="24"/>
              </w:rPr>
              <w:t>个</w:t>
            </w:r>
          </w:p>
        </w:tc>
        <w:tc>
          <w:tcPr>
            <w:tcW w:w="1222" w:type="dxa"/>
            <w:tcBorders>
              <w:top w:val="nil"/>
              <w:left w:val="nil"/>
              <w:bottom w:val="single" w:color="auto" w:sz="4" w:space="0"/>
              <w:right w:val="single" w:color="auto" w:sz="4" w:space="0"/>
            </w:tcBorders>
            <w:vAlign w:val="center"/>
          </w:tcPr>
          <w:p w14:paraId="02675464">
            <w:pPr>
              <w:widowControl/>
              <w:spacing w:line="240" w:lineRule="auto"/>
              <w:jc w:val="center"/>
              <w:rPr>
                <w:color w:val="000000"/>
                <w:kern w:val="0"/>
                <w:sz w:val="24"/>
                <w:szCs w:val="24"/>
              </w:rPr>
            </w:pPr>
            <w:r>
              <w:rPr>
                <w:color w:val="000000"/>
                <w:kern w:val="0"/>
                <w:sz w:val="24"/>
                <w:szCs w:val="24"/>
              </w:rPr>
              <w:t>1</w:t>
            </w:r>
          </w:p>
        </w:tc>
        <w:tc>
          <w:tcPr>
            <w:tcW w:w="1559" w:type="dxa"/>
            <w:tcBorders>
              <w:top w:val="nil"/>
              <w:left w:val="nil"/>
              <w:bottom w:val="single" w:color="auto" w:sz="4" w:space="0"/>
              <w:right w:val="single" w:color="auto" w:sz="4" w:space="0"/>
            </w:tcBorders>
            <w:vAlign w:val="center"/>
          </w:tcPr>
          <w:p w14:paraId="7022FECC">
            <w:pPr>
              <w:widowControl/>
              <w:spacing w:line="240" w:lineRule="auto"/>
              <w:jc w:val="center"/>
              <w:rPr>
                <w:color w:val="000000"/>
                <w:kern w:val="0"/>
                <w:sz w:val="24"/>
                <w:szCs w:val="24"/>
              </w:rPr>
            </w:pPr>
            <w:r>
              <w:rPr>
                <w:color w:val="000000"/>
                <w:kern w:val="0"/>
                <w:sz w:val="24"/>
                <w:szCs w:val="24"/>
              </w:rPr>
              <w:t>3</w:t>
            </w:r>
          </w:p>
        </w:tc>
        <w:tc>
          <w:tcPr>
            <w:tcW w:w="1275" w:type="dxa"/>
            <w:tcBorders>
              <w:top w:val="nil"/>
              <w:left w:val="nil"/>
              <w:bottom w:val="single" w:color="auto" w:sz="4" w:space="0"/>
              <w:right w:val="single" w:color="auto" w:sz="4" w:space="0"/>
            </w:tcBorders>
            <w:vAlign w:val="center"/>
          </w:tcPr>
          <w:p w14:paraId="718A27A9">
            <w:pPr>
              <w:widowControl/>
              <w:spacing w:line="240" w:lineRule="auto"/>
              <w:jc w:val="center"/>
              <w:rPr>
                <w:color w:val="000000"/>
                <w:kern w:val="0"/>
                <w:sz w:val="24"/>
                <w:szCs w:val="24"/>
              </w:rPr>
            </w:pPr>
            <w:r>
              <w:rPr>
                <w:color w:val="000000"/>
                <w:kern w:val="0"/>
                <w:sz w:val="24"/>
                <w:szCs w:val="24"/>
              </w:rPr>
              <w:t>3个以上</w:t>
            </w:r>
          </w:p>
        </w:tc>
        <w:tc>
          <w:tcPr>
            <w:tcW w:w="851" w:type="dxa"/>
            <w:tcBorders>
              <w:top w:val="nil"/>
              <w:left w:val="nil"/>
              <w:bottom w:val="single" w:color="auto" w:sz="4" w:space="0"/>
              <w:right w:val="single" w:color="auto" w:sz="4" w:space="0"/>
            </w:tcBorders>
            <w:vAlign w:val="center"/>
          </w:tcPr>
          <w:p w14:paraId="1C7B8390">
            <w:pPr>
              <w:widowControl/>
              <w:spacing w:line="240" w:lineRule="auto"/>
              <w:jc w:val="center"/>
              <w:rPr>
                <w:color w:val="000000"/>
                <w:kern w:val="0"/>
                <w:sz w:val="24"/>
                <w:szCs w:val="24"/>
              </w:rPr>
            </w:pPr>
            <w:r>
              <w:rPr>
                <w:color w:val="000000"/>
                <w:kern w:val="0"/>
                <w:sz w:val="24"/>
                <w:szCs w:val="24"/>
              </w:rPr>
              <w:t>预期性</w:t>
            </w:r>
          </w:p>
        </w:tc>
      </w:tr>
      <w:tr w14:paraId="1E6E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top w:val="nil"/>
              <w:left w:val="single" w:color="auto" w:sz="4" w:space="0"/>
              <w:bottom w:val="single" w:color="auto" w:sz="4" w:space="0"/>
              <w:right w:val="single" w:color="auto" w:sz="4" w:space="0"/>
            </w:tcBorders>
            <w:vAlign w:val="center"/>
          </w:tcPr>
          <w:p w14:paraId="4A4624E7">
            <w:pPr>
              <w:widowControl/>
              <w:spacing w:line="240" w:lineRule="auto"/>
              <w:jc w:val="left"/>
              <w:rPr>
                <w:color w:val="000000"/>
                <w:kern w:val="0"/>
                <w:sz w:val="24"/>
                <w:szCs w:val="24"/>
              </w:rPr>
            </w:pPr>
          </w:p>
        </w:tc>
        <w:tc>
          <w:tcPr>
            <w:tcW w:w="458" w:type="dxa"/>
            <w:tcBorders>
              <w:top w:val="nil"/>
              <w:left w:val="nil"/>
              <w:bottom w:val="single" w:color="auto" w:sz="4" w:space="0"/>
              <w:right w:val="single" w:color="auto" w:sz="4" w:space="0"/>
            </w:tcBorders>
            <w:vAlign w:val="center"/>
          </w:tcPr>
          <w:p w14:paraId="6F6D1BE9">
            <w:pPr>
              <w:widowControl/>
              <w:spacing w:line="240" w:lineRule="auto"/>
              <w:jc w:val="right"/>
              <w:rPr>
                <w:color w:val="000000"/>
                <w:kern w:val="0"/>
                <w:sz w:val="24"/>
                <w:szCs w:val="24"/>
              </w:rPr>
            </w:pPr>
            <w:r>
              <w:rPr>
                <w:color w:val="000000"/>
                <w:kern w:val="0"/>
                <w:sz w:val="24"/>
                <w:szCs w:val="24"/>
              </w:rPr>
              <w:t>14</w:t>
            </w:r>
          </w:p>
        </w:tc>
        <w:tc>
          <w:tcPr>
            <w:tcW w:w="1787" w:type="dxa"/>
            <w:tcBorders>
              <w:top w:val="nil"/>
              <w:left w:val="nil"/>
              <w:bottom w:val="single" w:color="auto" w:sz="4" w:space="0"/>
              <w:right w:val="single" w:color="auto" w:sz="4" w:space="0"/>
            </w:tcBorders>
            <w:vAlign w:val="center"/>
          </w:tcPr>
          <w:p w14:paraId="1784801A">
            <w:pPr>
              <w:widowControl/>
              <w:spacing w:line="240" w:lineRule="auto"/>
              <w:jc w:val="left"/>
              <w:rPr>
                <w:color w:val="000000"/>
                <w:kern w:val="0"/>
                <w:sz w:val="24"/>
                <w:szCs w:val="24"/>
              </w:rPr>
            </w:pPr>
            <w:r>
              <w:rPr>
                <w:color w:val="000000"/>
                <w:kern w:val="0"/>
                <w:sz w:val="24"/>
                <w:szCs w:val="24"/>
              </w:rPr>
              <w:t>公众对低碳发展的认知度</w:t>
            </w:r>
          </w:p>
        </w:tc>
        <w:tc>
          <w:tcPr>
            <w:tcW w:w="960" w:type="dxa"/>
            <w:tcBorders>
              <w:top w:val="nil"/>
              <w:left w:val="nil"/>
              <w:bottom w:val="single" w:color="auto" w:sz="4" w:space="0"/>
              <w:right w:val="single" w:color="auto" w:sz="4" w:space="0"/>
            </w:tcBorders>
            <w:vAlign w:val="center"/>
          </w:tcPr>
          <w:p w14:paraId="31F51B6C">
            <w:pPr>
              <w:widowControl/>
              <w:spacing w:line="240" w:lineRule="auto"/>
              <w:jc w:val="center"/>
              <w:rPr>
                <w:color w:val="000000"/>
                <w:kern w:val="0"/>
                <w:sz w:val="24"/>
                <w:szCs w:val="24"/>
              </w:rPr>
            </w:pPr>
            <w:r>
              <w:rPr>
                <w:color w:val="000000"/>
                <w:kern w:val="0"/>
                <w:sz w:val="24"/>
                <w:szCs w:val="24"/>
              </w:rPr>
              <w:t>%</w:t>
            </w:r>
          </w:p>
        </w:tc>
        <w:tc>
          <w:tcPr>
            <w:tcW w:w="1222" w:type="dxa"/>
            <w:tcBorders>
              <w:top w:val="nil"/>
              <w:left w:val="nil"/>
              <w:bottom w:val="single" w:color="auto" w:sz="4" w:space="0"/>
              <w:right w:val="single" w:color="auto" w:sz="4" w:space="0"/>
            </w:tcBorders>
            <w:vAlign w:val="center"/>
          </w:tcPr>
          <w:p w14:paraId="3B10C456">
            <w:pPr>
              <w:widowControl/>
              <w:spacing w:line="240" w:lineRule="auto"/>
              <w:jc w:val="center"/>
              <w:rPr>
                <w:color w:val="000000"/>
                <w:kern w:val="0"/>
                <w:sz w:val="24"/>
                <w:szCs w:val="24"/>
              </w:rPr>
            </w:pPr>
            <w:r>
              <w:rPr>
                <w:color w:val="000000"/>
                <w:kern w:val="0"/>
                <w:sz w:val="24"/>
                <w:szCs w:val="24"/>
              </w:rPr>
              <w:t>-</w:t>
            </w:r>
          </w:p>
        </w:tc>
        <w:tc>
          <w:tcPr>
            <w:tcW w:w="1559" w:type="dxa"/>
            <w:tcBorders>
              <w:top w:val="nil"/>
              <w:left w:val="nil"/>
              <w:bottom w:val="single" w:color="auto" w:sz="4" w:space="0"/>
              <w:right w:val="single" w:color="auto" w:sz="4" w:space="0"/>
            </w:tcBorders>
            <w:vAlign w:val="center"/>
          </w:tcPr>
          <w:p w14:paraId="64FED548">
            <w:pPr>
              <w:widowControl/>
              <w:spacing w:line="240" w:lineRule="auto"/>
              <w:jc w:val="center"/>
              <w:rPr>
                <w:color w:val="000000"/>
                <w:kern w:val="0"/>
                <w:sz w:val="24"/>
                <w:szCs w:val="24"/>
              </w:rPr>
            </w:pPr>
            <w:r>
              <w:rPr>
                <w:color w:val="000000"/>
                <w:kern w:val="0"/>
                <w:sz w:val="24"/>
                <w:szCs w:val="24"/>
              </w:rPr>
              <w:t>80</w:t>
            </w:r>
          </w:p>
        </w:tc>
        <w:tc>
          <w:tcPr>
            <w:tcW w:w="1275" w:type="dxa"/>
            <w:tcBorders>
              <w:top w:val="nil"/>
              <w:left w:val="nil"/>
              <w:bottom w:val="single" w:color="auto" w:sz="4" w:space="0"/>
              <w:right w:val="single" w:color="auto" w:sz="4" w:space="0"/>
            </w:tcBorders>
            <w:vAlign w:val="center"/>
          </w:tcPr>
          <w:p w14:paraId="435734DF">
            <w:pPr>
              <w:widowControl/>
              <w:spacing w:line="240" w:lineRule="auto"/>
              <w:jc w:val="center"/>
              <w:rPr>
                <w:color w:val="000000"/>
                <w:kern w:val="0"/>
                <w:sz w:val="24"/>
                <w:szCs w:val="24"/>
              </w:rPr>
            </w:pPr>
            <w:r>
              <w:rPr>
                <w:color w:val="000000"/>
                <w:kern w:val="0"/>
                <w:sz w:val="24"/>
                <w:szCs w:val="24"/>
              </w:rPr>
              <w:t>80以上</w:t>
            </w:r>
          </w:p>
        </w:tc>
        <w:tc>
          <w:tcPr>
            <w:tcW w:w="851" w:type="dxa"/>
            <w:tcBorders>
              <w:top w:val="nil"/>
              <w:left w:val="nil"/>
              <w:bottom w:val="single" w:color="auto" w:sz="4" w:space="0"/>
              <w:right w:val="single" w:color="auto" w:sz="4" w:space="0"/>
            </w:tcBorders>
            <w:vAlign w:val="center"/>
          </w:tcPr>
          <w:p w14:paraId="1BD234AA">
            <w:pPr>
              <w:widowControl/>
              <w:spacing w:line="240" w:lineRule="auto"/>
              <w:jc w:val="center"/>
              <w:rPr>
                <w:color w:val="000000"/>
                <w:kern w:val="0"/>
                <w:sz w:val="24"/>
                <w:szCs w:val="24"/>
              </w:rPr>
            </w:pPr>
            <w:r>
              <w:rPr>
                <w:color w:val="000000"/>
                <w:kern w:val="0"/>
                <w:sz w:val="24"/>
                <w:szCs w:val="24"/>
              </w:rPr>
              <w:t>预期性</w:t>
            </w:r>
          </w:p>
        </w:tc>
      </w:tr>
    </w:tbl>
    <w:p w14:paraId="1794A182">
      <w:pPr>
        <w:jc w:val="left"/>
        <w:rPr>
          <w:rFonts w:ascii="仿宋_GB2312" w:hAnsi="宋体" w:cs="宋体"/>
          <w:b/>
          <w:kern w:val="0"/>
          <w:sz w:val="24"/>
          <w:szCs w:val="28"/>
        </w:rPr>
      </w:pPr>
      <w:r>
        <w:rPr>
          <w:rFonts w:hint="eastAsia" w:ascii="仿宋_GB2312" w:hAnsi="宋体" w:cs="宋体"/>
          <w:b/>
          <w:kern w:val="0"/>
          <w:sz w:val="24"/>
          <w:szCs w:val="28"/>
        </w:rPr>
        <w:t>注：</w:t>
      </w:r>
      <w:r>
        <w:rPr>
          <w:rFonts w:ascii="仿宋_GB2312" w:hAnsi="宋体" w:cs="宋体"/>
          <w:b/>
          <w:kern w:val="0"/>
          <w:sz w:val="24"/>
          <w:szCs w:val="28"/>
        </w:rPr>
        <w:t>1</w:t>
      </w:r>
      <w:r>
        <w:rPr>
          <w:rFonts w:hint="eastAsia" w:ascii="仿宋_GB2312" w:hAnsi="宋体" w:cs="宋体"/>
          <w:b/>
          <w:kern w:val="0"/>
          <w:sz w:val="24"/>
          <w:szCs w:val="28"/>
        </w:rPr>
        <w:t>、</w:t>
      </w:r>
      <w:r>
        <w:rPr>
          <w:rFonts w:ascii="仿宋_GB2312" w:hAnsi="宋体" w:cs="宋体"/>
          <w:b/>
          <w:kern w:val="0"/>
          <w:sz w:val="24"/>
          <w:szCs w:val="28"/>
        </w:rPr>
        <w:t>2022</w:t>
      </w:r>
      <w:r>
        <w:rPr>
          <w:rFonts w:hint="eastAsia" w:ascii="仿宋_GB2312" w:hAnsi="宋体" w:cs="宋体"/>
          <w:b/>
          <w:kern w:val="0"/>
          <w:sz w:val="24"/>
          <w:szCs w:val="28"/>
        </w:rPr>
        <w:t>年目标值将根据“十四五”目标值进行调整。</w:t>
      </w:r>
    </w:p>
    <w:p w14:paraId="62584630">
      <w:pPr>
        <w:widowControl/>
        <w:spacing w:line="240" w:lineRule="auto"/>
        <w:jc w:val="left"/>
        <w:rPr>
          <w:rFonts w:ascii="仿宋_GB2312" w:hAnsi="宋体" w:cs="宋体"/>
          <w:b/>
          <w:kern w:val="0"/>
          <w:sz w:val="28"/>
          <w:szCs w:val="28"/>
        </w:rPr>
        <w:sectPr>
          <w:type w:val="continuous"/>
          <w:pgSz w:w="11906" w:h="16838"/>
          <w:pgMar w:top="1701" w:right="1418" w:bottom="1418" w:left="1474" w:header="851" w:footer="992" w:gutter="0"/>
          <w:cols w:space="720" w:num="1"/>
          <w:docGrid w:type="lines" w:linePitch="312" w:charSpace="0"/>
        </w:sectPr>
      </w:pPr>
      <w:r>
        <w:rPr>
          <w:rFonts w:ascii="仿宋_GB2312" w:hAnsi="宋体" w:cs="宋体"/>
          <w:b/>
          <w:kern w:val="0"/>
          <w:sz w:val="28"/>
          <w:szCs w:val="28"/>
        </w:rPr>
        <w:br w:type="page"/>
      </w:r>
    </w:p>
    <w:p w14:paraId="3CCF9682">
      <w:pPr>
        <w:pStyle w:val="2"/>
        <w:spacing w:before="260" w:after="260"/>
        <w:jc w:val="center"/>
        <w:rPr>
          <w:sz w:val="36"/>
        </w:rPr>
      </w:pPr>
      <w:bookmarkStart w:id="39" w:name="_Toc524597404"/>
      <w:r>
        <w:rPr>
          <w:rFonts w:hint="eastAsia"/>
          <w:sz w:val="36"/>
        </w:rPr>
        <w:t>三明市低碳发展主要任务</w:t>
      </w:r>
      <w:bookmarkEnd w:id="39"/>
    </w:p>
    <w:p w14:paraId="37B1871D">
      <w:pPr>
        <w:pStyle w:val="4"/>
      </w:pPr>
      <w:bookmarkStart w:id="40" w:name="_Toc524597405"/>
      <w:r>
        <w:rPr>
          <w:rFonts w:hint="eastAsia"/>
        </w:rPr>
        <w:t>“壮大一条路径”，打造绿色低碳产业体系</w:t>
      </w:r>
      <w:bookmarkEnd w:id="40"/>
    </w:p>
    <w:p w14:paraId="771E976F">
      <w:pPr>
        <w:pStyle w:val="5"/>
        <w:numPr>
          <w:ilvl w:val="2"/>
          <w:numId w:val="0"/>
        </w:numPr>
      </w:pPr>
      <w:bookmarkStart w:id="41" w:name="_Toc524597406"/>
      <w:r>
        <w:rPr>
          <w:rFonts w:hint="eastAsia"/>
        </w:rPr>
        <w:t>（一）做优存量，推进传统产业高端化集聚化</w:t>
      </w:r>
      <w:bookmarkEnd w:id="41"/>
    </w:p>
    <w:p w14:paraId="5FA272DD">
      <w:pPr>
        <w:autoSpaceDE w:val="0"/>
        <w:autoSpaceDN w:val="0"/>
        <w:adjustRightInd w:val="0"/>
        <w:snapToGrid w:val="0"/>
        <w:ind w:firstLine="640" w:firstLineChars="200"/>
        <w:rPr>
          <w:rFonts w:ascii="仿宋_GB2312" w:cs="宋体"/>
          <w:kern w:val="0"/>
          <w:szCs w:val="32"/>
        </w:rPr>
      </w:pPr>
      <w:r>
        <w:rPr>
          <w:rFonts w:hint="eastAsia" w:ascii="仿宋_GB2312" w:cs="宋体"/>
          <w:kern w:val="0"/>
          <w:szCs w:val="32"/>
        </w:rPr>
        <w:t>以抓龙头、铸链条、建集聚为主攻方向，改造提升汽车及机械装备、冶金及压延、林产加工、纺织等传统产业，增强传统产业竞争力，着力打造海西先进制造业重要基地</w:t>
      </w:r>
      <w:r>
        <w:rPr>
          <w:rFonts w:hint="eastAsia" w:ascii="仿宋_GB2312"/>
          <w:color w:val="000000"/>
          <w:sz w:val="31"/>
          <w:szCs w:val="31"/>
        </w:rPr>
        <w:t>。</w:t>
      </w:r>
    </w:p>
    <w:p w14:paraId="57FF12C6">
      <w:pPr>
        <w:pStyle w:val="6"/>
        <w:ind w:left="640" w:leftChars="200"/>
        <w:rPr>
          <w:b w:val="0"/>
        </w:rPr>
      </w:pPr>
      <w:r>
        <w:t>1.</w:t>
      </w:r>
      <w:r>
        <w:rPr>
          <w:rFonts w:hint="eastAsia"/>
        </w:rPr>
        <w:t>汽车及机械装备产业</w:t>
      </w:r>
    </w:p>
    <w:p w14:paraId="5481BAF4">
      <w:pPr>
        <w:autoSpaceDE w:val="0"/>
        <w:autoSpaceDN w:val="0"/>
        <w:adjustRightInd w:val="0"/>
        <w:snapToGrid w:val="0"/>
        <w:ind w:firstLine="618"/>
        <w:rPr>
          <w:rFonts w:ascii="仿宋_GB2312"/>
          <w:sz w:val="31"/>
          <w:szCs w:val="31"/>
          <w:shd w:val="clear" w:color="auto" w:fill="FFFFFF"/>
        </w:rPr>
      </w:pPr>
      <w:r>
        <w:rPr>
          <w:rFonts w:hint="eastAsia" w:ascii="仿宋_GB2312"/>
          <w:b/>
          <w:sz w:val="31"/>
          <w:szCs w:val="31"/>
          <w:shd w:val="clear" w:color="auto" w:fill="FFFFFF"/>
        </w:rPr>
        <w:t>发展汽车及零部件产业</w:t>
      </w:r>
      <w:r>
        <w:rPr>
          <w:rFonts w:hint="eastAsia" w:ascii="仿宋_GB2312"/>
          <w:sz w:val="31"/>
          <w:szCs w:val="31"/>
          <w:shd w:val="clear" w:color="auto" w:fill="FFFFFF"/>
        </w:rPr>
        <w:t>。以建设全省商用汽车和新能源汽车生产基地为目标，建立海西汽车商用车生产基地、永安载货汽车零部件配套工业园。加快发展中重型卡车、轻型车、专用汽车和新能源汽车四大核心产品，扩大海西汽车公司等汽车制造企业的整车生产能力与产品生产范围。提高关键零部件本地化配套能力，推进车身、车桥、车用轴承技改扩建等项目加快发展，引进车身件大冲压、发动机和传动、制动、转向等重要总成项目，以及座椅、动力电池、汽车电器等整车及新能源汽车配套项目。</w:t>
      </w:r>
    </w:p>
    <w:p w14:paraId="475AE155">
      <w:pPr>
        <w:autoSpaceDE w:val="0"/>
        <w:autoSpaceDN w:val="0"/>
        <w:adjustRightInd w:val="0"/>
        <w:snapToGrid w:val="0"/>
        <w:ind w:firstLine="618"/>
        <w:rPr>
          <w:rFonts w:ascii="仿宋_GB2312"/>
          <w:sz w:val="31"/>
          <w:szCs w:val="31"/>
          <w:shd w:val="clear" w:color="auto" w:fill="FFFFFF"/>
        </w:rPr>
      </w:pPr>
      <w:r>
        <w:rPr>
          <w:rFonts w:hint="eastAsia" w:ascii="仿宋_GB2312"/>
          <w:b/>
          <w:sz w:val="31"/>
          <w:szCs w:val="31"/>
          <w:shd w:val="clear" w:color="auto" w:fill="FFFFFF"/>
        </w:rPr>
        <w:t>发展绿色高端铸锻产业</w:t>
      </w:r>
      <w:r>
        <w:rPr>
          <w:rFonts w:hint="eastAsia" w:ascii="仿宋_GB2312"/>
          <w:sz w:val="31"/>
          <w:szCs w:val="31"/>
          <w:shd w:val="clear" w:color="auto" w:fill="FFFFFF"/>
        </w:rPr>
        <w:t>。重点发展高端装备铸锻、精密铸锻、半固态成型压铸、大型机械铸造。按照“一个基地、四个片区”的布局，在梅列小蕉园区建设铸铁、铸钢、特种铸造、有色铸造、锻造和模具加工六大铸锻产业，在三明金沙园二期依托机科院海西分院技术优势建设精密铸锻产业，在将乐县依托半固态技术研究所技术优势发展半固态成型压铸产业，在大田县发展铸造原材料及各种型号铸铁件产品的生产及加工，最终打造海西绿色高端铸锻生产基地。</w:t>
      </w:r>
    </w:p>
    <w:p w14:paraId="7E0C9083">
      <w:pPr>
        <w:autoSpaceDE w:val="0"/>
        <w:autoSpaceDN w:val="0"/>
        <w:adjustRightInd w:val="0"/>
        <w:snapToGrid w:val="0"/>
        <w:ind w:firstLine="618"/>
        <w:rPr>
          <w:rFonts w:ascii="仿宋_GB2312"/>
          <w:sz w:val="31"/>
          <w:szCs w:val="31"/>
          <w:shd w:val="clear" w:color="auto" w:fill="FFFFFF"/>
        </w:rPr>
      </w:pPr>
      <w:r>
        <w:rPr>
          <w:rFonts w:hint="eastAsia" w:ascii="仿宋_GB2312"/>
          <w:b/>
          <w:sz w:val="31"/>
          <w:szCs w:val="31"/>
          <w:shd w:val="clear" w:color="auto" w:fill="FFFFFF"/>
        </w:rPr>
        <w:t>实施智能制造工程</w:t>
      </w:r>
      <w:r>
        <w:rPr>
          <w:rFonts w:hint="eastAsia" w:ascii="仿宋_GB2312"/>
          <w:sz w:val="31"/>
          <w:szCs w:val="31"/>
          <w:shd w:val="clear" w:color="auto" w:fill="FFFFFF"/>
        </w:rPr>
        <w:t>。大力发展智能化成套装备和智能终端产品，支持鼓励普诺维机械公司智能旋转模切设备产业化、中机科（福建）机械设备公司智能化建筑塔式起重机生产、三明长兴机械制造公司第三代防爆智能型汽化石油气设备、百特公司智能装备及物联传感器产业基地、尤溪鼎天公司农业物联网智能传感器生产、永信公司智能型充电桩生产等项目建设，促进装备制造业向数字化、智能化升级。</w:t>
      </w:r>
    </w:p>
    <w:p w14:paraId="13DE3E2A">
      <w:pPr>
        <w:autoSpaceDE w:val="0"/>
        <w:autoSpaceDN w:val="0"/>
        <w:adjustRightInd w:val="0"/>
        <w:snapToGrid w:val="0"/>
        <w:ind w:firstLine="618"/>
        <w:rPr>
          <w:rFonts w:ascii="仿宋_GB2312"/>
          <w:sz w:val="31"/>
          <w:szCs w:val="31"/>
          <w:shd w:val="clear" w:color="auto" w:fill="FFFFFF"/>
        </w:rPr>
      </w:pPr>
      <w:r>
        <w:rPr>
          <w:rFonts w:hint="eastAsia" w:ascii="仿宋_GB2312"/>
          <w:b/>
          <w:sz w:val="31"/>
          <w:szCs w:val="31"/>
          <w:shd w:val="clear" w:color="auto" w:fill="FFFFFF"/>
        </w:rPr>
        <w:t>推进技术研发与项目落地</w:t>
      </w:r>
      <w:r>
        <w:rPr>
          <w:rFonts w:hint="eastAsia" w:ascii="仿宋_GB2312"/>
          <w:sz w:val="31"/>
          <w:szCs w:val="31"/>
          <w:shd w:val="clear" w:color="auto" w:fill="FFFFFF"/>
        </w:rPr>
        <w:t>。建设国家重型汽车研究中心海西分中心和清华大学苏州研究院、吉林大学汽车学院永安新能源汽车研究中心，重点突破在载货车采用曼技术、电动汽车“三电”关键技术。利用机械科学研究总院的技术优势，通过孵化、招商等方式，加快项目对接，嫁接引进市场前景好、创新能力较强、技术一流的高端装备制造项目，提升高端装备本地化制造能力。</w:t>
      </w:r>
    </w:p>
    <w:p w14:paraId="0730BFC0">
      <w:pPr>
        <w:pStyle w:val="6"/>
        <w:ind w:left="640" w:leftChars="200"/>
        <w:rPr>
          <w:b w:val="0"/>
        </w:rPr>
      </w:pPr>
      <w:r>
        <w:t>2.</w:t>
      </w:r>
      <w:r>
        <w:rPr>
          <w:rFonts w:hint="eastAsia"/>
        </w:rPr>
        <w:t>冶金及压延产业</w:t>
      </w:r>
    </w:p>
    <w:p w14:paraId="1EA51839">
      <w:pPr>
        <w:autoSpaceDE w:val="0"/>
        <w:autoSpaceDN w:val="0"/>
        <w:adjustRightInd w:val="0"/>
        <w:snapToGrid w:val="0"/>
        <w:ind w:firstLine="622" w:firstLineChars="200"/>
        <w:rPr>
          <w:rFonts w:ascii="仿宋_GB2312"/>
          <w:sz w:val="31"/>
          <w:szCs w:val="31"/>
          <w:shd w:val="clear" w:color="auto" w:fill="FFFFFF"/>
        </w:rPr>
      </w:pPr>
      <w:r>
        <w:rPr>
          <w:rFonts w:hint="eastAsia" w:ascii="仿宋_GB2312"/>
          <w:b/>
          <w:sz w:val="31"/>
          <w:szCs w:val="31"/>
          <w:shd w:val="clear" w:color="auto" w:fill="FFFFFF"/>
        </w:rPr>
        <w:t>发展钢材深加工业务</w:t>
      </w:r>
      <w:r>
        <w:rPr>
          <w:rFonts w:hint="eastAsia" w:ascii="仿宋_GB2312"/>
          <w:sz w:val="31"/>
          <w:szCs w:val="31"/>
          <w:shd w:val="clear" w:color="auto" w:fill="FFFFFF"/>
        </w:rPr>
        <w:t>。以三钢集团为龙头，加快钢材产业链延伸，重点突破高等级建筑结构用钢材、高性能装备零部件用合金钢、高强度船体结构钢、工程钢结构、钢筋焊接网等产品。推进钢材产业集聚发展，加快建设球墨铸铁、建筑结构钢材等系列产品深加工基地。</w:t>
      </w:r>
    </w:p>
    <w:p w14:paraId="10CD6271">
      <w:pPr>
        <w:autoSpaceDE w:val="0"/>
        <w:autoSpaceDN w:val="0"/>
        <w:adjustRightInd w:val="0"/>
        <w:snapToGrid w:val="0"/>
        <w:ind w:firstLine="622" w:firstLineChars="200"/>
        <w:rPr>
          <w:rFonts w:ascii="仿宋_GB2312"/>
          <w:sz w:val="31"/>
          <w:szCs w:val="31"/>
          <w:shd w:val="clear" w:color="auto" w:fill="FFFFFF"/>
        </w:rPr>
      </w:pPr>
      <w:r>
        <w:rPr>
          <w:rFonts w:hint="eastAsia" w:ascii="仿宋_GB2312"/>
          <w:b/>
          <w:sz w:val="31"/>
          <w:szCs w:val="31"/>
          <w:shd w:val="clear" w:color="auto" w:fill="FFFFFF"/>
        </w:rPr>
        <w:t>加快轻合金系列产品开发</w:t>
      </w:r>
      <w:r>
        <w:rPr>
          <w:rFonts w:hint="eastAsia" w:ascii="仿宋_GB2312"/>
          <w:sz w:val="31"/>
          <w:szCs w:val="31"/>
          <w:shd w:val="clear" w:color="auto" w:fill="FFFFFF"/>
        </w:rPr>
        <w:t>。着力突破汽车轮毂、汽车及小型机械发动机缸体、汽车耐压活塞、汽车悬臂、手机框架、笔记本电脑外壳、空调压缩机壳体、通讯滤波器、</w:t>
      </w:r>
      <w:r>
        <w:rPr>
          <w:rFonts w:ascii="仿宋_GB2312"/>
          <w:sz w:val="31"/>
          <w:szCs w:val="31"/>
          <w:shd w:val="clear" w:color="auto" w:fill="FFFFFF"/>
        </w:rPr>
        <w:t>LED</w:t>
      </w:r>
      <w:r>
        <w:rPr>
          <w:rFonts w:hint="eastAsia" w:ascii="仿宋_GB2312"/>
          <w:sz w:val="31"/>
          <w:szCs w:val="31"/>
          <w:shd w:val="clear" w:color="auto" w:fill="FFFFFF"/>
        </w:rPr>
        <w:t>散热器等轻合金半固态成型制品。促进轻合金产业集聚，建设将乐轻金属半固态新材料专业园。</w:t>
      </w:r>
    </w:p>
    <w:p w14:paraId="36B2579B">
      <w:pPr>
        <w:autoSpaceDE w:val="0"/>
        <w:autoSpaceDN w:val="0"/>
        <w:adjustRightInd w:val="0"/>
        <w:snapToGrid w:val="0"/>
        <w:ind w:firstLine="622" w:firstLineChars="200"/>
        <w:rPr>
          <w:rFonts w:ascii="仿宋_GB2312"/>
          <w:sz w:val="31"/>
          <w:szCs w:val="31"/>
          <w:shd w:val="clear" w:color="auto" w:fill="FFFFFF"/>
        </w:rPr>
      </w:pPr>
      <w:r>
        <w:rPr>
          <w:rFonts w:hint="eastAsia" w:ascii="仿宋_GB2312"/>
          <w:b/>
          <w:sz w:val="31"/>
          <w:szCs w:val="31"/>
          <w:shd w:val="clear" w:color="auto" w:fill="FFFFFF"/>
        </w:rPr>
        <w:t>多元化发展有色金属产品</w:t>
      </w:r>
      <w:r>
        <w:rPr>
          <w:rFonts w:hint="eastAsia" w:ascii="仿宋_GB2312"/>
          <w:sz w:val="31"/>
          <w:szCs w:val="31"/>
          <w:shd w:val="clear" w:color="auto" w:fill="FFFFFF"/>
        </w:rPr>
        <w:t>。推进高纯高密钨材等钨制品精深加工产品生产，发展药用和电子铝箔、铝组合模板等铝金属制品，生产高性能、高精度、高附加值的铜杆、线、缆、箔、管、板带等产品。</w:t>
      </w:r>
    </w:p>
    <w:p w14:paraId="2B0279DD">
      <w:pPr>
        <w:pStyle w:val="6"/>
        <w:ind w:left="640" w:leftChars="200"/>
        <w:rPr>
          <w:b w:val="0"/>
        </w:rPr>
      </w:pPr>
      <w:r>
        <w:t>3.</w:t>
      </w:r>
      <w:r>
        <w:rPr>
          <w:rFonts w:hint="eastAsia"/>
        </w:rPr>
        <w:t>其他传统产业</w:t>
      </w:r>
    </w:p>
    <w:p w14:paraId="7D90879F">
      <w:pPr>
        <w:autoSpaceDE w:val="0"/>
        <w:autoSpaceDN w:val="0"/>
        <w:adjustRightInd w:val="0"/>
        <w:snapToGrid w:val="0"/>
        <w:ind w:firstLine="622" w:firstLineChars="200"/>
        <w:rPr>
          <w:rFonts w:ascii="仿宋_GB2312"/>
          <w:sz w:val="31"/>
          <w:szCs w:val="31"/>
          <w:shd w:val="clear" w:color="auto" w:fill="FFFFFF"/>
        </w:rPr>
      </w:pPr>
      <w:r>
        <w:rPr>
          <w:rFonts w:hint="eastAsia" w:ascii="仿宋_GB2312"/>
          <w:b/>
          <w:sz w:val="31"/>
          <w:szCs w:val="31"/>
          <w:shd w:val="clear" w:color="auto" w:fill="FFFFFF"/>
        </w:rPr>
        <w:t>发展林产加工产业</w:t>
      </w:r>
      <w:r>
        <w:rPr>
          <w:rFonts w:hint="eastAsia" w:ascii="仿宋_GB2312"/>
          <w:sz w:val="31"/>
          <w:szCs w:val="31"/>
          <w:shd w:val="clear" w:color="auto" w:fill="FFFFFF"/>
        </w:rPr>
        <w:t>。推动林产加工业向深度开发提升，重点发展林竹加工、制浆造纸及纸制品、林产化工产品、森林食品加工等四大系列产品。在林竹加工系列重点开发生产标准木构件和生态板等新型环保板材，板式家具、家居精品等精深加工产品，高强度竹基纤维复合系列新材料等产品；在制浆造纸及纸制品系列重点开发高得率和再生纤维原料造纸产品，专用信笺、特种笔记本等高附加值纸制品；在林产化工产品系列重点开发生产松香松节油、香精香料精深加工系列产品，生物质农药、生物质燃料等高附加值产品；在森林食品加工系列重点开发生产笋制品系列、森林饮品等产品。</w:t>
      </w:r>
    </w:p>
    <w:p w14:paraId="5AB5DDBB">
      <w:pPr>
        <w:autoSpaceDE w:val="0"/>
        <w:autoSpaceDN w:val="0"/>
        <w:adjustRightInd w:val="0"/>
        <w:snapToGrid w:val="0"/>
        <w:ind w:firstLine="618"/>
        <w:rPr>
          <w:rFonts w:ascii="仿宋_GB2312"/>
          <w:sz w:val="31"/>
          <w:szCs w:val="31"/>
          <w:shd w:val="clear" w:color="auto" w:fill="FFFFFF"/>
        </w:rPr>
      </w:pPr>
      <w:r>
        <w:rPr>
          <w:rFonts w:hint="eastAsia" w:ascii="仿宋_GB2312"/>
          <w:b/>
          <w:sz w:val="31"/>
          <w:szCs w:val="31"/>
          <w:shd w:val="clear" w:color="auto" w:fill="FFFFFF"/>
        </w:rPr>
        <w:t>发展纺织产业</w:t>
      </w:r>
      <w:r>
        <w:rPr>
          <w:rFonts w:hint="eastAsia" w:ascii="仿宋_GB2312"/>
          <w:sz w:val="31"/>
          <w:szCs w:val="31"/>
          <w:shd w:val="clear" w:color="auto" w:fill="FFFFFF"/>
        </w:rPr>
        <w:t>。推进纺织新型材料研发与产业化，力争通过招商引资、与科研院所合作等方式，在超临界二氧化碳无水染色技术的研发与产业化上取得突破，大幅降低纺织产业污染和单位产品能耗。拓展产业用纺织品，发展水溶性纤维、高强高模</w:t>
      </w:r>
      <w:r>
        <w:rPr>
          <w:rFonts w:ascii="仿宋_GB2312"/>
          <w:sz w:val="31"/>
          <w:szCs w:val="31"/>
          <w:shd w:val="clear" w:color="auto" w:fill="FFFFFF"/>
        </w:rPr>
        <w:t>PVA</w:t>
      </w:r>
      <w:r>
        <w:rPr>
          <w:rFonts w:hint="eastAsia" w:ascii="仿宋_GB2312"/>
          <w:sz w:val="31"/>
          <w:szCs w:val="31"/>
          <w:shd w:val="clear" w:color="auto" w:fill="FFFFFF"/>
        </w:rPr>
        <w:t>纤维等高性能纱线、织物。提高染整集中度，以通用三明产业园、尤溪轻纺高新产业园为重点，建设高端纺织产业园，强化项目孵化和招商，建设完善永安、尤溪两大染整集控区，争取突破无水染整技术，带动纺织产业链绿色健康发展。</w:t>
      </w:r>
    </w:p>
    <w:p w14:paraId="56C5ED33">
      <w:pPr>
        <w:pStyle w:val="5"/>
      </w:pPr>
      <w:bookmarkStart w:id="42" w:name="_Toc496795329"/>
      <w:bookmarkEnd w:id="42"/>
      <w:bookmarkStart w:id="43" w:name="_Toc496795330"/>
      <w:bookmarkEnd w:id="43"/>
      <w:bookmarkStart w:id="44" w:name="_Toc496795331"/>
      <w:bookmarkEnd w:id="44"/>
      <w:bookmarkStart w:id="45" w:name="_Toc496795332"/>
      <w:bookmarkEnd w:id="45"/>
      <w:bookmarkStart w:id="46" w:name="_Toc496795333"/>
      <w:bookmarkEnd w:id="46"/>
      <w:bookmarkStart w:id="47" w:name="_Toc496795334"/>
      <w:bookmarkEnd w:id="47"/>
      <w:bookmarkStart w:id="48" w:name="_Toc496795335"/>
      <w:bookmarkEnd w:id="48"/>
      <w:bookmarkStart w:id="49" w:name="_Toc496795336"/>
      <w:bookmarkEnd w:id="49"/>
      <w:bookmarkStart w:id="50" w:name="_Toc496795337"/>
      <w:bookmarkEnd w:id="50"/>
      <w:bookmarkStart w:id="51" w:name="_Toc496795338"/>
      <w:bookmarkEnd w:id="51"/>
      <w:bookmarkStart w:id="52" w:name="_Toc496795339"/>
      <w:bookmarkEnd w:id="52"/>
      <w:bookmarkStart w:id="53" w:name="_Toc524597407"/>
      <w:r>
        <w:rPr>
          <w:rFonts w:hint="eastAsia"/>
        </w:rPr>
        <w:t>（二）做大增量，推进新型低碳产业专业化规模化</w:t>
      </w:r>
      <w:bookmarkEnd w:id="53"/>
    </w:p>
    <w:p w14:paraId="1FC89F1A">
      <w:pPr>
        <w:autoSpaceDE w:val="0"/>
        <w:autoSpaceDN w:val="0"/>
        <w:adjustRightInd w:val="0"/>
        <w:snapToGrid w:val="0"/>
        <w:ind w:firstLine="640" w:firstLineChars="200"/>
        <w:rPr>
          <w:rFonts w:ascii="仿宋_GB2312"/>
          <w:szCs w:val="32"/>
          <w:lang w:val="zh-CN"/>
        </w:rPr>
      </w:pPr>
      <w:r>
        <w:rPr>
          <w:rFonts w:hint="eastAsia" w:ascii="仿宋_GB2312" w:cs="宋体"/>
          <w:kern w:val="0"/>
          <w:szCs w:val="32"/>
        </w:rPr>
        <w:t>以壮大产业规模、推动产业向专业化和价值链高端延伸为主攻方向，大力发展新材料、节能环保和生物医药等战略新兴产业和生态文化旅游业，为三明市产业低碳化发展注入新动力</w:t>
      </w:r>
      <w:r>
        <w:rPr>
          <w:rFonts w:hint="eastAsia" w:ascii="仿宋_GB2312"/>
          <w:szCs w:val="32"/>
          <w:lang w:val="zh-CN"/>
        </w:rPr>
        <w:t>。</w:t>
      </w:r>
    </w:p>
    <w:p w14:paraId="60C34C4B">
      <w:pPr>
        <w:pStyle w:val="6"/>
        <w:ind w:left="640" w:leftChars="200"/>
        <w:rPr>
          <w:rFonts w:ascii="仿宋_GB2312" w:cs="宋体"/>
          <w:kern w:val="0"/>
          <w:szCs w:val="32"/>
        </w:rPr>
      </w:pPr>
      <w:r>
        <w:rPr>
          <w:rFonts w:ascii="仿宋_GB2312" w:cs="宋体"/>
          <w:kern w:val="0"/>
          <w:szCs w:val="32"/>
        </w:rPr>
        <w:t>1.</w:t>
      </w:r>
      <w:r>
        <w:rPr>
          <w:rFonts w:hint="eastAsia" w:ascii="仿宋_GB2312" w:cs="宋体"/>
          <w:kern w:val="0"/>
          <w:szCs w:val="32"/>
        </w:rPr>
        <w:t>新材料产业</w:t>
      </w:r>
    </w:p>
    <w:p w14:paraId="5BA6E331">
      <w:pPr>
        <w:autoSpaceDE w:val="0"/>
        <w:autoSpaceDN w:val="0"/>
        <w:adjustRightInd w:val="0"/>
        <w:snapToGrid w:val="0"/>
        <w:ind w:firstLine="643" w:firstLineChars="200"/>
        <w:rPr>
          <w:rFonts w:ascii="仿宋_GB2312" w:cs="宋体"/>
          <w:kern w:val="0"/>
          <w:szCs w:val="32"/>
        </w:rPr>
      </w:pPr>
      <w:r>
        <w:rPr>
          <w:rFonts w:hint="eastAsia" w:ascii="仿宋_GB2312" w:cs="宋体"/>
          <w:b/>
          <w:kern w:val="0"/>
          <w:szCs w:val="32"/>
        </w:rPr>
        <w:t>发展稀土新材料产业</w:t>
      </w:r>
      <w:r>
        <w:rPr>
          <w:rFonts w:hint="eastAsia" w:ascii="仿宋_GB2312" w:cs="宋体"/>
          <w:kern w:val="0"/>
          <w:szCs w:val="32"/>
        </w:rPr>
        <w:t>。以三明稀土产业园为依托，深入推进与厦钨公司等市外稀土行业领先企业的合作，重点突破稀土分离冶炼环节，加快磁性材料、发光材料、催化材料、储氢材料、金属调质剂、稀土陶瓷等</w:t>
      </w:r>
      <w:r>
        <w:rPr>
          <w:rFonts w:ascii="仿宋_GB2312" w:cs="宋体"/>
          <w:kern w:val="0"/>
          <w:szCs w:val="32"/>
        </w:rPr>
        <w:t>6</w:t>
      </w:r>
      <w:r>
        <w:rPr>
          <w:rFonts w:hint="eastAsia" w:ascii="仿宋_GB2312" w:cs="宋体"/>
          <w:kern w:val="0"/>
          <w:szCs w:val="32"/>
        </w:rPr>
        <w:t>条产业链构建。</w:t>
      </w:r>
    </w:p>
    <w:p w14:paraId="54CC65CD">
      <w:pPr>
        <w:autoSpaceDE w:val="0"/>
        <w:autoSpaceDN w:val="0"/>
        <w:adjustRightInd w:val="0"/>
        <w:snapToGrid w:val="0"/>
        <w:ind w:firstLine="643" w:firstLineChars="200"/>
        <w:rPr>
          <w:rFonts w:ascii="仿宋_GB2312" w:cs="宋体"/>
          <w:kern w:val="0"/>
          <w:szCs w:val="32"/>
        </w:rPr>
      </w:pPr>
      <w:r>
        <w:rPr>
          <w:rFonts w:hint="eastAsia" w:ascii="仿宋_GB2312" w:cs="宋体"/>
          <w:b/>
          <w:kern w:val="0"/>
          <w:szCs w:val="32"/>
        </w:rPr>
        <w:t>发展氟新材料产业</w:t>
      </w:r>
      <w:r>
        <w:rPr>
          <w:rFonts w:hint="eastAsia" w:ascii="仿宋_GB2312" w:cs="宋体"/>
          <w:kern w:val="0"/>
          <w:szCs w:val="32"/>
        </w:rPr>
        <w:t>。延伸拓展无机氟化物、含氟医药、含氟新能源、含氟新型制冷剂、含氟精细化学品等高端领域，加快研发三元氟化盐系列产品、明溪全氟聚醚润滑油及含氟化学品、清流环保型制冷剂五氟乙烷等产品。加快三元黄砂、明溪、清流三个氟新材料产业专业园建设，带动产业规模化发展。</w:t>
      </w:r>
    </w:p>
    <w:p w14:paraId="7EA73D00">
      <w:pPr>
        <w:autoSpaceDE w:val="0"/>
        <w:autoSpaceDN w:val="0"/>
        <w:adjustRightInd w:val="0"/>
        <w:snapToGrid w:val="0"/>
        <w:ind w:firstLine="643" w:firstLineChars="200"/>
        <w:rPr>
          <w:rFonts w:ascii="仿宋_GB2312" w:cs="宋体"/>
          <w:kern w:val="0"/>
          <w:szCs w:val="32"/>
        </w:rPr>
      </w:pPr>
      <w:r>
        <w:rPr>
          <w:rFonts w:hint="eastAsia" w:ascii="仿宋_GB2312" w:cs="宋体"/>
          <w:b/>
          <w:kern w:val="0"/>
          <w:szCs w:val="32"/>
        </w:rPr>
        <w:t>发展石墨新材料产业</w:t>
      </w:r>
      <w:r>
        <w:rPr>
          <w:rFonts w:hint="eastAsia" w:ascii="仿宋_GB2312" w:cs="宋体"/>
          <w:kern w:val="0"/>
          <w:szCs w:val="32"/>
        </w:rPr>
        <w:t>。大力发展锂电池负极材料等静压石墨、核石墨、石墨烯，加快建立集采矿</w:t>
      </w:r>
      <w:r>
        <w:rPr>
          <w:rFonts w:ascii="仿宋_GB2312" w:cs="宋体"/>
          <w:kern w:val="0"/>
          <w:szCs w:val="32"/>
        </w:rPr>
        <w:t>—</w:t>
      </w:r>
      <w:r>
        <w:rPr>
          <w:rFonts w:hint="eastAsia" w:ascii="仿宋_GB2312" w:cs="宋体"/>
          <w:kern w:val="0"/>
          <w:szCs w:val="32"/>
        </w:rPr>
        <w:t>高纯石墨</w:t>
      </w:r>
      <w:r>
        <w:rPr>
          <w:rFonts w:ascii="仿宋_GB2312" w:cs="宋体"/>
          <w:kern w:val="0"/>
          <w:szCs w:val="32"/>
        </w:rPr>
        <w:t>—</w:t>
      </w:r>
      <w:r>
        <w:rPr>
          <w:rFonts w:hint="eastAsia" w:ascii="仿宋_GB2312" w:cs="宋体"/>
          <w:kern w:val="0"/>
          <w:szCs w:val="32"/>
        </w:rPr>
        <w:t>石墨产品</w:t>
      </w:r>
      <w:r>
        <w:rPr>
          <w:rFonts w:ascii="仿宋_GB2312" w:cs="宋体"/>
          <w:kern w:val="0"/>
          <w:szCs w:val="32"/>
        </w:rPr>
        <w:t>—</w:t>
      </w:r>
      <w:r>
        <w:rPr>
          <w:rFonts w:hint="eastAsia" w:ascii="仿宋_GB2312" w:cs="宋体"/>
          <w:kern w:val="0"/>
          <w:szCs w:val="32"/>
        </w:rPr>
        <w:t>石墨烯产品为一体的完整石墨产业链。加强招商引资力度，深化与大型企业集团、高校及科研机构的合作，加快引入石墨生产高新技术企业。</w:t>
      </w:r>
    </w:p>
    <w:p w14:paraId="5B3F3382">
      <w:pPr>
        <w:pStyle w:val="6"/>
        <w:ind w:left="640" w:leftChars="200"/>
        <w:rPr>
          <w:rFonts w:ascii="仿宋_GB2312" w:cs="宋体"/>
          <w:kern w:val="0"/>
          <w:szCs w:val="32"/>
        </w:rPr>
      </w:pPr>
      <w:r>
        <w:rPr>
          <w:rFonts w:ascii="仿宋_GB2312" w:cs="宋体"/>
          <w:kern w:val="0"/>
          <w:szCs w:val="32"/>
        </w:rPr>
        <w:t>2.</w:t>
      </w:r>
      <w:r>
        <w:rPr>
          <w:rFonts w:hint="eastAsia" w:ascii="仿宋_GB2312" w:cs="宋体"/>
          <w:kern w:val="0"/>
          <w:szCs w:val="32"/>
        </w:rPr>
        <w:t>节能环保产业</w:t>
      </w:r>
    </w:p>
    <w:p w14:paraId="040F1CF2">
      <w:pPr>
        <w:autoSpaceDE w:val="0"/>
        <w:autoSpaceDN w:val="0"/>
        <w:adjustRightInd w:val="0"/>
        <w:snapToGrid w:val="0"/>
        <w:ind w:firstLine="643" w:firstLineChars="200"/>
        <w:rPr>
          <w:rFonts w:ascii="仿宋_GB2312" w:cs="宋体"/>
          <w:kern w:val="0"/>
          <w:szCs w:val="32"/>
        </w:rPr>
      </w:pPr>
      <w:r>
        <w:rPr>
          <w:rFonts w:hint="eastAsia" w:ascii="仿宋_GB2312" w:cs="宋体"/>
          <w:b/>
          <w:kern w:val="0"/>
          <w:szCs w:val="32"/>
        </w:rPr>
        <w:t>发展节能环保技术与装备制造产业</w:t>
      </w:r>
      <w:r>
        <w:rPr>
          <w:rFonts w:hint="eastAsia" w:ascii="仿宋_GB2312" w:cs="宋体"/>
          <w:kern w:val="0"/>
          <w:szCs w:val="32"/>
        </w:rPr>
        <w:t>。节能领域重点发展太阳能光伏发电、</w:t>
      </w:r>
      <w:r>
        <w:rPr>
          <w:rFonts w:ascii="仿宋_GB2312" w:cs="宋体"/>
          <w:kern w:val="0"/>
          <w:szCs w:val="32"/>
        </w:rPr>
        <w:t>LED</w:t>
      </w:r>
      <w:r>
        <w:rPr>
          <w:rFonts w:hint="eastAsia" w:ascii="仿宋_GB2312" w:cs="宋体"/>
          <w:kern w:val="0"/>
          <w:szCs w:val="32"/>
        </w:rPr>
        <w:t>照明、新型建材和新能源汽车等高效节能产品。资源循环利用领域重点支持工业固体废弃物回收利用、危险废物安全处置、生活垃圾资源化处理等固体废物处理装置技术设备研发与制造。环保领域重点发展污水、垃圾处理、脱硫脱硝、高浓度有机废水治理和土壤修复、监测等先进环保技术和装备。</w:t>
      </w:r>
    </w:p>
    <w:p w14:paraId="68C687A0">
      <w:pPr>
        <w:autoSpaceDE w:val="0"/>
        <w:autoSpaceDN w:val="0"/>
        <w:adjustRightInd w:val="0"/>
        <w:snapToGrid w:val="0"/>
        <w:ind w:firstLine="643" w:firstLineChars="200"/>
        <w:rPr>
          <w:rFonts w:ascii="仿宋_GB2312" w:cs="宋体"/>
          <w:kern w:val="0"/>
          <w:szCs w:val="32"/>
        </w:rPr>
      </w:pPr>
      <w:r>
        <w:rPr>
          <w:rFonts w:hint="eastAsia" w:ascii="仿宋_GB2312" w:cs="宋体"/>
          <w:b/>
          <w:kern w:val="0"/>
          <w:szCs w:val="32"/>
        </w:rPr>
        <w:t>发展节能环保服务产业</w:t>
      </w:r>
      <w:r>
        <w:rPr>
          <w:rFonts w:hint="eastAsia" w:ascii="仿宋_GB2312" w:cs="宋体"/>
          <w:kern w:val="0"/>
          <w:szCs w:val="32"/>
        </w:rPr>
        <w:t>。引入培育一批节能环保第三方治理企业，创新投资</w:t>
      </w:r>
      <w:r>
        <w:rPr>
          <w:rFonts w:ascii="仿宋_GB2312" w:cs="宋体"/>
          <w:kern w:val="0"/>
          <w:szCs w:val="32"/>
        </w:rPr>
        <w:t>--</w:t>
      </w:r>
      <w:r>
        <w:rPr>
          <w:rFonts w:hint="eastAsia" w:ascii="仿宋_GB2312" w:cs="宋体"/>
          <w:kern w:val="0"/>
          <w:szCs w:val="32"/>
        </w:rPr>
        <w:t>建设</w:t>
      </w:r>
      <w:r>
        <w:rPr>
          <w:rFonts w:ascii="仿宋_GB2312" w:cs="宋体"/>
          <w:kern w:val="0"/>
          <w:szCs w:val="32"/>
        </w:rPr>
        <w:t>--</w:t>
      </w:r>
      <w:r>
        <w:rPr>
          <w:rFonts w:hint="eastAsia" w:ascii="仿宋_GB2312" w:cs="宋体"/>
          <w:kern w:val="0"/>
          <w:szCs w:val="32"/>
        </w:rPr>
        <w:t>运营</w:t>
      </w:r>
      <w:r>
        <w:rPr>
          <w:rFonts w:ascii="仿宋_GB2312" w:cs="宋体"/>
          <w:kern w:val="0"/>
          <w:szCs w:val="32"/>
        </w:rPr>
        <w:t>--</w:t>
      </w:r>
      <w:r>
        <w:rPr>
          <w:rFonts w:hint="eastAsia" w:ascii="仿宋_GB2312" w:cs="宋体"/>
          <w:kern w:val="0"/>
          <w:szCs w:val="32"/>
        </w:rPr>
        <w:t>移交</w:t>
      </w:r>
      <w:r>
        <w:rPr>
          <w:rFonts w:ascii="仿宋_GB2312" w:cs="宋体"/>
          <w:kern w:val="0"/>
          <w:szCs w:val="32"/>
        </w:rPr>
        <w:t>(BOT)</w:t>
      </w:r>
      <w:r>
        <w:rPr>
          <w:rFonts w:hint="eastAsia" w:ascii="仿宋_GB2312" w:cs="宋体"/>
          <w:kern w:val="0"/>
          <w:szCs w:val="32"/>
        </w:rPr>
        <w:t>、投资</w:t>
      </w:r>
      <w:r>
        <w:rPr>
          <w:rFonts w:ascii="仿宋_GB2312" w:cs="宋体"/>
          <w:kern w:val="0"/>
          <w:szCs w:val="32"/>
        </w:rPr>
        <w:t>--</w:t>
      </w:r>
      <w:r>
        <w:rPr>
          <w:rFonts w:hint="eastAsia" w:ascii="仿宋_GB2312" w:cs="宋体"/>
          <w:kern w:val="0"/>
          <w:szCs w:val="32"/>
        </w:rPr>
        <w:t>运营</w:t>
      </w:r>
      <w:r>
        <w:rPr>
          <w:rFonts w:ascii="仿宋_GB2312" w:cs="宋体"/>
          <w:kern w:val="0"/>
          <w:szCs w:val="32"/>
        </w:rPr>
        <w:t>--</w:t>
      </w:r>
      <w:r>
        <w:rPr>
          <w:rFonts w:hint="eastAsia" w:ascii="仿宋_GB2312" w:cs="宋体"/>
          <w:kern w:val="0"/>
          <w:szCs w:val="32"/>
        </w:rPr>
        <w:t>移交</w:t>
      </w:r>
      <w:r>
        <w:rPr>
          <w:rFonts w:ascii="仿宋_GB2312" w:cs="宋体"/>
          <w:kern w:val="0"/>
          <w:szCs w:val="32"/>
        </w:rPr>
        <w:t>(TOT)</w:t>
      </w:r>
      <w:r>
        <w:rPr>
          <w:rFonts w:hint="eastAsia" w:ascii="仿宋_GB2312" w:cs="宋体"/>
          <w:kern w:val="0"/>
          <w:szCs w:val="32"/>
        </w:rPr>
        <w:t>和托管运营及委托运营和技术指导与设备维护等多种商业形式，强化三明市生活污水、工业废水、除尘脱硫、工业废气、工业固体废物等环境污染治理设施的运营管理。培育节能环保咨询服务业，为高耗能、高污染行业企业提供与企业生产有关的节能环保技术咨询、管理体系咨询等服务。</w:t>
      </w:r>
    </w:p>
    <w:p w14:paraId="50B00678">
      <w:pPr>
        <w:pStyle w:val="6"/>
        <w:spacing w:line="600" w:lineRule="atLeast"/>
        <w:ind w:left="640" w:leftChars="200"/>
        <w:rPr>
          <w:rFonts w:ascii="仿宋_GB2312" w:cs="宋体"/>
          <w:kern w:val="0"/>
          <w:szCs w:val="32"/>
        </w:rPr>
      </w:pPr>
      <w:r>
        <w:rPr>
          <w:rFonts w:ascii="仿宋_GB2312" w:cs="宋体"/>
          <w:kern w:val="0"/>
          <w:szCs w:val="32"/>
        </w:rPr>
        <w:t>3.</w:t>
      </w:r>
      <w:r>
        <w:rPr>
          <w:rFonts w:hint="eastAsia" w:ascii="仿宋_GB2312" w:cs="宋体"/>
          <w:kern w:val="0"/>
          <w:szCs w:val="32"/>
        </w:rPr>
        <w:t>生物医药产业</w:t>
      </w:r>
    </w:p>
    <w:p w14:paraId="0B63B671">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发展天然植物药制造产业</w:t>
      </w:r>
      <w:r>
        <w:rPr>
          <w:rFonts w:hint="eastAsia" w:ascii="仿宋_GB2312" w:cs="宋体"/>
          <w:kern w:val="0"/>
          <w:szCs w:val="32"/>
        </w:rPr>
        <w:t>。推进厚朴、草珊瑚、雷公藤、金银花、铁皮石斛、金线莲、黄精、虎杖、茯苓、灵芝等道地特色药材规范化、规模化种植，延伸开发保健品、功能食品、美容护肤品等大健康产品。</w:t>
      </w:r>
    </w:p>
    <w:p w14:paraId="4EF0650C">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发展抗肿瘤药物制造产业</w:t>
      </w:r>
      <w:r>
        <w:rPr>
          <w:rFonts w:hint="eastAsia" w:ascii="仿宋_GB2312" w:cs="宋体"/>
          <w:kern w:val="0"/>
          <w:szCs w:val="32"/>
        </w:rPr>
        <w:t>。推进眼科系列抗生素新药、抗晚期癌症原研单抗类新药、单克隆抗体治疗肿瘤药物、人参皂苷纳米胶束载药系统、紫杉烷类抗肿瘤药物及含氟吸入式麻醉剂等新药研发，加快蕲蛇酶注射剂、痛血康胶囊、冠脉乐片等具备自主知识产权的本地药品和名优中成药二次开发。</w:t>
      </w:r>
    </w:p>
    <w:p w14:paraId="70BE645B">
      <w:pPr>
        <w:pStyle w:val="6"/>
        <w:spacing w:line="600" w:lineRule="atLeast"/>
        <w:ind w:left="640"/>
        <w:rPr>
          <w:rFonts w:ascii="仿宋_GB2312" w:cs="宋体"/>
          <w:kern w:val="0"/>
        </w:rPr>
      </w:pPr>
      <w:r>
        <w:t>4.</w:t>
      </w:r>
      <w:r>
        <w:rPr>
          <w:rFonts w:hint="eastAsia"/>
        </w:rPr>
        <w:t>生态文化旅游业</w:t>
      </w:r>
    </w:p>
    <w:p w14:paraId="1A2C596B">
      <w:pPr>
        <w:autoSpaceDE w:val="0"/>
        <w:autoSpaceDN w:val="0"/>
        <w:adjustRightInd w:val="0"/>
        <w:snapToGrid w:val="0"/>
        <w:spacing w:line="600" w:lineRule="atLeast"/>
        <w:ind w:firstLine="643" w:firstLineChars="200"/>
        <w:rPr>
          <w:b/>
        </w:rPr>
      </w:pPr>
      <w:r>
        <w:rPr>
          <w:rFonts w:hint="eastAsia"/>
          <w:b/>
        </w:rPr>
        <w:t>打造生态文化旅游胜地</w:t>
      </w:r>
      <w:r>
        <w:rPr>
          <w:rFonts w:hint="eastAsia"/>
        </w:rPr>
        <w:t>。</w:t>
      </w:r>
    </w:p>
    <w:p w14:paraId="335DD31E">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整合提升绿野青山、源头活水、美中胜景的资源优势和独具特色的“五源”文化（闽江源、闽人源、闽学源、客家源、长征源），新建</w:t>
      </w:r>
      <w:r>
        <w:rPr>
          <w:rFonts w:ascii="仿宋_GB2312" w:cs="宋体"/>
          <w:kern w:val="0"/>
          <w:szCs w:val="32"/>
        </w:rPr>
        <w:t>2</w:t>
      </w:r>
      <w:r>
        <w:rPr>
          <w:rFonts w:hint="eastAsia" w:ascii="仿宋_GB2312" w:cs="宋体"/>
          <w:kern w:val="0"/>
          <w:szCs w:val="32"/>
        </w:rPr>
        <w:t>家以上国家</w:t>
      </w:r>
      <w:r>
        <w:rPr>
          <w:rFonts w:ascii="仿宋_GB2312" w:cs="宋体"/>
          <w:kern w:val="0"/>
          <w:szCs w:val="32"/>
        </w:rPr>
        <w:t>5A</w:t>
      </w:r>
      <w:r>
        <w:rPr>
          <w:rFonts w:hint="eastAsia" w:ascii="仿宋_GB2312" w:cs="宋体"/>
          <w:kern w:val="0"/>
          <w:szCs w:val="32"/>
        </w:rPr>
        <w:t>级旅游景区、</w:t>
      </w:r>
      <w:r>
        <w:rPr>
          <w:rFonts w:ascii="仿宋_GB2312" w:cs="宋体"/>
          <w:kern w:val="0"/>
          <w:szCs w:val="32"/>
        </w:rPr>
        <w:t>5</w:t>
      </w:r>
      <w:r>
        <w:rPr>
          <w:rFonts w:hint="eastAsia" w:ascii="仿宋_GB2312" w:cs="宋体"/>
          <w:kern w:val="0"/>
          <w:szCs w:val="32"/>
        </w:rPr>
        <w:t>家以上</w:t>
      </w:r>
      <w:r>
        <w:rPr>
          <w:rFonts w:ascii="仿宋_GB2312" w:cs="宋体"/>
          <w:kern w:val="0"/>
          <w:szCs w:val="32"/>
        </w:rPr>
        <w:t>4A</w:t>
      </w:r>
      <w:r>
        <w:rPr>
          <w:rFonts w:hint="eastAsia" w:ascii="仿宋_GB2312" w:cs="宋体"/>
          <w:kern w:val="0"/>
          <w:szCs w:val="32"/>
        </w:rPr>
        <w:t>级旅游景区，打响世界自然遗产和世界地质公园品牌。突出“深呼吸、慢生活、大健康”主题，开发“深呼吸”旅游系列产品，加快泰宁国家级旅游度假区、三明郊野国家地质公园建设，打造清新福建生态旅游核心区。</w:t>
      </w:r>
    </w:p>
    <w:p w14:paraId="290DDE3D">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完善旅游公共服务体系，创建智慧旅游城市，提升旅游服务品质，重点推进“旅游景区最后一公里”、旅游集散服务中心、汽车露营地、高速公路服务区旅游休闲驿站、旅游特色街区等项目建设，建立线上线下一体化智慧旅游服务平台，推动泰宁县等创建全国旅游标准化示范县。</w:t>
      </w:r>
    </w:p>
    <w:p w14:paraId="44D73CF4">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培育旅游</w:t>
      </w:r>
      <w:r>
        <w:rPr>
          <w:rFonts w:ascii="仿宋_GB2312" w:cs="宋体"/>
          <w:b/>
          <w:kern w:val="0"/>
          <w:szCs w:val="32"/>
        </w:rPr>
        <w:t>+</w:t>
      </w:r>
      <w:r>
        <w:rPr>
          <w:rFonts w:hint="eastAsia" w:ascii="仿宋_GB2312" w:cs="宋体"/>
          <w:b/>
          <w:kern w:val="0"/>
          <w:szCs w:val="32"/>
        </w:rPr>
        <w:t>健康养老产业</w:t>
      </w:r>
      <w:r>
        <w:rPr>
          <w:rFonts w:hint="eastAsia" w:ascii="仿宋_GB2312" w:cs="宋体"/>
          <w:kern w:val="0"/>
          <w:szCs w:val="32"/>
        </w:rPr>
        <w:t>。牢牢把握“健康中国”建设发展机遇，进一步发挥青山绿水生态优势，围绕医疗和康复护理、中医药医疗保健、健康养老、健康保险、健康旅游、体育健身、健康咨询、第三方健康服务等重点领域，推进休闲养生、特色医疗等健康养老服务基地建设，推动泰宁打造华东地区知名的健康养老基地。</w:t>
      </w:r>
    </w:p>
    <w:p w14:paraId="4242BBC0">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发展休闲农业产业</w:t>
      </w:r>
      <w:r>
        <w:rPr>
          <w:rFonts w:hint="eastAsia" w:ascii="仿宋_GB2312" w:cs="宋体"/>
          <w:kern w:val="0"/>
          <w:szCs w:val="32"/>
        </w:rPr>
        <w:t>。以休闲消费为导向，把乡村旅游与扶贫开发有机结合，加大农业招商引资力度，积极引导农业龙头企业、工商企业、旅游企业投资开发休闲农业，通过资本嫁接和引入先进管理模式，培育一批拥有自主品牌、示范带动作用大的休闲农业企业，着力打造都市休闲农业、县域休闲农业、生态养生休闲产业、特色旅游休闲农业四大休闲农业产业带。</w:t>
      </w:r>
    </w:p>
    <w:p w14:paraId="506C418C">
      <w:pPr>
        <w:pStyle w:val="5"/>
      </w:pPr>
      <w:bookmarkStart w:id="54" w:name="_Toc496795347"/>
      <w:bookmarkEnd w:id="54"/>
      <w:bookmarkStart w:id="55" w:name="_Toc496795348"/>
      <w:bookmarkEnd w:id="55"/>
      <w:bookmarkStart w:id="56" w:name="_Toc496795349"/>
      <w:bookmarkEnd w:id="56"/>
      <w:bookmarkStart w:id="57" w:name="_Toc496795350"/>
      <w:bookmarkEnd w:id="57"/>
      <w:bookmarkStart w:id="58" w:name="_Toc496795351"/>
      <w:bookmarkEnd w:id="58"/>
      <w:bookmarkStart w:id="59" w:name="_Toc496795352"/>
      <w:bookmarkEnd w:id="59"/>
      <w:bookmarkStart w:id="60" w:name="_Toc496795353"/>
      <w:bookmarkEnd w:id="60"/>
      <w:bookmarkStart w:id="61" w:name="_Toc496795354"/>
      <w:bookmarkEnd w:id="61"/>
      <w:bookmarkStart w:id="62" w:name="_Toc496795355"/>
      <w:bookmarkEnd w:id="62"/>
      <w:bookmarkStart w:id="63" w:name="_Toc496795356"/>
      <w:bookmarkEnd w:id="63"/>
      <w:bookmarkStart w:id="64" w:name="_Toc524597408"/>
      <w:r>
        <w:rPr>
          <w:rFonts w:hint="eastAsia"/>
        </w:rPr>
        <w:t>（三）创新驱动，打造三明低碳双创基地</w:t>
      </w:r>
      <w:bookmarkEnd w:id="64"/>
    </w:p>
    <w:p w14:paraId="6EF620CC">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以推进国家小微企业创业创新基地城市与国家第三批低碳城市示范工作为契机，建设由低碳主管部门指导、多方参与的三明低碳双创基地，整合资源优势与创新要素，构建政策咨询、技术创新、平台搭建、能力培训、绿色金融、中介服务等多元化功能与服务，为全方位推进三明市低碳建设的技术创新、品牌创新、商业模式创新提供支撑。</w:t>
      </w:r>
    </w:p>
    <w:p w14:paraId="7BDCC16D">
      <w:pPr>
        <w:pStyle w:val="6"/>
        <w:spacing w:line="600" w:lineRule="atLeast"/>
        <w:ind w:left="640"/>
      </w:pPr>
      <w:r>
        <w:t>1.</w:t>
      </w:r>
      <w:r>
        <w:rPr>
          <w:rFonts w:hint="eastAsia"/>
        </w:rPr>
        <w:t>明确目标定位</w:t>
      </w:r>
    </w:p>
    <w:p w14:paraId="0B93E026">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三明市低碳双创基地将借助和整合相关机构的智力、技术、资金等优势，以持续推进低碳城市建设，积极培养低碳发展的双创人才和践行创新创业，打造新的经济增长点，进而推动三明市低碳发展进程为目标，优化低碳主管政府部门决策，积极引导企业以柔性合作模式加强与国内外人才开展合作，快速提升企业低碳创新能力，拓展低碳与绿色金融投融资渠道，加强低碳科研成果转化，展示三明市低碳发展成果，加快推进创新驱动低碳发展格局的形成。</w:t>
      </w:r>
    </w:p>
    <w:p w14:paraId="56756590">
      <w:pPr>
        <w:pStyle w:val="6"/>
        <w:spacing w:line="600" w:lineRule="atLeast"/>
        <w:ind w:left="640"/>
      </w:pPr>
      <w:r>
        <w:t>2.</w:t>
      </w:r>
      <w:r>
        <w:rPr>
          <w:rFonts w:hint="eastAsia"/>
        </w:rPr>
        <w:t>设计建设内容</w:t>
      </w:r>
    </w:p>
    <w:p w14:paraId="09A64F61">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基于三明市低碳双创基地的目标定位，以“政府推动、市场运作、创新驱动、价值输出、资源整合”为原则，紧紧围绕政府要求，坚持多元参与、多形式运营，增强基地可持续发展能力；坚持提高企业创新主体意识，并充分发挥业内专家、研究机构、行业协会、金融机构等在人才及研发方面的优势，协助园区内乃至三明市企业在区域发展低碳化和产业低碳化进程中把握机遇，打造低碳政策服务中心、低碳协同合作创新中心、低碳双创公共服务中心、低碳双创金融服务中心、低碳科技中介服务中心、低碳建设成果展示中心等“六个中心”。</w:t>
      </w:r>
    </w:p>
    <w:p w14:paraId="01D73FEF">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建设低碳政策研究服务中心</w:t>
      </w:r>
      <w:r>
        <w:rPr>
          <w:rFonts w:hint="eastAsia" w:ascii="仿宋_GB2312" w:cs="宋体"/>
          <w:kern w:val="0"/>
          <w:szCs w:val="32"/>
        </w:rPr>
        <w:t>。协助政府开展生态文明及低碳领域配套政策的跟踪、研究、设计，参与低碳产业发展的配套规划及政策设计，支撑三明市开展低碳发展体制机制创新工作以及生态补偿、用能权交易等生态文明领域制度建设工作。</w:t>
      </w:r>
    </w:p>
    <w:p w14:paraId="2B4350D6">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建设低碳协同合作创新中心</w:t>
      </w:r>
      <w:r>
        <w:rPr>
          <w:rFonts w:hint="eastAsia" w:ascii="仿宋_GB2312" w:cs="宋体"/>
          <w:kern w:val="0"/>
          <w:szCs w:val="32"/>
        </w:rPr>
        <w:t>。研究低碳协同合作创新链构建激励方式与政策，完善低碳科技资源共享机制，协助行业骨干企业与科研院所、高等学校联合组建低碳技术研发平台和产业低碳技术创新联盟，重点加强生态治理、食品安全、绿色生产等技术推广应用。</w:t>
      </w:r>
    </w:p>
    <w:p w14:paraId="6DB44308">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建设低碳双创公共服务中心</w:t>
      </w:r>
      <w:r>
        <w:rPr>
          <w:rFonts w:hint="eastAsia" w:ascii="仿宋_GB2312" w:cs="宋体"/>
          <w:kern w:val="0"/>
          <w:szCs w:val="32"/>
        </w:rPr>
        <w:t>。搭建低碳科技成果转化和技术转移交易平台等综合窗口服务平台和网上技术中心，促进国内外、台港澳低碳科技成果到三明市交易转化，为基地企业提供领域内的各类政策措施信息并协助其申请低碳领域的各类政策支持，协助开展面向各级政府部门的生态文明和低碳管理体系建设和专项培训，举办企业低碳从业人员职业培训和技能培训，加强低碳双创企业人才培养和能力建设。</w:t>
      </w:r>
    </w:p>
    <w:p w14:paraId="06119D9D">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建设低碳双创金融服务中心</w:t>
      </w:r>
      <w:r>
        <w:rPr>
          <w:rFonts w:hint="eastAsia" w:ascii="仿宋_GB2312" w:cs="宋体"/>
          <w:kern w:val="0"/>
          <w:szCs w:val="32"/>
        </w:rPr>
        <w:t>。研究三明市绿色金融创新方向和具体模式，协助政府与基地设计配套政策措施，研究与推广低碳领域投融资机构的建设运营模式，引导金融机构在基地开发设立孵化器种子基金、创业创新天使基金、众筹平台等新兴金融业态。</w:t>
      </w:r>
    </w:p>
    <w:p w14:paraId="39964D93">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建设低碳科技中介服务中心</w:t>
      </w:r>
      <w:r>
        <w:rPr>
          <w:rFonts w:hint="eastAsia" w:ascii="仿宋_GB2312" w:cs="宋体"/>
          <w:kern w:val="0"/>
          <w:szCs w:val="32"/>
        </w:rPr>
        <w:t>。制定低碳科技中介机构入驻基地激励机制，研究低碳科技中介机构企业化运作改革，培育与集聚技术交易、咨询评估、科技金融、研发设计、知识产权等方面的重点低碳科技中介服务机构，搭建企业与中介服务机构交流合作的线上线下平台。</w:t>
      </w:r>
    </w:p>
    <w:p w14:paraId="48A7CB1B">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建设低碳建设成果展示中心</w:t>
      </w:r>
      <w:r>
        <w:rPr>
          <w:rFonts w:hint="eastAsia" w:ascii="仿宋_GB2312" w:cs="宋体"/>
          <w:kern w:val="0"/>
          <w:szCs w:val="32"/>
        </w:rPr>
        <w:t>。协助政府定期总结低碳建设成果，支持“全国低碳日”等主题活动策划实施、低碳工作常态化宣传展示、“清新三明”等绿色名片打造宣传，积极争取低碳环保相关教育基地称号，打造三明市低碳城市建设对外宣传窗口。</w:t>
      </w:r>
    </w:p>
    <w:p w14:paraId="6CCBF608">
      <w:pPr>
        <w:pStyle w:val="6"/>
        <w:spacing w:line="600" w:lineRule="atLeast"/>
        <w:ind w:left="640"/>
      </w:pPr>
      <w:r>
        <w:t>3.</w:t>
      </w:r>
      <w:r>
        <w:rPr>
          <w:rFonts w:hint="eastAsia"/>
        </w:rPr>
        <w:t>落实建设路径</w:t>
      </w:r>
    </w:p>
    <w:p w14:paraId="331831AF">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加强顶层设计</w:t>
      </w:r>
      <w:r>
        <w:rPr>
          <w:rFonts w:hint="eastAsia" w:ascii="仿宋_GB2312" w:cs="宋体"/>
          <w:kern w:val="0"/>
          <w:szCs w:val="32"/>
        </w:rPr>
        <w:t>。在三明市低碳主管部门的指导下，制定专人负责基地顶层设计工作，充分论证基地建设的背景、必要性、可行性、发展规划、建设内容、运营模式、组织机构等内容，以此指导基地各项工作的开展方向和框架；编制基地备案申请材料，推进基地正式备案；编制基地具体建设方案与工作方案，明确各创建单位的责任分工、基地建设经费来源等各项基地筹建基础工作。</w:t>
      </w:r>
    </w:p>
    <w:p w14:paraId="24D3DCA4">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重视要素集聚</w:t>
      </w:r>
      <w:r>
        <w:rPr>
          <w:rFonts w:hint="eastAsia" w:ascii="仿宋_GB2312" w:cs="宋体"/>
          <w:kern w:val="0"/>
          <w:szCs w:val="32"/>
        </w:rPr>
        <w:t>。紧紧把握人才、产业关键环节企业及资本等低碳双创要素，在建设初期引入包括生态文明和低碳领域国内外智库机构、国家低碳领域的相关协会、中科院大学双创学院等低碳双创机构、人保部低碳领域职业培训证书等低碳教育资源、有能力组建低碳产业基金的金融机构等资源，并联合机科院海西分院、三钢省级企业技术中心等三明市内具有孵化器开发能力、平台建设和信息服务能力、投融资能力以及低碳产品和技术的企业和组织共同合作开发。</w:t>
      </w:r>
    </w:p>
    <w:p w14:paraId="784C5C89">
      <w:pPr>
        <w:pStyle w:val="4"/>
      </w:pPr>
      <w:bookmarkStart w:id="65" w:name="_Toc524597409"/>
      <w:r>
        <w:rPr>
          <w:rFonts w:hint="eastAsia"/>
        </w:rPr>
        <w:t>“建美一座城市”，推动城镇化低碳发展</w:t>
      </w:r>
      <w:bookmarkEnd w:id="65"/>
    </w:p>
    <w:p w14:paraId="78990F3F">
      <w:pPr>
        <w:pStyle w:val="5"/>
      </w:pPr>
      <w:bookmarkStart w:id="66" w:name="_Toc524597410"/>
      <w:r>
        <w:rPr>
          <w:rFonts w:hint="eastAsia"/>
        </w:rPr>
        <w:t>（一）建设低碳能源保障体系</w:t>
      </w:r>
      <w:bookmarkEnd w:id="66"/>
    </w:p>
    <w:p w14:paraId="2E0026DF">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以能源发展方式转变和清洁低碳转型为主线，积极推进清洁替代和电能替代，促进煤炭清洁高效开发利用，构建清洁高效、多元互补、城乡协调的低碳能源保障体系。到</w:t>
      </w:r>
      <w:r>
        <w:rPr>
          <w:rFonts w:ascii="仿宋_GB2312" w:cs="宋体"/>
          <w:kern w:val="0"/>
          <w:szCs w:val="32"/>
        </w:rPr>
        <w:t>2020</w:t>
      </w:r>
      <w:r>
        <w:rPr>
          <w:rFonts w:hint="eastAsia" w:ascii="仿宋_GB2312" w:cs="宋体"/>
          <w:kern w:val="0"/>
          <w:szCs w:val="32"/>
        </w:rPr>
        <w:t>年，非化石能源消费比重提高到</w:t>
      </w:r>
      <w:r>
        <w:rPr>
          <w:rFonts w:ascii="仿宋_GB2312" w:cs="宋体"/>
          <w:kern w:val="0"/>
          <w:szCs w:val="32"/>
        </w:rPr>
        <w:t>19%</w:t>
      </w:r>
      <w:r>
        <w:rPr>
          <w:rFonts w:hint="eastAsia" w:ascii="仿宋_GB2312" w:cs="宋体"/>
          <w:kern w:val="0"/>
          <w:szCs w:val="32"/>
        </w:rPr>
        <w:t>。</w:t>
      </w:r>
    </w:p>
    <w:p w14:paraId="66E60737">
      <w:pPr>
        <w:pStyle w:val="6"/>
        <w:spacing w:line="600" w:lineRule="atLeast"/>
        <w:ind w:left="640"/>
      </w:pPr>
      <w:r>
        <w:t>1.</w:t>
      </w:r>
      <w:r>
        <w:rPr>
          <w:rFonts w:hint="eastAsia"/>
        </w:rPr>
        <w:t>强化煤炭清洁高效开发利用</w:t>
      </w:r>
    </w:p>
    <w:p w14:paraId="35743FA3">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科学绿色开采煤炭</w:t>
      </w:r>
      <w:r>
        <w:rPr>
          <w:rFonts w:hint="eastAsia" w:ascii="仿宋_GB2312" w:cs="宋体"/>
          <w:kern w:val="0"/>
          <w:szCs w:val="32"/>
        </w:rPr>
        <w:t>。以推进煤矿企业兼并重组、提高产业集中度为工作切入点，合理控制煤炭开发规模和强度。“十三五”期间，推进</w:t>
      </w:r>
      <w:r>
        <w:rPr>
          <w:rFonts w:ascii="仿宋_GB2312" w:cs="宋体"/>
          <w:kern w:val="0"/>
          <w:szCs w:val="32"/>
        </w:rPr>
        <w:t>26</w:t>
      </w:r>
      <w:r>
        <w:rPr>
          <w:rFonts w:hint="eastAsia" w:ascii="仿宋_GB2312" w:cs="宋体"/>
          <w:kern w:val="0"/>
          <w:szCs w:val="32"/>
        </w:rPr>
        <w:t>处煤矿淘汰的工作计划，实现淘汰落后产能</w:t>
      </w:r>
      <w:r>
        <w:rPr>
          <w:rFonts w:ascii="仿宋_GB2312" w:cs="宋体"/>
          <w:kern w:val="0"/>
          <w:szCs w:val="32"/>
        </w:rPr>
        <w:t>177</w:t>
      </w:r>
      <w:r>
        <w:rPr>
          <w:rFonts w:hint="eastAsia" w:ascii="仿宋_GB2312" w:cs="宋体"/>
          <w:kern w:val="0"/>
          <w:szCs w:val="32"/>
        </w:rPr>
        <w:t>万吨</w:t>
      </w:r>
      <w:r>
        <w:rPr>
          <w:rFonts w:ascii="仿宋_GB2312" w:cs="宋体"/>
          <w:kern w:val="0"/>
          <w:szCs w:val="32"/>
        </w:rPr>
        <w:t>/</w:t>
      </w:r>
      <w:r>
        <w:rPr>
          <w:rFonts w:hint="eastAsia" w:ascii="仿宋_GB2312" w:cs="宋体"/>
          <w:kern w:val="0"/>
          <w:szCs w:val="32"/>
        </w:rPr>
        <w:t>年。以发展绿色矿业为目标，加强煤炭节能开采。加快高耗能设备节能改造，采用变频调速等节能技术改造煤矿风机、水泵、提升机、空气压缩机等四类设备；积极探索创新技术与管理方法，加强煤矿开采资源回收利用，到</w:t>
      </w:r>
      <w:r>
        <w:rPr>
          <w:rFonts w:ascii="仿宋_GB2312" w:cs="宋体"/>
          <w:kern w:val="0"/>
          <w:szCs w:val="32"/>
        </w:rPr>
        <w:t>2020</w:t>
      </w:r>
      <w:r>
        <w:rPr>
          <w:rFonts w:hint="eastAsia" w:ascii="仿宋_GB2312" w:cs="宋体"/>
          <w:kern w:val="0"/>
          <w:szCs w:val="32"/>
        </w:rPr>
        <w:t>年，中小型煤矿矿井的资源回收率达到</w:t>
      </w:r>
      <w:r>
        <w:rPr>
          <w:rFonts w:ascii="仿宋_GB2312" w:cs="宋体"/>
          <w:kern w:val="0"/>
          <w:szCs w:val="32"/>
        </w:rPr>
        <w:t>65%</w:t>
      </w:r>
      <w:r>
        <w:rPr>
          <w:rFonts w:hint="eastAsia" w:ascii="仿宋_GB2312" w:cs="宋体"/>
          <w:kern w:val="0"/>
          <w:szCs w:val="32"/>
        </w:rPr>
        <w:t>，矿井采区回采率达到</w:t>
      </w:r>
      <w:r>
        <w:rPr>
          <w:rFonts w:ascii="仿宋_GB2312" w:cs="宋体"/>
          <w:kern w:val="0"/>
          <w:szCs w:val="32"/>
        </w:rPr>
        <w:t>85%</w:t>
      </w:r>
      <w:r>
        <w:rPr>
          <w:rFonts w:hint="eastAsia" w:ascii="仿宋_GB2312" w:cs="宋体"/>
          <w:kern w:val="0"/>
          <w:szCs w:val="32"/>
        </w:rPr>
        <w:t>以上。</w:t>
      </w:r>
    </w:p>
    <w:p w14:paraId="49899F38">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实施煤电升级改造行动计划</w:t>
      </w:r>
      <w:r>
        <w:rPr>
          <w:rFonts w:hint="eastAsia" w:ascii="仿宋_GB2312" w:cs="宋体"/>
          <w:kern w:val="0"/>
          <w:szCs w:val="32"/>
        </w:rPr>
        <w:t>。实施火电行业重点节能技术，建设高参数大容量低煤耗燃煤机组、高效洁净煤发电机组，进一步提高大容量机组比例，继续淘汰高能耗、低效率的中小火电机组。现役燃煤发电机组改造后平均供电煤耗均低于每千瓦时</w:t>
      </w:r>
      <w:r>
        <w:rPr>
          <w:rFonts w:ascii="仿宋_GB2312" w:cs="宋体"/>
          <w:kern w:val="0"/>
          <w:szCs w:val="32"/>
        </w:rPr>
        <w:t>310</w:t>
      </w:r>
      <w:r>
        <w:rPr>
          <w:rFonts w:hint="eastAsia" w:ascii="仿宋_GB2312" w:cs="宋体"/>
          <w:kern w:val="0"/>
          <w:szCs w:val="32"/>
        </w:rPr>
        <w:t>克标准煤；新建燃煤发电项目平均供电煤耗低于每千瓦时</w:t>
      </w:r>
      <w:r>
        <w:rPr>
          <w:rFonts w:ascii="仿宋_GB2312" w:cs="宋体"/>
          <w:kern w:val="0"/>
          <w:szCs w:val="32"/>
        </w:rPr>
        <w:t>300</w:t>
      </w:r>
      <w:r>
        <w:rPr>
          <w:rFonts w:hint="eastAsia" w:ascii="仿宋_GB2312" w:cs="宋体"/>
          <w:kern w:val="0"/>
          <w:szCs w:val="32"/>
        </w:rPr>
        <w:t>克标准煤，达到超低排放水平。</w:t>
      </w:r>
    </w:p>
    <w:p w14:paraId="7FA71A3E">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推进煤炭利用清洁化集约化</w:t>
      </w:r>
      <w:r>
        <w:rPr>
          <w:rFonts w:hint="eastAsia" w:ascii="仿宋_GB2312" w:cs="宋体"/>
          <w:kern w:val="0"/>
          <w:szCs w:val="32"/>
        </w:rPr>
        <w:t>。优先发展热电联产、冷热电联供，推进工业园区进行集中供热，原则上不再建设自备电厂。积极推动大唐国际沙县热电联产项目前期工作进展，力争“十三五”有所突破。实施发展冷热电联供等分布式能源，保障生产生活用能需求，大幅减少煤炭分散直接燃烧，终端煤炭消费中发电用煤比重提高至</w:t>
      </w:r>
      <w:r>
        <w:rPr>
          <w:rFonts w:ascii="仿宋_GB2312" w:cs="宋体"/>
          <w:kern w:val="0"/>
          <w:szCs w:val="32"/>
        </w:rPr>
        <w:t>60%</w:t>
      </w:r>
      <w:r>
        <w:rPr>
          <w:rFonts w:hint="eastAsia" w:ascii="仿宋_GB2312" w:cs="宋体"/>
          <w:kern w:val="0"/>
          <w:szCs w:val="32"/>
        </w:rPr>
        <w:t>以上。</w:t>
      </w:r>
    </w:p>
    <w:p w14:paraId="7365D5F3">
      <w:pPr>
        <w:pStyle w:val="6"/>
        <w:spacing w:line="600" w:lineRule="atLeast"/>
        <w:ind w:left="640"/>
      </w:pPr>
      <w:r>
        <w:t>2.</w:t>
      </w:r>
      <w:r>
        <w:rPr>
          <w:rFonts w:hint="eastAsia"/>
        </w:rPr>
        <w:t>加快发展清洁能源</w:t>
      </w:r>
    </w:p>
    <w:p w14:paraId="7BE29876">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安全稳妥发展核电</w:t>
      </w:r>
      <w:r>
        <w:rPr>
          <w:rFonts w:hint="eastAsia" w:ascii="仿宋_GB2312" w:cs="宋体"/>
          <w:kern w:val="0"/>
          <w:szCs w:val="32"/>
        </w:rPr>
        <w:t>。以采用国际最高安全标准、确保安全为前提，继续推进三明快堆核电站项目前期工作，力争尽早立项，早日开工建设。</w:t>
      </w:r>
    </w:p>
    <w:p w14:paraId="5A0793F5">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加强天然气基础设施建设</w:t>
      </w:r>
      <w:r>
        <w:rPr>
          <w:rFonts w:hint="eastAsia" w:ascii="仿宋_GB2312" w:cs="宋体"/>
          <w:kern w:val="0"/>
          <w:szCs w:val="32"/>
        </w:rPr>
        <w:t>。加快建设天然气管网，有序推进海西天然气管网三明段一期工程、中石化新疆煤制天然气外输管道三明段、中石油西气东输三线龙岩</w:t>
      </w:r>
      <w:r>
        <w:rPr>
          <w:rFonts w:ascii="仿宋_GB2312" w:cs="宋体"/>
          <w:kern w:val="0"/>
          <w:szCs w:val="32"/>
        </w:rPr>
        <w:t>—</w:t>
      </w:r>
      <w:r>
        <w:rPr>
          <w:rFonts w:hint="eastAsia" w:ascii="仿宋_GB2312" w:cs="宋体"/>
          <w:kern w:val="0"/>
          <w:szCs w:val="32"/>
        </w:rPr>
        <w:t>三明</w:t>
      </w:r>
      <w:r>
        <w:rPr>
          <w:rFonts w:ascii="仿宋_GB2312" w:cs="宋体"/>
          <w:kern w:val="0"/>
          <w:szCs w:val="32"/>
        </w:rPr>
        <w:t>—</w:t>
      </w:r>
      <w:r>
        <w:rPr>
          <w:rFonts w:hint="eastAsia" w:ascii="仿宋_GB2312" w:cs="宋体"/>
          <w:kern w:val="0"/>
          <w:szCs w:val="32"/>
        </w:rPr>
        <w:t>南平支干线项目等工程实施。加快天然气接收站等天然气下游产业项目建设，推动城市天然气管道建设，力争到</w:t>
      </w:r>
      <w:r>
        <w:rPr>
          <w:rFonts w:ascii="仿宋_GB2312" w:cs="宋体"/>
          <w:kern w:val="0"/>
          <w:szCs w:val="32"/>
        </w:rPr>
        <w:t>2020</w:t>
      </w:r>
      <w:r>
        <w:rPr>
          <w:rFonts w:hint="eastAsia" w:ascii="仿宋_GB2312" w:cs="宋体"/>
          <w:kern w:val="0"/>
          <w:szCs w:val="32"/>
        </w:rPr>
        <w:t>年全市输气管线达</w:t>
      </w:r>
      <w:r>
        <w:rPr>
          <w:rFonts w:ascii="仿宋_GB2312" w:cs="宋体"/>
          <w:kern w:val="0"/>
          <w:szCs w:val="32"/>
        </w:rPr>
        <w:t>683</w:t>
      </w:r>
      <w:r>
        <w:rPr>
          <w:rFonts w:hint="eastAsia" w:ascii="仿宋_GB2312" w:cs="宋体"/>
          <w:kern w:val="0"/>
          <w:szCs w:val="32"/>
        </w:rPr>
        <w:t>公里左右，提高天然气管线覆盖率。</w:t>
      </w:r>
    </w:p>
    <w:p w14:paraId="33303195">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积极推进建设抽水蓄能电站</w:t>
      </w:r>
      <w:r>
        <w:rPr>
          <w:rFonts w:hint="eastAsia" w:ascii="仿宋_GB2312" w:cs="宋体"/>
          <w:kern w:val="0"/>
          <w:szCs w:val="32"/>
        </w:rPr>
        <w:t>。做好梅列</w:t>
      </w:r>
      <w:r>
        <w:rPr>
          <w:rFonts w:ascii="仿宋_GB2312" w:cs="宋体"/>
          <w:kern w:val="0"/>
          <w:szCs w:val="32"/>
        </w:rPr>
        <w:t>4</w:t>
      </w:r>
      <w:r>
        <w:rPr>
          <w:rFonts w:hint="eastAsia" w:ascii="仿宋_GB2312" w:cs="宋体"/>
          <w:kern w:val="0"/>
          <w:szCs w:val="32"/>
        </w:rPr>
        <w:t>×</w:t>
      </w:r>
      <w:r>
        <w:rPr>
          <w:rFonts w:ascii="仿宋_GB2312" w:cs="宋体"/>
          <w:kern w:val="0"/>
          <w:szCs w:val="32"/>
        </w:rPr>
        <w:t>300 MW</w:t>
      </w:r>
      <w:r>
        <w:rPr>
          <w:rFonts w:hint="eastAsia" w:ascii="仿宋_GB2312" w:cs="宋体"/>
          <w:kern w:val="0"/>
          <w:szCs w:val="32"/>
        </w:rPr>
        <w:t>抽水蓄能发电站项目前期工作，满足核电及新能源建成投产后的调峰需求，解决电网日益突出的调峰问题。</w:t>
      </w:r>
    </w:p>
    <w:p w14:paraId="075653C0">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有序推进风能发电</w:t>
      </w:r>
      <w:r>
        <w:rPr>
          <w:rFonts w:hint="eastAsia" w:ascii="仿宋_GB2312" w:cs="宋体"/>
          <w:kern w:val="0"/>
          <w:szCs w:val="32"/>
        </w:rPr>
        <w:t>。结合风能资源和建设条件，有计划地推进陆上风电的规模化开发和管理，建成宁化鸡公岽</w:t>
      </w:r>
      <w:r>
        <w:rPr>
          <w:rFonts w:ascii="仿宋_GB2312" w:cs="宋体"/>
          <w:kern w:val="0"/>
          <w:szCs w:val="32"/>
        </w:rPr>
        <w:t>48 MW</w:t>
      </w:r>
      <w:r>
        <w:rPr>
          <w:rFonts w:hint="eastAsia" w:ascii="仿宋_GB2312" w:cs="宋体"/>
          <w:kern w:val="0"/>
          <w:szCs w:val="32"/>
        </w:rPr>
        <w:t>风力发电项目，积极推进三元、将乐、大田、建宁、永安、宁化、沙县等区（市、县）风电项目前期工作，适时开工建设一批前期工作成熟的项目。</w:t>
      </w:r>
    </w:p>
    <w:p w14:paraId="394DBEC6">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加快推进太阳能利用</w:t>
      </w:r>
      <w:r>
        <w:rPr>
          <w:rFonts w:hint="eastAsia" w:ascii="仿宋_GB2312" w:cs="宋体"/>
          <w:kern w:val="0"/>
          <w:szCs w:val="32"/>
        </w:rPr>
        <w:t>。坚持因地制宜、形式多样地推动太阳能开发利用，合理规划地面光伏发电建设布局，适度在太阳能资源优良、无其他经济利用价值土地多的地区，包括可利用建筑面充裕、电网接入条件好、电力负荷较大的经济开发区、高新区、工业园区以及结合已建的生态治理、设施农业、渔业养殖、粮库，开展太阳能光伏发电项目建设。积极推进福建闽农农业大棚屋顶分布式光伏发电项目、和清流嵩溪农业大棚光伏电站等一批已备案项目建设。</w:t>
      </w:r>
    </w:p>
    <w:p w14:paraId="22F1FA89">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规范水能资源开发</w:t>
      </w:r>
      <w:r>
        <w:rPr>
          <w:rFonts w:hint="eastAsia" w:ascii="仿宋_GB2312" w:cs="宋体"/>
          <w:kern w:val="0"/>
          <w:szCs w:val="32"/>
        </w:rPr>
        <w:t>。严格控制新建水电项目核准审批，除以防洪、供水、灌溉等为主兼顾发电的水资源开发项目外，原则上不再新建水电站。实施农村水电增效减排工程，对区域生态影响大的小水电，实行有序关停退出；对不改变生态环境、不增加水库库区淹没、不改变水库主要特性的水电站鼓励实施技改增效，重点推进泰宁池潭水电厂等部分水电站的技改扩容工作。</w:t>
      </w:r>
    </w:p>
    <w:p w14:paraId="2E9B0BC7">
      <w:pPr>
        <w:pStyle w:val="5"/>
      </w:pPr>
      <w:bookmarkStart w:id="67" w:name="_Toc496795378"/>
      <w:bookmarkEnd w:id="67"/>
      <w:bookmarkStart w:id="68" w:name="_Toc496795380"/>
      <w:bookmarkEnd w:id="68"/>
      <w:bookmarkStart w:id="69" w:name="_Toc524597411"/>
      <w:r>
        <w:rPr>
          <w:rFonts w:hint="eastAsia"/>
        </w:rPr>
        <w:t>（二）推进城乡低碳化建设和管理</w:t>
      </w:r>
      <w:bookmarkEnd w:id="69"/>
    </w:p>
    <w:p w14:paraId="376A26AE">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牢牢把握城镇化和乡村振兴战略的机遇期，推进美丽三明建设。以绿色、循环、低碳理念指导城乡建设，切实转变城乡发展模式，加快工业、建筑、交通、废弃物等重点领域低碳建设与运营，形成人与自然和谐发展现代化建设新格局。</w:t>
      </w:r>
    </w:p>
    <w:p w14:paraId="2BDB32DD">
      <w:pPr>
        <w:pStyle w:val="6"/>
        <w:spacing w:line="600" w:lineRule="atLeast"/>
        <w:ind w:left="640"/>
      </w:pPr>
      <w:r>
        <w:t>1.</w:t>
      </w:r>
      <w:r>
        <w:rPr>
          <w:rFonts w:hint="eastAsia"/>
        </w:rPr>
        <w:t>加强工业领域节能减排</w:t>
      </w:r>
    </w:p>
    <w:p w14:paraId="52FCAC00">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加强节能技术应用</w:t>
      </w:r>
      <w:r>
        <w:rPr>
          <w:rFonts w:hint="eastAsia" w:ascii="仿宋_GB2312" w:cs="宋体"/>
          <w:kern w:val="0"/>
          <w:szCs w:val="32"/>
        </w:rPr>
        <w:t>。重点推广螺杆膨胀动力驱动、电除尘器节能提效控制、矿热炉烟气余热利用、中低温太阳能工业热力应用系统等国家重点节能低碳技术，大力实施工业锅炉</w:t>
      </w:r>
      <w:r>
        <w:rPr>
          <w:rFonts w:ascii="仿宋_GB2312" w:cs="宋体"/>
          <w:kern w:val="0"/>
          <w:szCs w:val="32"/>
        </w:rPr>
        <w:t>(</w:t>
      </w:r>
      <w:r>
        <w:rPr>
          <w:rFonts w:hint="eastAsia" w:ascii="仿宋_GB2312" w:cs="宋体"/>
          <w:kern w:val="0"/>
          <w:szCs w:val="32"/>
        </w:rPr>
        <w:t>窑炉</w:t>
      </w:r>
      <w:r>
        <w:rPr>
          <w:rFonts w:ascii="仿宋_GB2312" w:cs="宋体"/>
          <w:kern w:val="0"/>
          <w:szCs w:val="32"/>
        </w:rPr>
        <w:t>)</w:t>
      </w:r>
      <w:r>
        <w:rPr>
          <w:rFonts w:hint="eastAsia" w:ascii="仿宋_GB2312" w:cs="宋体"/>
          <w:kern w:val="0"/>
          <w:szCs w:val="32"/>
        </w:rPr>
        <w:t>改造、余热余压利用、能量系统优化、电机系统节能等节能技术改造工程，每年实施节能技改项目</w:t>
      </w:r>
      <w:r>
        <w:rPr>
          <w:rFonts w:ascii="仿宋_GB2312" w:cs="宋体"/>
          <w:kern w:val="0"/>
          <w:szCs w:val="32"/>
        </w:rPr>
        <w:t>50</w:t>
      </w:r>
      <w:r>
        <w:rPr>
          <w:rFonts w:hint="eastAsia" w:ascii="仿宋_GB2312" w:cs="宋体"/>
          <w:kern w:val="0"/>
          <w:szCs w:val="32"/>
        </w:rPr>
        <w:t>项以上。</w:t>
      </w:r>
    </w:p>
    <w:p w14:paraId="56C6D294">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推广节能产品</w:t>
      </w:r>
      <w:r>
        <w:rPr>
          <w:rFonts w:hint="eastAsia" w:ascii="仿宋_GB2312" w:cs="宋体"/>
          <w:kern w:val="0"/>
          <w:szCs w:val="32"/>
        </w:rPr>
        <w:t>。结合国家推进高耗能设备淘汰改造的契机，重点推广应用高效节能电机、节能配电变压器、空气压缩机、节能清水离心泵等节能设备。</w:t>
      </w:r>
    </w:p>
    <w:p w14:paraId="2E3D7C4B">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构建节能服务体系</w:t>
      </w:r>
      <w:r>
        <w:rPr>
          <w:rFonts w:hint="eastAsia" w:ascii="仿宋_GB2312" w:cs="宋体"/>
          <w:kern w:val="0"/>
          <w:szCs w:val="32"/>
        </w:rPr>
        <w:t>。引进培育一批节能服务公司，大力推行合同能源管理，建立起充满活力、特色鲜明、规范有序的节能服务市场；推进重点用能单位能耗在线监测系统建设，对列入国家万家重点耗能企业实现能耗在线监测系统全覆盖，优化生产系统和制造过程的能耗水平。</w:t>
      </w:r>
    </w:p>
    <w:p w14:paraId="5E673B4D">
      <w:pPr>
        <w:pStyle w:val="6"/>
        <w:spacing w:line="600" w:lineRule="atLeast"/>
        <w:ind w:left="640"/>
      </w:pPr>
      <w:r>
        <w:t>2.</w:t>
      </w:r>
      <w:r>
        <w:rPr>
          <w:rFonts w:hint="eastAsia"/>
        </w:rPr>
        <w:t>加强建筑领域节能减排</w:t>
      </w:r>
    </w:p>
    <w:p w14:paraId="2EDF2822">
      <w:pPr>
        <w:tabs>
          <w:tab w:val="left" w:pos="720"/>
        </w:tabs>
        <w:adjustRightInd w:val="0"/>
        <w:snapToGrid w:val="0"/>
        <w:spacing w:line="600" w:lineRule="atLeast"/>
        <w:ind w:firstLine="643" w:firstLineChars="200"/>
        <w:rPr>
          <w:rFonts w:ascii="仿宋_GB2312"/>
          <w:color w:val="000000"/>
          <w:kern w:val="0"/>
          <w:szCs w:val="32"/>
        </w:rPr>
      </w:pPr>
      <w:r>
        <w:rPr>
          <w:rFonts w:hint="eastAsia" w:ascii="仿宋_GB2312"/>
          <w:b/>
          <w:color w:val="000000"/>
          <w:kern w:val="0"/>
          <w:szCs w:val="32"/>
        </w:rPr>
        <w:t>推进新建建筑节能与绿色建筑发展</w:t>
      </w:r>
      <w:r>
        <w:rPr>
          <w:rFonts w:hint="eastAsia" w:ascii="仿宋_GB2312"/>
          <w:color w:val="000000"/>
          <w:kern w:val="0"/>
          <w:szCs w:val="32"/>
        </w:rPr>
        <w:t>。贯彻落实国家和福建省颁布的《公共建筑节能设计标准》（</w:t>
      </w:r>
      <w:r>
        <w:rPr>
          <w:rFonts w:ascii="仿宋_GB2312"/>
          <w:color w:val="000000"/>
          <w:kern w:val="0"/>
          <w:szCs w:val="32"/>
        </w:rPr>
        <w:t>GB50189-2015</w:t>
      </w:r>
      <w:r>
        <w:rPr>
          <w:rFonts w:hint="eastAsia" w:ascii="仿宋_GB2312"/>
          <w:color w:val="000000"/>
          <w:kern w:val="0"/>
          <w:szCs w:val="32"/>
        </w:rPr>
        <w:t>）和《福建省居住建筑节能设计标准》（</w:t>
      </w:r>
      <w:r>
        <w:rPr>
          <w:rFonts w:ascii="仿宋_GB2312"/>
          <w:color w:val="000000"/>
          <w:kern w:val="0"/>
          <w:szCs w:val="32"/>
        </w:rPr>
        <w:t>DBJ13-62-2014</w:t>
      </w:r>
      <w:r>
        <w:rPr>
          <w:rFonts w:hint="eastAsia" w:ascii="仿宋_GB2312"/>
          <w:color w:val="000000"/>
          <w:kern w:val="0"/>
          <w:szCs w:val="32"/>
        </w:rPr>
        <w:t>），严格执行《福建省绿色建筑设计标准》（</w:t>
      </w:r>
      <w:r>
        <w:rPr>
          <w:rFonts w:ascii="仿宋_GB2312"/>
          <w:color w:val="000000"/>
          <w:kern w:val="0"/>
          <w:szCs w:val="32"/>
        </w:rPr>
        <w:t>DBJ13-197-2017</w:t>
      </w:r>
      <w:r>
        <w:rPr>
          <w:rFonts w:hint="eastAsia" w:ascii="仿宋_GB2312"/>
          <w:color w:val="000000"/>
          <w:kern w:val="0"/>
          <w:szCs w:val="32"/>
        </w:rPr>
        <w:t>）。自</w:t>
      </w:r>
      <w:r>
        <w:rPr>
          <w:rFonts w:ascii="仿宋_GB2312"/>
          <w:color w:val="000000"/>
          <w:kern w:val="0"/>
          <w:szCs w:val="32"/>
        </w:rPr>
        <w:t>2018</w:t>
      </w:r>
      <w:r>
        <w:rPr>
          <w:rFonts w:hint="eastAsia" w:ascii="仿宋_GB2312"/>
          <w:color w:val="000000"/>
          <w:kern w:val="0"/>
          <w:szCs w:val="32"/>
        </w:rPr>
        <w:t>年</w:t>
      </w:r>
      <w:r>
        <w:rPr>
          <w:rFonts w:ascii="仿宋_GB2312"/>
          <w:color w:val="000000"/>
          <w:kern w:val="0"/>
          <w:szCs w:val="32"/>
        </w:rPr>
        <w:t>1</w:t>
      </w:r>
      <w:r>
        <w:rPr>
          <w:rFonts w:hint="eastAsia" w:ascii="仿宋_GB2312"/>
          <w:color w:val="000000"/>
          <w:kern w:val="0"/>
          <w:szCs w:val="32"/>
        </w:rPr>
        <w:t>月</w:t>
      </w:r>
      <w:r>
        <w:rPr>
          <w:rFonts w:ascii="仿宋_GB2312"/>
          <w:color w:val="000000"/>
          <w:kern w:val="0"/>
          <w:szCs w:val="32"/>
        </w:rPr>
        <w:t>1</w:t>
      </w:r>
      <w:r>
        <w:rPr>
          <w:rFonts w:hint="eastAsia" w:ascii="仿宋_GB2312"/>
          <w:color w:val="000000"/>
          <w:kern w:val="0"/>
          <w:szCs w:val="32"/>
        </w:rPr>
        <w:t>日起，凡列入施工图审查范围的新建民用建筑应符合一星级绿色建筑设计要求，其中政府投资或者以政府投资为主的公共建筑应符合二星级绿色建筑设计要求，鼓励其他公共建筑和居住建筑按照二星级以上绿色建筑标准进行设计。力争到</w:t>
      </w:r>
      <w:r>
        <w:rPr>
          <w:rFonts w:ascii="仿宋_GB2312"/>
          <w:color w:val="000000"/>
          <w:kern w:val="0"/>
          <w:szCs w:val="32"/>
        </w:rPr>
        <w:t>2022</w:t>
      </w:r>
      <w:r>
        <w:rPr>
          <w:rFonts w:hint="eastAsia" w:ascii="仿宋_GB2312"/>
          <w:color w:val="000000"/>
          <w:kern w:val="0"/>
          <w:szCs w:val="32"/>
        </w:rPr>
        <w:t>年，全市新建民用建筑施工阶段执行节能强制性标准</w:t>
      </w:r>
      <w:r>
        <w:rPr>
          <w:rFonts w:ascii="仿宋_GB2312"/>
          <w:color w:val="000000"/>
          <w:kern w:val="0"/>
          <w:szCs w:val="32"/>
        </w:rPr>
        <w:t>100%</w:t>
      </w:r>
      <w:r>
        <w:rPr>
          <w:rFonts w:hint="eastAsia" w:ascii="仿宋_GB2312"/>
          <w:color w:val="000000"/>
          <w:kern w:val="0"/>
          <w:szCs w:val="32"/>
        </w:rPr>
        <w:t>，城镇绿色建筑占新建建筑比重达到</w:t>
      </w:r>
      <w:r>
        <w:rPr>
          <w:rFonts w:ascii="仿宋_GB2312"/>
          <w:color w:val="000000"/>
          <w:kern w:val="0"/>
          <w:szCs w:val="32"/>
        </w:rPr>
        <w:t>51%</w:t>
      </w:r>
      <w:r>
        <w:rPr>
          <w:rFonts w:hint="eastAsia" w:ascii="仿宋_GB2312"/>
          <w:color w:val="000000"/>
          <w:kern w:val="0"/>
          <w:szCs w:val="32"/>
        </w:rPr>
        <w:t>。</w:t>
      </w:r>
    </w:p>
    <w:p w14:paraId="00163CAE">
      <w:pPr>
        <w:tabs>
          <w:tab w:val="left" w:pos="720"/>
        </w:tabs>
        <w:adjustRightInd w:val="0"/>
        <w:snapToGrid w:val="0"/>
        <w:spacing w:line="600" w:lineRule="atLeast"/>
        <w:ind w:firstLine="643" w:firstLineChars="200"/>
        <w:rPr>
          <w:rFonts w:ascii="仿宋_GB2312"/>
          <w:color w:val="000000"/>
          <w:kern w:val="0"/>
          <w:szCs w:val="32"/>
        </w:rPr>
      </w:pPr>
      <w:r>
        <w:rPr>
          <w:rFonts w:hint="eastAsia" w:ascii="仿宋_GB2312"/>
          <w:b/>
          <w:color w:val="000000"/>
          <w:kern w:val="0"/>
          <w:szCs w:val="32"/>
        </w:rPr>
        <w:t>稳步推进公共建筑建筑节能改造</w:t>
      </w:r>
      <w:r>
        <w:rPr>
          <w:rFonts w:hint="eastAsia" w:ascii="仿宋_GB2312"/>
          <w:color w:val="000000"/>
          <w:kern w:val="0"/>
          <w:szCs w:val="32"/>
        </w:rPr>
        <w:t>。</w:t>
      </w:r>
      <w:bookmarkStart w:id="70" w:name="_Toc421806591"/>
      <w:bookmarkStart w:id="71" w:name="_Toc433961085"/>
      <w:r>
        <w:rPr>
          <w:rFonts w:hint="eastAsia" w:ascii="仿宋_GB2312"/>
          <w:color w:val="000000"/>
          <w:kern w:val="0"/>
          <w:szCs w:val="32"/>
        </w:rPr>
        <w:t>贯彻落实《福建省人民政府办公厅关于推进公共建筑和城市公共照明节能改造七条措施的通知》（闽政办〔</w:t>
      </w:r>
      <w:r>
        <w:rPr>
          <w:rFonts w:ascii="仿宋_GB2312"/>
          <w:color w:val="000000"/>
          <w:kern w:val="0"/>
          <w:szCs w:val="32"/>
        </w:rPr>
        <w:t>2016</w:t>
      </w:r>
      <w:r>
        <w:rPr>
          <w:rFonts w:hint="eastAsia" w:ascii="仿宋_GB2312"/>
          <w:color w:val="000000"/>
          <w:kern w:val="0"/>
          <w:szCs w:val="32"/>
        </w:rPr>
        <w:t>〕</w:t>
      </w:r>
      <w:r>
        <w:rPr>
          <w:rFonts w:ascii="仿宋_GB2312"/>
          <w:color w:val="000000"/>
          <w:kern w:val="0"/>
          <w:szCs w:val="32"/>
        </w:rPr>
        <w:t>74</w:t>
      </w:r>
      <w:r>
        <w:rPr>
          <w:rFonts w:hint="eastAsia" w:ascii="仿宋_GB2312"/>
          <w:color w:val="000000"/>
          <w:kern w:val="0"/>
          <w:szCs w:val="32"/>
        </w:rPr>
        <w:t>号）要求，重点改造达不到国家现行节能设计标准的</w:t>
      </w:r>
      <w:r>
        <w:rPr>
          <w:rFonts w:ascii="仿宋_GB2312"/>
          <w:color w:val="000000"/>
          <w:kern w:val="0"/>
          <w:szCs w:val="32"/>
        </w:rPr>
        <w:t>5000</w:t>
      </w:r>
      <w:r>
        <w:rPr>
          <w:rFonts w:hint="eastAsia" w:ascii="仿宋_GB2312"/>
          <w:color w:val="000000"/>
          <w:kern w:val="0"/>
          <w:szCs w:val="32"/>
        </w:rPr>
        <w:t>㎡以上公共机构建筑、</w:t>
      </w:r>
      <w:r>
        <w:rPr>
          <w:rFonts w:ascii="仿宋_GB2312"/>
          <w:color w:val="000000"/>
          <w:kern w:val="0"/>
          <w:szCs w:val="32"/>
        </w:rPr>
        <w:t>2</w:t>
      </w:r>
      <w:r>
        <w:rPr>
          <w:rFonts w:hint="eastAsia" w:ascii="仿宋_GB2312"/>
          <w:color w:val="000000"/>
          <w:kern w:val="0"/>
          <w:szCs w:val="32"/>
        </w:rPr>
        <w:t>万㎡以上社会投资公共建筑，主要改造空调、热水、照明等用能系统和建筑外窗。力争到</w:t>
      </w:r>
      <w:r>
        <w:rPr>
          <w:rFonts w:ascii="仿宋_GB2312"/>
          <w:color w:val="000000"/>
          <w:kern w:val="0"/>
          <w:szCs w:val="32"/>
        </w:rPr>
        <w:t>2020</w:t>
      </w:r>
      <w:r>
        <w:rPr>
          <w:rFonts w:hint="eastAsia" w:ascii="仿宋_GB2312"/>
          <w:color w:val="000000"/>
          <w:kern w:val="0"/>
          <w:szCs w:val="32"/>
        </w:rPr>
        <w:t>年，全市完成公共建筑节能改造</w:t>
      </w:r>
      <w:r>
        <w:rPr>
          <w:rFonts w:ascii="仿宋_GB2312"/>
          <w:color w:val="000000"/>
          <w:kern w:val="0"/>
          <w:szCs w:val="32"/>
        </w:rPr>
        <w:t>5</w:t>
      </w:r>
      <w:r>
        <w:rPr>
          <w:rFonts w:hint="eastAsia" w:ascii="仿宋_GB2312"/>
          <w:color w:val="000000"/>
          <w:kern w:val="0"/>
          <w:szCs w:val="32"/>
        </w:rPr>
        <w:t>万㎡、城市公共照明节能改造</w:t>
      </w:r>
      <w:r>
        <w:rPr>
          <w:rFonts w:ascii="仿宋_GB2312"/>
          <w:color w:val="000000"/>
          <w:kern w:val="0"/>
          <w:szCs w:val="32"/>
        </w:rPr>
        <w:t>5000</w:t>
      </w:r>
      <w:r>
        <w:rPr>
          <w:rFonts w:hint="eastAsia" w:ascii="仿宋_GB2312"/>
          <w:color w:val="000000"/>
          <w:kern w:val="0"/>
          <w:szCs w:val="32"/>
        </w:rPr>
        <w:t>盏。</w:t>
      </w:r>
      <w:bookmarkEnd w:id="70"/>
      <w:bookmarkEnd w:id="71"/>
    </w:p>
    <w:p w14:paraId="65809F8E">
      <w:pPr>
        <w:tabs>
          <w:tab w:val="left" w:pos="720"/>
        </w:tabs>
        <w:adjustRightInd w:val="0"/>
        <w:snapToGrid w:val="0"/>
        <w:spacing w:line="600" w:lineRule="atLeast"/>
        <w:ind w:firstLine="643" w:firstLineChars="200"/>
        <w:rPr>
          <w:rFonts w:ascii="仿宋_GB2312"/>
          <w:color w:val="000000"/>
          <w:kern w:val="0"/>
          <w:szCs w:val="32"/>
        </w:rPr>
      </w:pPr>
      <w:r>
        <w:rPr>
          <w:rFonts w:hint="eastAsia" w:ascii="仿宋_GB2312"/>
          <w:b/>
          <w:color w:val="000000"/>
          <w:kern w:val="0"/>
          <w:szCs w:val="32"/>
        </w:rPr>
        <w:t>培育建筑节能与绿色建筑产业</w:t>
      </w:r>
      <w:r>
        <w:rPr>
          <w:rFonts w:hint="eastAsia" w:ascii="仿宋_GB2312"/>
          <w:color w:val="000000"/>
          <w:kern w:val="0"/>
          <w:szCs w:val="32"/>
        </w:rPr>
        <w:t>。因地制宜发展钢结构、装配式混凝土结构和现代木结构等装配式建筑，建立装配式建筑生产和服务基地，培育一批设计、施工、部品部件生产规模化企业，支持梅列区打造“三明市建筑产业现代化园区”，稳步提高装配式建筑占新建建筑比例。到</w:t>
      </w:r>
      <w:r>
        <w:rPr>
          <w:rFonts w:ascii="仿宋_GB2312"/>
          <w:color w:val="000000"/>
          <w:kern w:val="0"/>
          <w:szCs w:val="32"/>
        </w:rPr>
        <w:t>2022</w:t>
      </w:r>
      <w:r>
        <w:rPr>
          <w:rFonts w:hint="eastAsia" w:ascii="仿宋_GB2312"/>
          <w:color w:val="000000"/>
          <w:kern w:val="0"/>
          <w:szCs w:val="32"/>
        </w:rPr>
        <w:t>年，全市实现装配式建筑占新建建筑的建筑面积比例达到</w:t>
      </w:r>
      <w:r>
        <w:rPr>
          <w:rFonts w:ascii="仿宋_GB2312"/>
          <w:color w:val="000000"/>
          <w:kern w:val="0"/>
          <w:szCs w:val="32"/>
        </w:rPr>
        <w:t>25%</w:t>
      </w:r>
      <w:r>
        <w:rPr>
          <w:rFonts w:hint="eastAsia" w:ascii="仿宋_GB2312"/>
          <w:color w:val="000000"/>
          <w:kern w:val="0"/>
          <w:szCs w:val="32"/>
        </w:rPr>
        <w:t>以上</w:t>
      </w:r>
      <w:r>
        <w:rPr>
          <w:rFonts w:ascii="仿宋_GB2312"/>
          <w:color w:val="000000"/>
          <w:kern w:val="0"/>
          <w:szCs w:val="32"/>
        </w:rPr>
        <w:t>,</w:t>
      </w:r>
      <w:r>
        <w:rPr>
          <w:rFonts w:hint="eastAsia" w:ascii="仿宋_GB2312"/>
          <w:color w:val="000000"/>
          <w:kern w:val="0"/>
          <w:szCs w:val="32"/>
        </w:rPr>
        <w:t>争创国家装配式建筑试点城市。大力发展绿色建材生产，着力推广预节能门窗、绿色照明、屋顶绿化、水源热泵、太阳能利用和智能化控制等技术和产品，优先选用可再循环、可再利用的建筑材料和以废弃物为原料的建筑材料。推行绿色施工，鼓励发展和推广应用节能环保施工工艺，提升施工技术水平。</w:t>
      </w:r>
    </w:p>
    <w:p w14:paraId="1EE7B94A">
      <w:pPr>
        <w:pStyle w:val="6"/>
        <w:spacing w:line="600" w:lineRule="atLeast"/>
        <w:ind w:left="640"/>
      </w:pPr>
      <w:bookmarkStart w:id="72" w:name="_Toc496795386"/>
      <w:bookmarkEnd w:id="72"/>
      <w:r>
        <w:t>3.</w:t>
      </w:r>
      <w:r>
        <w:rPr>
          <w:rFonts w:hint="eastAsia"/>
        </w:rPr>
        <w:t>加强交通领域节能减排</w:t>
      </w:r>
    </w:p>
    <w:p w14:paraId="199502CC">
      <w:pPr>
        <w:widowControl/>
        <w:shd w:val="clear" w:color="auto" w:fill="FFFFFF"/>
        <w:spacing w:line="600" w:lineRule="atLeast"/>
        <w:ind w:firstLine="643" w:firstLineChars="200"/>
        <w:rPr>
          <w:rFonts w:ascii="仿宋_GB2312"/>
          <w:color w:val="000000"/>
          <w:kern w:val="0"/>
          <w:szCs w:val="32"/>
        </w:rPr>
      </w:pPr>
      <w:r>
        <w:rPr>
          <w:rFonts w:hint="eastAsia" w:ascii="仿宋_GB2312"/>
          <w:b/>
          <w:color w:val="000000"/>
          <w:kern w:val="0"/>
          <w:szCs w:val="32"/>
        </w:rPr>
        <w:t>实施公交优先策略</w:t>
      </w:r>
      <w:r>
        <w:rPr>
          <w:rFonts w:hint="eastAsia" w:ascii="仿宋_GB2312"/>
          <w:color w:val="000000"/>
          <w:kern w:val="0"/>
          <w:szCs w:val="32"/>
        </w:rPr>
        <w:t>。打造“快速公交为骨干、常规公交为主体”的城市公共交通体系，延伸主城区公交线路，覆盖到三明、沙县、永安三地中心城区的各个功能区；继续优化公交线网布局，加大公交线路密度和站点密度；加大城市公交场站投资建设力度，建设翁墩、三明火车站南站等一批公交枢纽站；有序推进重点小城镇和城市周边农村公交线网建设，推动城市公交向城乡结合部、城市周边地区延伸。到</w:t>
      </w:r>
      <w:r>
        <w:rPr>
          <w:rFonts w:ascii="仿宋_GB2312"/>
          <w:color w:val="000000"/>
          <w:kern w:val="0"/>
          <w:szCs w:val="32"/>
        </w:rPr>
        <w:t>2020</w:t>
      </w:r>
      <w:r>
        <w:rPr>
          <w:rFonts w:hint="eastAsia" w:ascii="仿宋_GB2312"/>
          <w:color w:val="000000"/>
          <w:kern w:val="0"/>
          <w:szCs w:val="32"/>
        </w:rPr>
        <w:t>年，三明中心城区公共交通占机动化出行比例达</w:t>
      </w:r>
      <w:r>
        <w:rPr>
          <w:rFonts w:ascii="仿宋_GB2312"/>
          <w:color w:val="000000"/>
          <w:kern w:val="0"/>
          <w:szCs w:val="32"/>
        </w:rPr>
        <w:t>35%</w:t>
      </w:r>
      <w:r>
        <w:rPr>
          <w:rFonts w:hint="eastAsia" w:ascii="仿宋_GB2312"/>
          <w:color w:val="000000"/>
          <w:kern w:val="0"/>
          <w:szCs w:val="32"/>
        </w:rPr>
        <w:t>。</w:t>
      </w:r>
    </w:p>
    <w:p w14:paraId="51567022">
      <w:pPr>
        <w:widowControl/>
        <w:shd w:val="clear" w:color="auto" w:fill="FFFFFF"/>
        <w:spacing w:line="600" w:lineRule="atLeast"/>
        <w:ind w:firstLine="643" w:firstLineChars="200"/>
        <w:rPr>
          <w:rFonts w:ascii="仿宋_GB2312"/>
          <w:color w:val="000000"/>
          <w:kern w:val="0"/>
          <w:szCs w:val="32"/>
        </w:rPr>
      </w:pPr>
      <w:r>
        <w:rPr>
          <w:rFonts w:hint="eastAsia" w:ascii="仿宋_GB2312"/>
          <w:b/>
          <w:color w:val="000000"/>
          <w:kern w:val="0"/>
          <w:szCs w:val="32"/>
        </w:rPr>
        <w:t>加快低碳交通工具应用与配套基础设施建设</w:t>
      </w:r>
      <w:bookmarkStart w:id="73" w:name="_Toc439335649"/>
      <w:bookmarkStart w:id="74" w:name="_Toc439335766"/>
      <w:r>
        <w:rPr>
          <w:rFonts w:hint="eastAsia" w:ascii="仿宋_GB2312"/>
          <w:color w:val="000000"/>
          <w:kern w:val="0"/>
          <w:szCs w:val="32"/>
        </w:rPr>
        <w:t>。加大新能源公交工具投入力度，支持泰宁等地建设新能源公交车全域化运营试点。加快</w:t>
      </w:r>
      <w:r>
        <w:rPr>
          <w:rFonts w:ascii="仿宋_GB2312"/>
          <w:color w:val="000000"/>
          <w:kern w:val="0"/>
          <w:szCs w:val="32"/>
        </w:rPr>
        <w:t>LNG</w:t>
      </w:r>
      <w:r>
        <w:rPr>
          <w:rFonts w:hint="eastAsia" w:ascii="仿宋_GB2312"/>
          <w:color w:val="000000"/>
          <w:kern w:val="0"/>
          <w:szCs w:val="32"/>
        </w:rPr>
        <w:t>、</w:t>
      </w:r>
      <w:r>
        <w:rPr>
          <w:rFonts w:ascii="仿宋_GB2312"/>
          <w:color w:val="000000"/>
          <w:kern w:val="0"/>
          <w:szCs w:val="32"/>
        </w:rPr>
        <w:t>CNG</w:t>
      </w:r>
      <w:r>
        <w:rPr>
          <w:rFonts w:hint="eastAsia" w:ascii="仿宋_GB2312"/>
          <w:color w:val="000000"/>
          <w:kern w:val="0"/>
          <w:szCs w:val="32"/>
        </w:rPr>
        <w:t>加气站、电动汽车充电桩等配套节能基础设施建设，新建三明加气站等</w:t>
      </w:r>
      <w:r>
        <w:rPr>
          <w:rFonts w:ascii="仿宋_GB2312"/>
          <w:color w:val="000000"/>
          <w:kern w:val="0"/>
          <w:szCs w:val="32"/>
        </w:rPr>
        <w:t>11</w:t>
      </w:r>
      <w:r>
        <w:rPr>
          <w:rFonts w:hint="eastAsia" w:ascii="仿宋_GB2312"/>
          <w:color w:val="000000"/>
          <w:kern w:val="0"/>
          <w:szCs w:val="32"/>
        </w:rPr>
        <w:t>座天然气汽车加气站，加快建设上河城、贵溪洋等公交充电站，在建设公共停车设施时按照要求配置电动汽车充电桩，在三明市区有条件的加油站增设电动汽车充电桩。推进城市绿色照明发展，全面淘汰城市照明低效、高耗产品，新建城市道路照明全部使用</w:t>
      </w:r>
      <w:r>
        <w:rPr>
          <w:rFonts w:ascii="仿宋_GB2312"/>
          <w:color w:val="000000"/>
          <w:kern w:val="0"/>
          <w:szCs w:val="32"/>
        </w:rPr>
        <w:t>LED</w:t>
      </w:r>
      <w:r>
        <w:rPr>
          <w:rFonts w:hint="eastAsia" w:ascii="仿宋_GB2312"/>
          <w:color w:val="000000"/>
          <w:kern w:val="0"/>
          <w:szCs w:val="32"/>
        </w:rPr>
        <w:t>节能产品，采取合同能源管理等方式加快既有</w:t>
      </w:r>
      <w:r>
        <w:rPr>
          <w:rFonts w:ascii="仿宋_GB2312"/>
          <w:color w:val="000000"/>
          <w:kern w:val="0"/>
          <w:szCs w:val="32"/>
        </w:rPr>
        <w:t>LED</w:t>
      </w:r>
      <w:r>
        <w:rPr>
          <w:rFonts w:hint="eastAsia" w:ascii="仿宋_GB2312"/>
          <w:color w:val="000000"/>
          <w:kern w:val="0"/>
          <w:szCs w:val="32"/>
        </w:rPr>
        <w:t>灯节能改造。到</w:t>
      </w:r>
      <w:r>
        <w:rPr>
          <w:rFonts w:ascii="仿宋_GB2312"/>
          <w:color w:val="000000"/>
          <w:kern w:val="0"/>
          <w:szCs w:val="32"/>
        </w:rPr>
        <w:t>2022</w:t>
      </w:r>
      <w:r>
        <w:rPr>
          <w:rFonts w:hint="eastAsia" w:ascii="仿宋_GB2312"/>
          <w:color w:val="000000"/>
          <w:kern w:val="0"/>
          <w:szCs w:val="32"/>
        </w:rPr>
        <w:t>年末，全市清洁能源、新能源公交车比例达到</w:t>
      </w:r>
      <w:r>
        <w:rPr>
          <w:rFonts w:ascii="仿宋_GB2312"/>
          <w:color w:val="000000"/>
          <w:kern w:val="0"/>
          <w:szCs w:val="32"/>
        </w:rPr>
        <w:t>90%</w:t>
      </w:r>
      <w:r>
        <w:rPr>
          <w:rFonts w:hint="eastAsia" w:ascii="仿宋_GB2312"/>
          <w:color w:val="000000"/>
          <w:kern w:val="0"/>
          <w:szCs w:val="32"/>
        </w:rPr>
        <w:t>；完成中心城区约</w:t>
      </w:r>
      <w:r>
        <w:rPr>
          <w:rFonts w:ascii="仿宋_GB2312"/>
          <w:color w:val="000000"/>
          <w:kern w:val="0"/>
          <w:szCs w:val="32"/>
        </w:rPr>
        <w:t>1.7</w:t>
      </w:r>
      <w:r>
        <w:rPr>
          <w:rFonts w:hint="eastAsia" w:ascii="仿宋_GB2312"/>
          <w:color w:val="000000"/>
          <w:kern w:val="0"/>
          <w:szCs w:val="32"/>
        </w:rPr>
        <w:t>万盏路灯节能改造，各县完成约</w:t>
      </w:r>
      <w:r>
        <w:rPr>
          <w:rFonts w:ascii="仿宋_GB2312"/>
          <w:color w:val="000000"/>
          <w:kern w:val="0"/>
          <w:szCs w:val="32"/>
        </w:rPr>
        <w:t>2.3</w:t>
      </w:r>
      <w:r>
        <w:rPr>
          <w:rFonts w:hint="eastAsia" w:ascii="仿宋_GB2312"/>
          <w:color w:val="000000"/>
          <w:kern w:val="0"/>
          <w:szCs w:val="32"/>
        </w:rPr>
        <w:t>万盏路灯节能改造</w:t>
      </w:r>
      <w:bookmarkEnd w:id="73"/>
      <w:bookmarkEnd w:id="74"/>
      <w:r>
        <w:rPr>
          <w:rFonts w:hint="eastAsia" w:ascii="仿宋_GB2312"/>
          <w:color w:val="000000"/>
          <w:kern w:val="0"/>
          <w:szCs w:val="32"/>
        </w:rPr>
        <w:t>。</w:t>
      </w:r>
    </w:p>
    <w:p w14:paraId="67111E6F">
      <w:pPr>
        <w:widowControl/>
        <w:shd w:val="clear" w:color="auto" w:fill="FFFFFF"/>
        <w:spacing w:line="600" w:lineRule="atLeast"/>
        <w:ind w:firstLine="643" w:firstLineChars="200"/>
        <w:rPr>
          <w:rFonts w:ascii="仿宋_GB2312"/>
          <w:color w:val="000000"/>
          <w:kern w:val="0"/>
          <w:szCs w:val="32"/>
        </w:rPr>
      </w:pPr>
      <w:r>
        <w:rPr>
          <w:rFonts w:hint="eastAsia" w:ascii="仿宋_GB2312"/>
          <w:b/>
          <w:color w:val="000000"/>
          <w:kern w:val="0"/>
          <w:szCs w:val="32"/>
        </w:rPr>
        <w:t>加快慢行系统建设</w:t>
      </w:r>
      <w:r>
        <w:rPr>
          <w:rFonts w:hint="eastAsia" w:ascii="仿宋_GB2312"/>
          <w:color w:val="000000"/>
          <w:kern w:val="0"/>
          <w:szCs w:val="32"/>
        </w:rPr>
        <w:t>。加强公交站点与慢行交通出行方式的衔接，建设一批以明溪县城绿道系统、沙县城区城市慢行系统为代表的步行和自行车道，逐步建立三明、沙县及永安城区的城市公共自行车系统，切实解决公共出行“最后一公里”问题。逐步完善行人平面过街系统，提高行人过街设施的可达性、便捷性、安全性。力争到</w:t>
      </w:r>
      <w:r>
        <w:rPr>
          <w:rFonts w:ascii="仿宋_GB2312"/>
          <w:color w:val="000000"/>
          <w:kern w:val="0"/>
          <w:szCs w:val="32"/>
        </w:rPr>
        <w:t>2022</w:t>
      </w:r>
      <w:r>
        <w:rPr>
          <w:rFonts w:hint="eastAsia" w:ascii="仿宋_GB2312"/>
          <w:color w:val="000000"/>
          <w:kern w:val="0"/>
          <w:szCs w:val="32"/>
        </w:rPr>
        <w:t>年，全市新建</w:t>
      </w:r>
      <w:r>
        <w:rPr>
          <w:rFonts w:ascii="仿宋_GB2312"/>
          <w:color w:val="000000"/>
          <w:kern w:val="0"/>
          <w:szCs w:val="32"/>
        </w:rPr>
        <w:t>150</w:t>
      </w:r>
      <w:r>
        <w:rPr>
          <w:rFonts w:hint="eastAsia" w:ascii="仿宋_GB2312"/>
          <w:color w:val="000000"/>
          <w:kern w:val="0"/>
          <w:szCs w:val="32"/>
        </w:rPr>
        <w:t>公里绿道系统，新建</w:t>
      </w:r>
      <w:r>
        <w:rPr>
          <w:rFonts w:ascii="仿宋_GB2312"/>
          <w:color w:val="000000"/>
          <w:kern w:val="0"/>
          <w:szCs w:val="32"/>
        </w:rPr>
        <w:t>7</w:t>
      </w:r>
      <w:r>
        <w:rPr>
          <w:rFonts w:hint="eastAsia" w:ascii="仿宋_GB2312"/>
          <w:color w:val="000000"/>
          <w:kern w:val="0"/>
          <w:szCs w:val="32"/>
        </w:rPr>
        <w:t>座行人过街设施，全市各县所有新建及改扩建的城市主、次干道设置有足够通行能力的步行和自行车道，并与绿道建设有效衔接，共同创建绿色交通。</w:t>
      </w:r>
    </w:p>
    <w:p w14:paraId="05872C12">
      <w:pPr>
        <w:pStyle w:val="6"/>
        <w:spacing w:line="600" w:lineRule="atLeast"/>
        <w:ind w:left="640"/>
      </w:pPr>
      <w:bookmarkStart w:id="75" w:name="_Toc496795391"/>
      <w:bookmarkEnd w:id="75"/>
      <w:bookmarkStart w:id="76" w:name="_Toc496795392"/>
      <w:bookmarkEnd w:id="76"/>
      <w:bookmarkStart w:id="77" w:name="_Toc496795393"/>
      <w:bookmarkEnd w:id="77"/>
      <w:bookmarkStart w:id="78" w:name="_Toc496795394"/>
      <w:bookmarkEnd w:id="78"/>
      <w:bookmarkStart w:id="79" w:name="_Toc496795407"/>
      <w:bookmarkEnd w:id="79"/>
      <w:bookmarkStart w:id="80" w:name="_Toc496795413"/>
      <w:bookmarkEnd w:id="80"/>
      <w:bookmarkStart w:id="81" w:name="_Toc496795419"/>
      <w:bookmarkEnd w:id="81"/>
      <w:bookmarkStart w:id="82" w:name="_Toc496795443"/>
      <w:bookmarkEnd w:id="82"/>
      <w:bookmarkStart w:id="83" w:name="_Toc496795456"/>
      <w:bookmarkEnd w:id="83"/>
      <w:bookmarkStart w:id="84" w:name="_Toc496795462"/>
      <w:bookmarkEnd w:id="84"/>
      <w:bookmarkStart w:id="85" w:name="_Toc496795468"/>
      <w:bookmarkEnd w:id="85"/>
      <w:bookmarkStart w:id="86" w:name="_Toc496795534"/>
      <w:bookmarkEnd w:id="86"/>
      <w:r>
        <w:t>4.</w:t>
      </w:r>
      <w:r>
        <w:rPr>
          <w:rFonts w:hint="eastAsia"/>
        </w:rPr>
        <w:t>加强废弃物处置领域节能减排</w:t>
      </w:r>
    </w:p>
    <w:p w14:paraId="566128A4">
      <w:pPr>
        <w:pStyle w:val="39"/>
        <w:spacing w:before="0" w:after="0" w:line="600" w:lineRule="atLeast"/>
        <w:ind w:firstLine="643"/>
        <w:rPr>
          <w:rFonts w:ascii="仿宋_GB2312" w:hAnsi="仿宋" w:eastAsia="仿宋_GB2312"/>
          <w:color w:val="000000"/>
          <w:sz w:val="32"/>
          <w:szCs w:val="32"/>
        </w:rPr>
      </w:pPr>
      <w:r>
        <w:rPr>
          <w:rFonts w:hint="eastAsia" w:ascii="仿宋_GB2312" w:hAnsi="Times New Roman" w:eastAsia="仿宋_GB2312"/>
          <w:b/>
          <w:color w:val="000000"/>
          <w:sz w:val="32"/>
          <w:szCs w:val="32"/>
        </w:rPr>
        <w:t>加快推进废弃物无害化处理处置</w:t>
      </w:r>
      <w:r>
        <w:rPr>
          <w:rFonts w:hint="eastAsia" w:ascii="仿宋_GB2312" w:hAnsi="仿宋" w:eastAsia="仿宋_GB2312"/>
          <w:color w:val="000000"/>
          <w:sz w:val="32"/>
          <w:szCs w:val="32"/>
        </w:rPr>
        <w:t>。开展生活垃圾分类试点示范创建工作，重点推进三明城区建成一个及以上生活垃圾分类示范点，并进行逐步推广。改造提升城乡垃圾收转运设施，加快建设垃圾处理设施，中心城市基本实现生活垃圾焚烧处理，人口规模小且无害化处理能力不足的县域，抓紧卫生填埋处理设施改造。严格控制填埋场污染物排放，对具有填埋气体收集利用价值的填埋场，开展填埋气体收集利用及再处理工作，减少甲烷等温室气体排放。</w:t>
      </w:r>
      <w:bookmarkStart w:id="87" w:name="_Toc439335663"/>
      <w:bookmarkStart w:id="88" w:name="_Toc439335780"/>
    </w:p>
    <w:bookmarkEnd w:id="87"/>
    <w:bookmarkEnd w:id="88"/>
    <w:p w14:paraId="312D21D8">
      <w:pPr>
        <w:pStyle w:val="39"/>
        <w:spacing w:before="0" w:after="0" w:line="600" w:lineRule="atLeast"/>
        <w:ind w:firstLine="643"/>
        <w:rPr>
          <w:rFonts w:ascii="仿宋_GB2312" w:hAnsi="仿宋" w:eastAsia="仿宋_GB2312"/>
          <w:color w:val="000000"/>
          <w:sz w:val="32"/>
          <w:szCs w:val="32"/>
        </w:rPr>
      </w:pPr>
      <w:r>
        <w:rPr>
          <w:rFonts w:hint="eastAsia" w:ascii="仿宋_GB2312" w:hAnsi="仿宋" w:eastAsia="仿宋_GB2312"/>
          <w:b/>
          <w:color w:val="000000"/>
          <w:sz w:val="32"/>
          <w:szCs w:val="32"/>
        </w:rPr>
        <w:t>推进餐厨垃圾分类处理</w:t>
      </w:r>
      <w:r>
        <w:rPr>
          <w:rFonts w:hint="eastAsia" w:ascii="仿宋_GB2312" w:hAnsi="仿宋" w:eastAsia="仿宋_GB2312"/>
          <w:color w:val="000000"/>
          <w:sz w:val="32"/>
          <w:szCs w:val="32"/>
        </w:rPr>
        <w:t>。加快餐厨垃圾专业处理设施建设，重点抓好三明市区及各县餐厨垃圾处理厂站建设。建立完善的餐厨垃圾收运系统，要求开展餐厨垃圾收运处理的县、市配套餐厨垃圾专用收集容器和运输车辆。推广应用成熟稳定的资源化技术，提高餐厨垃圾资源化水平。健全餐厨垃圾申报登记制度，有效监管餐厨垃圾及其资源化产品流向。重点推进家庭垃圾干湿分类，鼓励居民将厨余垃圾与其他垃圾分别放置并单独投放。“十三五”期间，基本实现三明市区餐厨垃圾收运处理，初步实现各县城区餐厨垃圾收运处理，餐厨垃圾处理规模达</w:t>
      </w:r>
      <w:r>
        <w:rPr>
          <w:rFonts w:ascii="仿宋_GB2312" w:hAnsi="仿宋" w:eastAsia="仿宋_GB2312"/>
          <w:color w:val="000000"/>
          <w:sz w:val="32"/>
          <w:szCs w:val="32"/>
        </w:rPr>
        <w:t>155</w:t>
      </w:r>
      <w:r>
        <w:rPr>
          <w:rFonts w:hint="eastAsia" w:ascii="仿宋_GB2312" w:hAnsi="仿宋" w:eastAsia="仿宋_GB2312"/>
          <w:color w:val="000000"/>
          <w:sz w:val="32"/>
          <w:szCs w:val="32"/>
        </w:rPr>
        <w:t>吨</w:t>
      </w:r>
      <w:r>
        <w:rPr>
          <w:rFonts w:ascii="仿宋_GB2312" w:hAnsi="仿宋" w:eastAsia="仿宋_GB2312"/>
          <w:color w:val="000000"/>
          <w:sz w:val="32"/>
          <w:szCs w:val="32"/>
        </w:rPr>
        <w:t>/</w:t>
      </w:r>
      <w:r>
        <w:rPr>
          <w:rFonts w:hint="eastAsia" w:ascii="仿宋_GB2312" w:hAnsi="仿宋" w:eastAsia="仿宋_GB2312"/>
          <w:color w:val="000000"/>
          <w:sz w:val="32"/>
          <w:szCs w:val="32"/>
        </w:rPr>
        <w:t>天。</w:t>
      </w:r>
    </w:p>
    <w:p w14:paraId="7AA1BE9F">
      <w:pPr>
        <w:pStyle w:val="39"/>
        <w:spacing w:before="0" w:after="0" w:line="600" w:lineRule="atLeast"/>
        <w:ind w:firstLine="643"/>
        <w:rPr>
          <w:rFonts w:ascii="仿宋_GB2312" w:hAnsi="仿宋" w:eastAsia="仿宋_GB2312"/>
          <w:color w:val="000000"/>
          <w:sz w:val="32"/>
          <w:szCs w:val="32"/>
        </w:rPr>
      </w:pPr>
      <w:r>
        <w:rPr>
          <w:rFonts w:hint="eastAsia" w:ascii="仿宋_GB2312" w:hAnsi="仿宋" w:eastAsia="仿宋_GB2312"/>
          <w:b/>
          <w:color w:val="000000"/>
          <w:sz w:val="32"/>
          <w:szCs w:val="32"/>
        </w:rPr>
        <w:t>大力推进畜禽养殖废弃物资源化利用</w:t>
      </w:r>
      <w:r>
        <w:rPr>
          <w:rFonts w:hint="eastAsia" w:ascii="仿宋_GB2312" w:hAnsi="仿宋" w:eastAsia="仿宋_GB2312"/>
          <w:color w:val="000000"/>
          <w:sz w:val="32"/>
          <w:szCs w:val="32"/>
        </w:rPr>
        <w:t>。深入实施畜禽养殖排泄物资源化利用和农村沼气工程，开展集中供气示范，培育农村沼气服务组织，健全沼气服务网点，实现农村能源清洁化利用。积极鼓励利用山地丘陵发展休闲观光农业，逐步推广“资源</w:t>
      </w:r>
      <w:r>
        <w:rPr>
          <w:rFonts w:ascii="仿宋_GB2312" w:hAnsi="仿宋" w:eastAsia="仿宋_GB2312"/>
          <w:color w:val="000000"/>
          <w:sz w:val="32"/>
          <w:szCs w:val="32"/>
        </w:rPr>
        <w:t>-</w:t>
      </w:r>
      <w:r>
        <w:rPr>
          <w:rFonts w:hint="eastAsia" w:ascii="仿宋_GB2312" w:hAnsi="仿宋" w:eastAsia="仿宋_GB2312"/>
          <w:color w:val="000000"/>
          <w:sz w:val="32"/>
          <w:szCs w:val="32"/>
        </w:rPr>
        <w:t>废弃物</w:t>
      </w:r>
      <w:r>
        <w:rPr>
          <w:rFonts w:ascii="仿宋_GB2312" w:hAnsi="仿宋" w:eastAsia="仿宋_GB2312"/>
          <w:color w:val="000000"/>
          <w:sz w:val="32"/>
          <w:szCs w:val="32"/>
        </w:rPr>
        <w:t>-</w:t>
      </w:r>
      <w:r>
        <w:rPr>
          <w:rFonts w:hint="eastAsia" w:ascii="仿宋_GB2312" w:hAnsi="仿宋" w:eastAsia="仿宋_GB2312"/>
          <w:color w:val="000000"/>
          <w:sz w:val="32"/>
          <w:szCs w:val="32"/>
        </w:rPr>
        <w:t>再生资源”的循环农业发展模式，加大力度推广猪</w:t>
      </w:r>
      <w:r>
        <w:rPr>
          <w:rFonts w:ascii="仿宋_GB2312" w:hAnsi="仿宋" w:eastAsia="仿宋_GB2312"/>
          <w:color w:val="000000"/>
          <w:sz w:val="32"/>
          <w:szCs w:val="32"/>
        </w:rPr>
        <w:t>-</w:t>
      </w:r>
      <w:r>
        <w:rPr>
          <w:rFonts w:hint="eastAsia" w:ascii="仿宋_GB2312" w:hAnsi="仿宋" w:eastAsia="仿宋_GB2312"/>
          <w:color w:val="000000"/>
          <w:sz w:val="32"/>
          <w:szCs w:val="32"/>
        </w:rPr>
        <w:t>沼</w:t>
      </w:r>
      <w:r>
        <w:rPr>
          <w:rFonts w:ascii="仿宋_GB2312" w:hAnsi="仿宋" w:eastAsia="仿宋_GB2312"/>
          <w:color w:val="000000"/>
          <w:sz w:val="32"/>
          <w:szCs w:val="32"/>
        </w:rPr>
        <w:t>-</w:t>
      </w:r>
      <w:r>
        <w:rPr>
          <w:rFonts w:hint="eastAsia" w:ascii="仿宋_GB2312" w:hAnsi="仿宋" w:eastAsia="仿宋_GB2312"/>
          <w:color w:val="000000"/>
          <w:sz w:val="32"/>
          <w:szCs w:val="32"/>
        </w:rPr>
        <w:t>果（茶、菜、菌）和稻鱼共生、鱼菜共生等生态种养模式，推动形成农业废弃物低碳循环产业链。到</w:t>
      </w:r>
      <w:r>
        <w:rPr>
          <w:rFonts w:ascii="仿宋_GB2312" w:hAnsi="仿宋" w:eastAsia="仿宋_GB2312"/>
          <w:color w:val="000000"/>
          <w:sz w:val="32"/>
          <w:szCs w:val="32"/>
        </w:rPr>
        <w:t>2020</w:t>
      </w:r>
      <w:r>
        <w:rPr>
          <w:rFonts w:hint="eastAsia" w:ascii="仿宋_GB2312" w:hAnsi="仿宋" w:eastAsia="仿宋_GB2312"/>
          <w:color w:val="000000"/>
          <w:sz w:val="32"/>
          <w:szCs w:val="32"/>
        </w:rPr>
        <w:t>年，实现全市农业废弃物综合利用率达到</w:t>
      </w:r>
      <w:r>
        <w:rPr>
          <w:rFonts w:ascii="仿宋_GB2312" w:hAnsi="仿宋" w:eastAsia="仿宋_GB2312"/>
          <w:color w:val="000000"/>
          <w:sz w:val="32"/>
          <w:szCs w:val="32"/>
        </w:rPr>
        <w:t>95%</w:t>
      </w:r>
      <w:r>
        <w:rPr>
          <w:rFonts w:hint="eastAsia" w:ascii="仿宋_GB2312" w:hAnsi="仿宋" w:eastAsia="仿宋_GB2312"/>
          <w:color w:val="000000"/>
          <w:sz w:val="32"/>
          <w:szCs w:val="32"/>
        </w:rPr>
        <w:t>以上，农村清洁能源、农作物秸秆、规模畜禽养殖场排泄物利用率分别达</w:t>
      </w:r>
      <w:r>
        <w:rPr>
          <w:rFonts w:ascii="仿宋_GB2312" w:hAnsi="仿宋" w:eastAsia="仿宋_GB2312"/>
          <w:color w:val="000000"/>
          <w:sz w:val="32"/>
          <w:szCs w:val="32"/>
        </w:rPr>
        <w:t>70%</w:t>
      </w:r>
      <w:r>
        <w:rPr>
          <w:rFonts w:hint="eastAsia" w:ascii="仿宋_GB2312" w:hAnsi="仿宋" w:eastAsia="仿宋_GB2312"/>
          <w:color w:val="000000"/>
          <w:sz w:val="32"/>
          <w:szCs w:val="32"/>
        </w:rPr>
        <w:t>、</w:t>
      </w:r>
      <w:r>
        <w:rPr>
          <w:rFonts w:ascii="仿宋_GB2312" w:hAnsi="仿宋" w:eastAsia="仿宋_GB2312"/>
          <w:color w:val="000000"/>
          <w:sz w:val="32"/>
          <w:szCs w:val="32"/>
        </w:rPr>
        <w:t>80%</w:t>
      </w:r>
      <w:r>
        <w:rPr>
          <w:rFonts w:hint="eastAsia" w:ascii="仿宋_GB2312" w:hAnsi="仿宋" w:eastAsia="仿宋_GB2312"/>
          <w:color w:val="000000"/>
          <w:sz w:val="32"/>
          <w:szCs w:val="32"/>
        </w:rPr>
        <w:t>和</w:t>
      </w:r>
      <w:r>
        <w:rPr>
          <w:rFonts w:ascii="仿宋_GB2312" w:hAnsi="仿宋" w:eastAsia="仿宋_GB2312"/>
          <w:color w:val="000000"/>
          <w:sz w:val="32"/>
          <w:szCs w:val="32"/>
        </w:rPr>
        <w:t>90%</w:t>
      </w:r>
      <w:r>
        <w:rPr>
          <w:rFonts w:hint="eastAsia" w:ascii="仿宋_GB2312" w:hAnsi="仿宋" w:eastAsia="仿宋_GB2312"/>
          <w:color w:val="000000"/>
          <w:sz w:val="32"/>
          <w:szCs w:val="32"/>
        </w:rPr>
        <w:t>以上。</w:t>
      </w:r>
    </w:p>
    <w:p w14:paraId="7250ECAE">
      <w:pPr>
        <w:pStyle w:val="5"/>
      </w:pPr>
      <w:bookmarkStart w:id="89" w:name="_Toc496795538"/>
      <w:bookmarkEnd w:id="89"/>
      <w:bookmarkStart w:id="90" w:name="_Toc496795539"/>
      <w:bookmarkEnd w:id="90"/>
      <w:bookmarkStart w:id="91" w:name="_Toc496795596"/>
      <w:bookmarkEnd w:id="91"/>
      <w:bookmarkStart w:id="92" w:name="_Toc524597412"/>
      <w:r>
        <w:rPr>
          <w:rFonts w:hint="eastAsia"/>
        </w:rPr>
        <w:t>（三）增强生态系统碳汇能力</w:t>
      </w:r>
      <w:bookmarkEnd w:id="92"/>
    </w:p>
    <w:p w14:paraId="3BDA1FCB">
      <w:pPr>
        <w:ind w:firstLine="640" w:firstLineChars="200"/>
      </w:pPr>
      <w:r>
        <w:rPr>
          <w:rFonts w:hint="eastAsia"/>
        </w:rPr>
        <w:t>充分发挥三明市森林碳汇优势，持续推进“森林三明”建设，治理和修复生态环境，积极开展植树造林和森林经营工作，加强农田和湿地保护，提升城市绿地系统的固碳能力，为最大程度平衡碳源产生的碳排放、降低城市总体碳排放提供有效支持。</w:t>
      </w:r>
    </w:p>
    <w:p w14:paraId="72B9DD53">
      <w:pPr>
        <w:pStyle w:val="6"/>
        <w:ind w:left="640"/>
      </w:pPr>
      <w:bookmarkStart w:id="93" w:name="_Toc496795605"/>
      <w:bookmarkEnd w:id="93"/>
      <w:bookmarkStart w:id="94" w:name="_Toc496795606"/>
      <w:bookmarkEnd w:id="94"/>
      <w:bookmarkStart w:id="95" w:name="_Toc496795607"/>
      <w:bookmarkEnd w:id="95"/>
      <w:bookmarkStart w:id="96" w:name="_Toc496795608"/>
      <w:bookmarkEnd w:id="96"/>
      <w:bookmarkStart w:id="97" w:name="_Toc496795609"/>
      <w:bookmarkEnd w:id="97"/>
      <w:bookmarkStart w:id="98" w:name="_Toc496795610"/>
      <w:bookmarkEnd w:id="98"/>
      <w:bookmarkStart w:id="99" w:name="_Toc496795611"/>
      <w:bookmarkEnd w:id="99"/>
      <w:bookmarkStart w:id="100" w:name="_Toc496795612"/>
      <w:bookmarkEnd w:id="100"/>
      <w:bookmarkStart w:id="101" w:name="_Toc496795613"/>
      <w:bookmarkEnd w:id="101"/>
      <w:bookmarkStart w:id="102" w:name="_Toc496795614"/>
      <w:bookmarkEnd w:id="102"/>
      <w:bookmarkStart w:id="103" w:name="_Toc496795615"/>
      <w:bookmarkEnd w:id="103"/>
      <w:bookmarkStart w:id="104" w:name="_Toc496795616"/>
      <w:bookmarkEnd w:id="104"/>
      <w:r>
        <w:t>1.</w:t>
      </w:r>
      <w:r>
        <w:rPr>
          <w:rFonts w:hint="eastAsia"/>
        </w:rPr>
        <w:t>提升森林固碳能力</w:t>
      </w:r>
    </w:p>
    <w:p w14:paraId="7F815115">
      <w:pPr>
        <w:ind w:firstLine="643" w:firstLineChars="200"/>
        <w:rPr>
          <w:rFonts w:ascii="仿宋_GB2312" w:cs="宋体"/>
          <w:kern w:val="0"/>
          <w:szCs w:val="32"/>
        </w:rPr>
      </w:pPr>
      <w:r>
        <w:rPr>
          <w:rFonts w:hint="eastAsia" w:ascii="仿宋_GB2312" w:cs="宋体"/>
          <w:b/>
          <w:kern w:val="0"/>
          <w:szCs w:val="32"/>
        </w:rPr>
        <w:t>加强战略性资源培育</w:t>
      </w:r>
      <w:r>
        <w:rPr>
          <w:rFonts w:hint="eastAsia" w:ascii="仿宋_GB2312" w:cs="宋体"/>
          <w:kern w:val="0"/>
          <w:szCs w:val="32"/>
        </w:rPr>
        <w:t>。重点发展杉木等短周期工业原料林、速生丰产林和闽楠等珍贵树种用材林。以国有林场及重点林区为主，着力储备一批树种特色明显、径级大、结构优、品种多、林地生产力高的优质木材基地。“十三五”期间，全市新建国家木材战略储备基地</w:t>
      </w:r>
      <w:r>
        <w:rPr>
          <w:rFonts w:ascii="仿宋_GB2312" w:cs="宋体"/>
          <w:kern w:val="0"/>
          <w:szCs w:val="32"/>
        </w:rPr>
        <w:t>45</w:t>
      </w:r>
      <w:r>
        <w:rPr>
          <w:rFonts w:hint="eastAsia" w:ascii="仿宋_GB2312" w:cs="宋体"/>
          <w:kern w:val="0"/>
          <w:szCs w:val="32"/>
        </w:rPr>
        <w:t>万亩。</w:t>
      </w:r>
    </w:p>
    <w:p w14:paraId="65786FE0">
      <w:pPr>
        <w:ind w:firstLine="643" w:firstLineChars="200"/>
        <w:rPr>
          <w:rFonts w:ascii="仿宋_GB2312" w:cs="宋体"/>
          <w:kern w:val="0"/>
          <w:szCs w:val="32"/>
        </w:rPr>
      </w:pPr>
      <w:r>
        <w:rPr>
          <w:rFonts w:hint="eastAsia" w:ascii="仿宋_GB2312" w:cs="宋体"/>
          <w:b/>
          <w:kern w:val="0"/>
          <w:szCs w:val="32"/>
        </w:rPr>
        <w:t>坚持科学造林</w:t>
      </w:r>
      <w:r>
        <w:rPr>
          <w:rFonts w:hint="eastAsia" w:ascii="仿宋_GB2312" w:cs="宋体"/>
          <w:kern w:val="0"/>
          <w:szCs w:val="32"/>
        </w:rPr>
        <w:t>。重点落实好森林生态景观带建设，并做到：上年度林采伐迹地必须造上林；上年森林火灾、林业有害生物危害和盗砍滥伐迹地必须造上林。“十三五”期间，全市规划植树造林面</w:t>
      </w:r>
      <w:r>
        <w:rPr>
          <w:rFonts w:ascii="仿宋_GB2312" w:cs="宋体"/>
          <w:kern w:val="0"/>
          <w:szCs w:val="32"/>
        </w:rPr>
        <w:t>90</w:t>
      </w:r>
      <w:r>
        <w:rPr>
          <w:rFonts w:hint="eastAsia" w:ascii="仿宋_GB2312" w:cs="宋体"/>
          <w:kern w:val="0"/>
          <w:szCs w:val="32"/>
        </w:rPr>
        <w:t>万亩。</w:t>
      </w:r>
    </w:p>
    <w:p w14:paraId="108AC3B3">
      <w:pPr>
        <w:ind w:firstLine="643" w:firstLineChars="200"/>
        <w:rPr>
          <w:rFonts w:ascii="仿宋_GB2312" w:cs="宋体"/>
          <w:kern w:val="0"/>
          <w:szCs w:val="32"/>
        </w:rPr>
      </w:pPr>
      <w:r>
        <w:rPr>
          <w:rFonts w:hint="eastAsia" w:ascii="仿宋_GB2312" w:cs="宋体"/>
          <w:b/>
          <w:kern w:val="0"/>
          <w:szCs w:val="32"/>
        </w:rPr>
        <w:t>持续推进森林可持续经营</w:t>
      </w:r>
      <w:r>
        <w:rPr>
          <w:rFonts w:hint="eastAsia" w:ascii="仿宋_GB2312" w:cs="宋体"/>
          <w:kern w:val="0"/>
          <w:szCs w:val="32"/>
        </w:rPr>
        <w:t>。重点加强森林抚育和封山育林，增加森林资源，优化森林结构，改善林木生长环境，增强森林防护效能，有效提高林地生产力和森林质量。“十三五”期间，全市实施森林抚育</w:t>
      </w:r>
      <w:r>
        <w:rPr>
          <w:rFonts w:ascii="仿宋_GB2312" w:cs="宋体"/>
          <w:kern w:val="0"/>
          <w:szCs w:val="32"/>
        </w:rPr>
        <w:t>363</w:t>
      </w:r>
      <w:r>
        <w:rPr>
          <w:rFonts w:hint="eastAsia" w:ascii="仿宋_GB2312" w:cs="宋体"/>
          <w:kern w:val="0"/>
          <w:szCs w:val="32"/>
        </w:rPr>
        <w:t>万亩以上，封山育林</w:t>
      </w:r>
      <w:r>
        <w:rPr>
          <w:rFonts w:ascii="仿宋_GB2312" w:cs="宋体"/>
          <w:kern w:val="0"/>
          <w:szCs w:val="32"/>
        </w:rPr>
        <w:t>125</w:t>
      </w:r>
      <w:r>
        <w:rPr>
          <w:rFonts w:hint="eastAsia" w:ascii="仿宋_GB2312" w:cs="宋体"/>
          <w:kern w:val="0"/>
          <w:szCs w:val="32"/>
        </w:rPr>
        <w:t>万亩以上。</w:t>
      </w:r>
    </w:p>
    <w:p w14:paraId="29500C74">
      <w:pPr>
        <w:pStyle w:val="6"/>
        <w:ind w:left="640"/>
      </w:pPr>
      <w:r>
        <w:t>2.</w:t>
      </w:r>
      <w:r>
        <w:rPr>
          <w:rFonts w:hint="eastAsia"/>
        </w:rPr>
        <w:t>保护湿地和农田碳汇</w:t>
      </w:r>
    </w:p>
    <w:p w14:paraId="55571E83">
      <w:pPr>
        <w:ind w:firstLine="643" w:firstLineChars="200"/>
        <w:rPr>
          <w:rFonts w:ascii="仿宋_GB2312" w:cs="宋体"/>
          <w:kern w:val="0"/>
          <w:szCs w:val="32"/>
        </w:rPr>
      </w:pPr>
      <w:r>
        <w:rPr>
          <w:rFonts w:hint="eastAsia" w:ascii="仿宋_GB2312" w:cs="宋体"/>
          <w:b/>
          <w:kern w:val="0"/>
          <w:szCs w:val="32"/>
        </w:rPr>
        <w:t>保护和恢复湿地生态系统</w:t>
      </w:r>
      <w:r>
        <w:rPr>
          <w:rFonts w:hint="eastAsia" w:ascii="仿宋_GB2312" w:cs="宋体"/>
          <w:kern w:val="0"/>
          <w:szCs w:val="32"/>
        </w:rPr>
        <w:t>。开展自然湿地抢救性保护，重点对金溪流域、沙溪流域、尤溪流域、永安龙头湿地公园等生态区位特别重要或受严重破坏的自然湿地进行保护。实施湿地生态修复工程，加强对金溪、沙溪、尤溪、大金湖、龙头湿地、重要饮用水源地湿地、重要城市湿地、薯沙溪引调水工程沿线湿地等退化湿地的生态修复治理。力争到</w:t>
      </w:r>
      <w:r>
        <w:rPr>
          <w:rFonts w:ascii="仿宋_GB2312" w:cs="宋体"/>
          <w:kern w:val="0"/>
          <w:szCs w:val="32"/>
        </w:rPr>
        <w:t>2020</w:t>
      </w:r>
      <w:r>
        <w:rPr>
          <w:rFonts w:hint="eastAsia" w:ascii="仿宋_GB2312" w:cs="宋体"/>
          <w:kern w:val="0"/>
          <w:szCs w:val="32"/>
        </w:rPr>
        <w:t>年，自然湿地保护率达到</w:t>
      </w:r>
      <w:r>
        <w:rPr>
          <w:rFonts w:ascii="仿宋_GB2312" w:cs="宋体"/>
          <w:kern w:val="0"/>
          <w:szCs w:val="32"/>
        </w:rPr>
        <w:t>28.46%</w:t>
      </w:r>
      <w:r>
        <w:rPr>
          <w:rFonts w:hint="eastAsia" w:ascii="仿宋_GB2312" w:cs="宋体"/>
          <w:kern w:val="0"/>
          <w:szCs w:val="32"/>
        </w:rPr>
        <w:t>。</w:t>
      </w:r>
    </w:p>
    <w:p w14:paraId="4C48EA79">
      <w:pPr>
        <w:ind w:firstLine="643" w:firstLineChars="200"/>
        <w:rPr>
          <w:rFonts w:ascii="仿宋_GB2312" w:cs="宋体"/>
          <w:kern w:val="0"/>
          <w:szCs w:val="32"/>
        </w:rPr>
      </w:pPr>
      <w:r>
        <w:rPr>
          <w:rFonts w:hint="eastAsia" w:ascii="仿宋_GB2312" w:cs="宋体"/>
          <w:b/>
          <w:kern w:val="0"/>
          <w:szCs w:val="32"/>
        </w:rPr>
        <w:t>保护和改良农田生态系统</w:t>
      </w:r>
      <w:r>
        <w:rPr>
          <w:rFonts w:hint="eastAsia" w:ascii="仿宋_GB2312" w:cs="宋体"/>
          <w:kern w:val="0"/>
          <w:szCs w:val="32"/>
        </w:rPr>
        <w:t>。大力开展农业湿地和农田林网建设与保护，加强农田防护与生态环境保持工程建设，充分应用农业湿地捕碳固碳，新建、修复农田防护林网；在水土流失重点预防区和重点治理区，开展沟道治理、坡面防护，合理修筑岸坡防护等设施，确保农田防护面积比例不低于</w:t>
      </w:r>
      <w:r>
        <w:rPr>
          <w:rFonts w:ascii="仿宋_GB2312" w:cs="宋体"/>
          <w:kern w:val="0"/>
          <w:szCs w:val="32"/>
        </w:rPr>
        <w:t>85%</w:t>
      </w:r>
      <w:r>
        <w:rPr>
          <w:rFonts w:hint="eastAsia" w:ascii="仿宋_GB2312" w:cs="宋体"/>
          <w:kern w:val="0"/>
          <w:szCs w:val="32"/>
        </w:rPr>
        <w:t>。加强耕地质量建设，积极推进土地的“深翻深松”，通过客土充填、剥离回填肥沃的表土层，改善农田耕作层，提升耕地质量水平，保护现有碳库，保持农田土壤生态系统的长期固碳能力。</w:t>
      </w:r>
    </w:p>
    <w:p w14:paraId="5BE7AE65">
      <w:pPr>
        <w:ind w:firstLine="643" w:firstLineChars="200"/>
        <w:rPr>
          <w:rFonts w:ascii="仿宋_GB2312" w:cs="宋体"/>
          <w:kern w:val="0"/>
          <w:szCs w:val="32"/>
        </w:rPr>
      </w:pPr>
      <w:r>
        <w:rPr>
          <w:rFonts w:hint="eastAsia" w:ascii="仿宋_GB2312" w:cs="宋体"/>
          <w:b/>
          <w:kern w:val="0"/>
          <w:szCs w:val="32"/>
        </w:rPr>
        <w:t>保护和提升耕地质量</w:t>
      </w:r>
      <w:r>
        <w:rPr>
          <w:rFonts w:hint="eastAsia" w:ascii="仿宋_GB2312" w:cs="宋体"/>
          <w:kern w:val="0"/>
          <w:szCs w:val="32"/>
        </w:rPr>
        <w:t>。科学有序推进高标准农田建设，统筹农业综合开发资金、农田水利设施建设补助资金、国家新增千亿斤粮食生产能力建设投资、抛荒山垅田复耕等项目资金，集中力量开展土地整理、农田水利修建、土壤改良、机耕道路建设、电网配套等农田基础设施建设，到</w:t>
      </w:r>
      <w:r>
        <w:rPr>
          <w:rFonts w:ascii="仿宋_GB2312" w:cs="宋体"/>
          <w:kern w:val="0"/>
          <w:szCs w:val="32"/>
        </w:rPr>
        <w:t>2020</w:t>
      </w:r>
      <w:r>
        <w:rPr>
          <w:rFonts w:hint="eastAsia" w:ascii="仿宋_GB2312" w:cs="宋体"/>
          <w:kern w:val="0"/>
          <w:szCs w:val="32"/>
        </w:rPr>
        <w:t>年，全市高标准农田建设</w:t>
      </w:r>
      <w:r>
        <w:rPr>
          <w:rFonts w:ascii="仿宋_GB2312" w:cs="宋体"/>
          <w:kern w:val="0"/>
          <w:szCs w:val="32"/>
        </w:rPr>
        <w:t>66</w:t>
      </w:r>
      <w:r>
        <w:rPr>
          <w:rFonts w:hint="eastAsia" w:ascii="仿宋_GB2312" w:cs="宋体"/>
          <w:kern w:val="0"/>
          <w:szCs w:val="32"/>
        </w:rPr>
        <w:t>万亩。贯彻落实国家藏粮于地、藏粮于技战略，推动实施耕地“地力提升工程”，鼓励秸秆还田、增施有机肥、种植绿肥。“十三五”期间，全市种植绿肥和推广秸秆催腐还田、商品有机肥</w:t>
      </w:r>
      <w:r>
        <w:rPr>
          <w:rFonts w:ascii="仿宋_GB2312" w:cs="宋体"/>
          <w:kern w:val="0"/>
          <w:szCs w:val="32"/>
        </w:rPr>
        <w:t>90</w:t>
      </w:r>
      <w:r>
        <w:rPr>
          <w:rFonts w:hint="eastAsia" w:ascii="仿宋_GB2312" w:cs="宋体"/>
          <w:kern w:val="0"/>
          <w:szCs w:val="32"/>
        </w:rPr>
        <w:t>万亩。</w:t>
      </w:r>
    </w:p>
    <w:p w14:paraId="7E2D50FC">
      <w:pPr>
        <w:pStyle w:val="6"/>
        <w:ind w:left="640"/>
      </w:pPr>
      <w:bookmarkStart w:id="105" w:name="_Toc496795625"/>
      <w:bookmarkEnd w:id="105"/>
      <w:bookmarkStart w:id="106" w:name="_Toc496795624"/>
      <w:bookmarkEnd w:id="106"/>
      <w:bookmarkStart w:id="107" w:name="_Toc496795623"/>
      <w:bookmarkEnd w:id="107"/>
      <w:bookmarkStart w:id="108" w:name="_Toc496795626"/>
      <w:bookmarkEnd w:id="108"/>
      <w:r>
        <w:t>3.</w:t>
      </w:r>
      <w:r>
        <w:rPr>
          <w:rFonts w:hint="eastAsia"/>
        </w:rPr>
        <w:t>构建城乡碳汇体系</w:t>
      </w:r>
    </w:p>
    <w:p w14:paraId="70B89F0E">
      <w:pPr>
        <w:ind w:firstLine="639" w:firstLineChars="199"/>
        <w:rPr>
          <w:rFonts w:ascii="仿宋_GB2312" w:cs="宋体"/>
          <w:kern w:val="0"/>
          <w:szCs w:val="32"/>
        </w:rPr>
      </w:pPr>
      <w:r>
        <w:rPr>
          <w:rFonts w:hint="eastAsia" w:ascii="仿宋_GB2312" w:cs="宋体"/>
          <w:b/>
          <w:kern w:val="0"/>
          <w:szCs w:val="32"/>
        </w:rPr>
        <w:t>持续推进国家森林城市建设</w:t>
      </w:r>
      <w:r>
        <w:rPr>
          <w:rFonts w:hint="eastAsia" w:ascii="仿宋_GB2312" w:cs="宋体"/>
          <w:kern w:val="0"/>
          <w:szCs w:val="32"/>
        </w:rPr>
        <w:t>。着力实施公园、道路、重要景点、小区、单位绿化“五个提升”工程，加快“十里闽学文化长廊”、妙元山郊野公园、文笔山综合公园改造、龙泉山公园、后溪沿河及龟山公园尾部等城市园林项目建设。规划建立三明市公路生态景观服务体系，以国道改扩建为试点领域，推进公路生态景观服务体系示范工程，至</w:t>
      </w:r>
      <w:r>
        <w:rPr>
          <w:rFonts w:ascii="仿宋_GB2312" w:cs="宋体"/>
          <w:kern w:val="0"/>
          <w:szCs w:val="32"/>
        </w:rPr>
        <w:t>2020</w:t>
      </w:r>
      <w:r>
        <w:rPr>
          <w:rFonts w:hint="eastAsia" w:ascii="仿宋_GB2312" w:cs="宋体"/>
          <w:kern w:val="0"/>
          <w:szCs w:val="32"/>
        </w:rPr>
        <w:t>年，在三明市区、沙县、泰宁、永安、清流等旅游资源丰富的县（市）重点推进</w:t>
      </w:r>
      <w:r>
        <w:rPr>
          <w:rFonts w:ascii="仿宋_GB2312" w:cs="宋体"/>
          <w:kern w:val="0"/>
          <w:szCs w:val="32"/>
        </w:rPr>
        <w:t>1-2</w:t>
      </w:r>
      <w:r>
        <w:rPr>
          <w:rFonts w:hint="eastAsia" w:ascii="仿宋_GB2312" w:cs="宋体"/>
          <w:kern w:val="0"/>
          <w:szCs w:val="32"/>
        </w:rPr>
        <w:t>条生态景观示范公路建设。加快建成通车的高速公路、铁路、国省道等交通干线两侧及沿线一重山造林绿化美化，对于有条件的重点路段，按照“树有高度、林有厚度、绿有浓度”的要求，通过“补植修复、拓展延伸、调整提升”，打造“带、网、片”相连的森林生态景观通道。</w:t>
      </w:r>
    </w:p>
    <w:p w14:paraId="10DEA117">
      <w:pPr>
        <w:ind w:firstLine="639" w:firstLineChars="199"/>
        <w:rPr>
          <w:rFonts w:ascii="仿宋_GB2312" w:cs="宋体"/>
          <w:kern w:val="0"/>
        </w:rPr>
      </w:pPr>
      <w:r>
        <w:rPr>
          <w:rFonts w:hint="eastAsia" w:ascii="仿宋_GB2312" w:cs="宋体"/>
          <w:b/>
          <w:kern w:val="0"/>
          <w:szCs w:val="32"/>
        </w:rPr>
        <w:t>大力开展绿色村镇建设</w:t>
      </w:r>
      <w:r>
        <w:rPr>
          <w:rFonts w:hint="eastAsia" w:ascii="仿宋_GB2312" w:cs="宋体"/>
          <w:kern w:val="0"/>
          <w:szCs w:val="32"/>
        </w:rPr>
        <w:t>。积极引导村民利用“四旁四地”（村旁、宅旁、水旁、路旁，宜林荒山荒地、低质低效林地、坡耕地、抛荒地）种植珍贵和优良乡土树种。结合村镇特色，因地制宜开展乡村公园和古树名木公园建设，最大限度保留乡土元素，传承地域传统文化，努力打造“一村一景”、“一村一韵”、“一村一品”、环境优美、自然生态的宜居乡村，形成一批产业发展型、旅游休闲型、传统村落型、自然生态型绿色村庄。村庄林木绿化率达</w:t>
      </w:r>
      <w:r>
        <w:rPr>
          <w:rFonts w:ascii="仿宋_GB2312" w:cs="宋体"/>
          <w:kern w:val="0"/>
          <w:szCs w:val="32"/>
        </w:rPr>
        <w:t>30%</w:t>
      </w:r>
      <w:r>
        <w:rPr>
          <w:rFonts w:hint="eastAsia" w:ascii="仿宋_GB2312" w:cs="宋体"/>
          <w:kern w:val="0"/>
          <w:szCs w:val="32"/>
        </w:rPr>
        <w:t>以上。</w:t>
      </w:r>
    </w:p>
    <w:p w14:paraId="3631ABA1">
      <w:pPr>
        <w:pStyle w:val="4"/>
      </w:pPr>
      <w:bookmarkStart w:id="109" w:name="_Toc508311690"/>
      <w:bookmarkEnd w:id="109"/>
      <w:bookmarkStart w:id="110" w:name="_Toc508311691"/>
      <w:bookmarkEnd w:id="110"/>
      <w:bookmarkStart w:id="111" w:name="_Toc508311692"/>
      <w:bookmarkEnd w:id="111"/>
      <w:bookmarkStart w:id="112" w:name="_Toc508311693"/>
      <w:bookmarkEnd w:id="112"/>
      <w:bookmarkStart w:id="113" w:name="_Toc508311704"/>
      <w:bookmarkEnd w:id="113"/>
      <w:bookmarkStart w:id="114" w:name="_Toc508311714"/>
      <w:bookmarkEnd w:id="114"/>
      <w:bookmarkStart w:id="115" w:name="_Toc508311719"/>
      <w:bookmarkEnd w:id="115"/>
      <w:bookmarkStart w:id="116" w:name="_Toc508311724"/>
      <w:bookmarkEnd w:id="116"/>
      <w:bookmarkStart w:id="117" w:name="_Toc508311729"/>
      <w:bookmarkEnd w:id="117"/>
      <w:bookmarkStart w:id="118" w:name="_Toc508311734"/>
      <w:bookmarkEnd w:id="118"/>
      <w:bookmarkStart w:id="119" w:name="_Toc508311744"/>
      <w:bookmarkEnd w:id="119"/>
      <w:bookmarkStart w:id="120" w:name="_Toc508311749"/>
      <w:bookmarkEnd w:id="120"/>
      <w:bookmarkStart w:id="121" w:name="_Toc508311754"/>
      <w:bookmarkEnd w:id="121"/>
      <w:bookmarkStart w:id="122" w:name="_Toc508311759"/>
      <w:bookmarkEnd w:id="122"/>
      <w:bookmarkStart w:id="123" w:name="_Toc508311769"/>
      <w:bookmarkEnd w:id="123"/>
      <w:bookmarkStart w:id="124" w:name="_Toc508311779"/>
      <w:bookmarkEnd w:id="124"/>
      <w:bookmarkStart w:id="125" w:name="_Toc508311784"/>
      <w:bookmarkEnd w:id="125"/>
      <w:bookmarkStart w:id="126" w:name="_Toc508311785"/>
      <w:bookmarkEnd w:id="126"/>
      <w:bookmarkStart w:id="127" w:name="_Toc508311786"/>
      <w:bookmarkEnd w:id="127"/>
      <w:bookmarkStart w:id="128" w:name="_Toc508311787"/>
      <w:bookmarkEnd w:id="128"/>
      <w:bookmarkStart w:id="129" w:name="_Toc508311798"/>
      <w:bookmarkEnd w:id="129"/>
      <w:bookmarkStart w:id="130" w:name="_Toc508311808"/>
      <w:bookmarkEnd w:id="130"/>
      <w:bookmarkStart w:id="131" w:name="_Toc508311813"/>
      <w:bookmarkEnd w:id="131"/>
      <w:bookmarkStart w:id="132" w:name="_Toc508311818"/>
      <w:bookmarkEnd w:id="132"/>
      <w:bookmarkStart w:id="133" w:name="_Toc508311823"/>
      <w:bookmarkEnd w:id="133"/>
      <w:bookmarkStart w:id="134" w:name="_Toc508311828"/>
      <w:bookmarkEnd w:id="134"/>
      <w:bookmarkStart w:id="135" w:name="_Toc508311833"/>
      <w:bookmarkEnd w:id="135"/>
      <w:bookmarkStart w:id="136" w:name="_Toc508311834"/>
      <w:bookmarkEnd w:id="136"/>
      <w:bookmarkStart w:id="137" w:name="_Toc508311835"/>
      <w:bookmarkEnd w:id="137"/>
      <w:bookmarkStart w:id="138" w:name="_Toc508311836"/>
      <w:bookmarkEnd w:id="138"/>
      <w:bookmarkStart w:id="139" w:name="_Toc508311847"/>
      <w:bookmarkEnd w:id="139"/>
      <w:bookmarkStart w:id="140" w:name="_Toc508311852"/>
      <w:bookmarkEnd w:id="140"/>
      <w:bookmarkStart w:id="141" w:name="_Toc508311862"/>
      <w:bookmarkEnd w:id="141"/>
      <w:bookmarkStart w:id="142" w:name="_Toc508311867"/>
      <w:bookmarkEnd w:id="142"/>
      <w:bookmarkStart w:id="143" w:name="_Toc508311872"/>
      <w:bookmarkEnd w:id="143"/>
      <w:bookmarkStart w:id="144" w:name="_Toc508311877"/>
      <w:bookmarkEnd w:id="144"/>
      <w:bookmarkStart w:id="145" w:name="_Toc508311882"/>
      <w:bookmarkEnd w:id="145"/>
      <w:bookmarkStart w:id="146" w:name="_Toc508311892"/>
      <w:bookmarkEnd w:id="146"/>
      <w:bookmarkStart w:id="147" w:name="_Toc508311897"/>
      <w:bookmarkEnd w:id="147"/>
      <w:bookmarkStart w:id="148" w:name="_Toc508311898"/>
      <w:bookmarkEnd w:id="148"/>
      <w:bookmarkStart w:id="149" w:name="_Toc508311899"/>
      <w:bookmarkEnd w:id="149"/>
      <w:bookmarkStart w:id="150" w:name="_Toc508311900"/>
      <w:bookmarkEnd w:id="150"/>
      <w:bookmarkStart w:id="151" w:name="_Toc508311911"/>
      <w:bookmarkEnd w:id="151"/>
      <w:bookmarkStart w:id="152" w:name="_Toc508311916"/>
      <w:bookmarkEnd w:id="152"/>
      <w:bookmarkStart w:id="153" w:name="_Toc508311921"/>
      <w:bookmarkEnd w:id="153"/>
      <w:bookmarkStart w:id="154" w:name="_Toc524597413"/>
      <w:r>
        <w:rPr>
          <w:rFonts w:hint="eastAsia"/>
        </w:rPr>
        <w:t>“推动一批示范”，落实低碳先行先试要求</w:t>
      </w:r>
      <w:bookmarkEnd w:id="154"/>
    </w:p>
    <w:p w14:paraId="0400AA65">
      <w:pPr>
        <w:pStyle w:val="5"/>
      </w:pPr>
      <w:bookmarkStart w:id="155" w:name="_Toc524597414"/>
      <w:r>
        <w:rPr>
          <w:rFonts w:hint="eastAsia"/>
        </w:rPr>
        <w:t>（一）三明生态新城国家低碳城试点深化工程</w:t>
      </w:r>
      <w:bookmarkEnd w:id="155"/>
    </w:p>
    <w:p w14:paraId="024E714C">
      <w:pPr>
        <w:ind w:firstLine="640" w:firstLineChars="200"/>
      </w:pPr>
      <w:r>
        <w:rPr>
          <w:rFonts w:hint="eastAsia"/>
        </w:rPr>
        <w:t>持续推进三明生态新城国家低碳城试点建设工作，以全生命周期低碳化为建设理念，科学做好低碳城的规划设计、产业布局、基础设施建设、运营管理等各阶段工作内容。</w:t>
      </w:r>
    </w:p>
    <w:p w14:paraId="55CB2158">
      <w:pPr>
        <w:pStyle w:val="6"/>
        <w:ind w:left="640"/>
      </w:pPr>
      <w:r>
        <w:t>1.</w:t>
      </w:r>
      <w:r>
        <w:rPr>
          <w:rFonts w:hint="eastAsia"/>
        </w:rPr>
        <w:t>加快推进产城融合发展</w:t>
      </w:r>
    </w:p>
    <w:p w14:paraId="573DE088">
      <w:pPr>
        <w:ind w:firstLine="640" w:firstLineChars="200"/>
      </w:pPr>
      <w:r>
        <w:rPr>
          <w:rFonts w:hint="eastAsia"/>
        </w:rPr>
        <w:t>紧紧围绕生态新城“一带六区”的规划布局，加强空间统筹，协调推进低碳城园区和城镇的建设发展。大力建设现代农业科技园区、高新技术产业园区及空港经济区、现代物流园区，重点推进机械科研院海西分院建设项目、圆通物流项目等重大项目建设，发挥龙头企业示范带动作用，激发低碳城中高端产业发展活力；以中节能产业园、三明陆地港项目等工程建设为创新创业载体，推行产业优惠政策，加强招商引资力度，着力吸引高新技术企业与绿色低碳企业入驻园区有关平台，实现园区产业沿“单个企业→同类企业集群→产业链→产业集群”的发展路径演变。着力建设中央商务区，将工作、居住、休闲、娱乐等生产生活生态元素有机融合，形成园区与城镇互动互进格局。</w:t>
      </w:r>
    </w:p>
    <w:p w14:paraId="479F17BE">
      <w:pPr>
        <w:spacing w:line="240" w:lineRule="auto"/>
        <w:jc w:val="center"/>
      </w:pPr>
      <w:r>
        <w:rPr>
          <w:rFonts w:ascii="仿宋_GB2312" w:hAnsi="Times New Roman" w:eastAsia="仿宋_GB2312" w:cs="Times New Roman"/>
          <w:kern w:val="0"/>
          <w:sz w:val="30"/>
          <w:szCs w:val="30"/>
          <w:lang w:val="en-US" w:eastAsia="zh-CN" w:bidi="ar-SA"/>
        </w:rPr>
        <w:pict>
          <v:shape id="_x0000_i1027" o:spt="75" alt="三明生态新城概念规划图2015-11-26" type="#_x0000_t75" style="height:238.5pt;width:393.75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379D020E">
      <w:pPr>
        <w:spacing w:line="240" w:lineRule="auto"/>
        <w:jc w:val="center"/>
        <w:rPr>
          <w:sz w:val="28"/>
        </w:rPr>
      </w:pPr>
      <w:r>
        <w:rPr>
          <w:rFonts w:hint="eastAsia"/>
          <w:sz w:val="28"/>
        </w:rPr>
        <w:t>图</w:t>
      </w:r>
      <w:r>
        <w:rPr>
          <w:sz w:val="28"/>
        </w:rPr>
        <w:t xml:space="preserve">3-1 </w:t>
      </w:r>
      <w:r>
        <w:rPr>
          <w:rFonts w:hint="eastAsia"/>
          <w:sz w:val="28"/>
        </w:rPr>
        <w:t>三明生态新城国家低碳城试点布局图</w:t>
      </w:r>
    </w:p>
    <w:p w14:paraId="55E1595E">
      <w:pPr>
        <w:pStyle w:val="6"/>
        <w:ind w:left="640"/>
      </w:pPr>
      <w:r>
        <w:t>2.</w:t>
      </w:r>
      <w:r>
        <w:rPr>
          <w:rFonts w:hint="eastAsia"/>
        </w:rPr>
        <w:t>建立绿色招商制度</w:t>
      </w:r>
    </w:p>
    <w:p w14:paraId="7261A39E">
      <w:pPr>
        <w:ind w:firstLine="640" w:firstLineChars="200"/>
        <w:rPr>
          <w:rFonts w:ascii="仿宋_GB2312" w:cs="宋体"/>
          <w:kern w:val="0"/>
          <w:szCs w:val="32"/>
        </w:rPr>
      </w:pPr>
      <w:r>
        <w:rPr>
          <w:rFonts w:hint="eastAsia" w:ascii="仿宋_GB2312" w:cs="宋体"/>
          <w:kern w:val="0"/>
          <w:szCs w:val="32"/>
        </w:rPr>
        <w:t>坚持从污染预防、总量控制入手，强化环保前置审批，推行绿色招商，把好绿色低碳关。一是逐步提高制造业招商准入门槛，严格控制高耗能、高排放以及产能过剩的“两高一剩”产业项目准入，以“绿色、高端、智能”为原则大力扶持科技含量高、发展潜力大的产业项目。二是把农产品加工业和现代服务业项目放在招商重要位置，积极打造现代农业科技园、三明陆地港、沙溪十里平流等为主的农业与旅游招商平台，引进生态农业、现代物流、电子商务、高端养老、旅游文化等企业和项目。三是充分挖掘本地丰富的自然资源和现有项目，整合包装一批分布式能源站、水电站等新能源项目，加强项目推介与对接。</w:t>
      </w:r>
    </w:p>
    <w:p w14:paraId="7EB2C703">
      <w:pPr>
        <w:pStyle w:val="6"/>
        <w:ind w:left="640"/>
      </w:pPr>
      <w:r>
        <w:t>3.</w:t>
      </w:r>
      <w:r>
        <w:rPr>
          <w:rFonts w:hint="eastAsia"/>
        </w:rPr>
        <w:t>完善基础与公共设施低碳化建设</w:t>
      </w:r>
    </w:p>
    <w:p w14:paraId="30148CF7">
      <w:pPr>
        <w:ind w:firstLine="643" w:firstLineChars="200"/>
      </w:pPr>
      <w:r>
        <w:rPr>
          <w:rFonts w:hint="eastAsia"/>
          <w:b/>
        </w:rPr>
        <w:t>加快建设区域分布式能源站</w:t>
      </w:r>
      <w:r>
        <w:rPr>
          <w:rFonts w:hint="eastAsia"/>
        </w:rPr>
        <w:t>。针对低碳城能源需求，在对区域内冷、热、电、燃气负荷等能源预测和天然气、风能、地热能等清洁能源资源评估等基础上，结合低碳城的发展规划特点，分析区域内综合能源需求特点，规划各区域供能形式：以天然气能源站为主体，辅助先进的浅层地热资源利用技术和清洁交通系统，打造智能、清洁、高效的区域能源供应系统。同时，在能源供应系统上配套建设能源智能管理系统，形成区域能源互联网，实现对区域电、热、冷等多种能源的综合优化调度与控制，降低运营成本，节约人员投入。</w:t>
      </w:r>
    </w:p>
    <w:p w14:paraId="73C93395">
      <w:pPr>
        <w:ind w:firstLine="643" w:firstLineChars="200"/>
      </w:pPr>
      <w:r>
        <w:rPr>
          <w:rFonts w:hint="eastAsia"/>
          <w:b/>
        </w:rPr>
        <w:t>构建绿色交通体系</w:t>
      </w:r>
      <w:r>
        <w:rPr>
          <w:rFonts w:hint="eastAsia"/>
        </w:rPr>
        <w:t>。大力推进新能源公交车辆使用，加大购车补贴、免停车费、免牌照费用等政策支持；完善电动汽车充电基础设施建设，制定财政补贴、用电与用地优惠等政策。提倡低碳出行方式，优化公交线路，扩大公交覆盖面；鼓励班车与校车服务；引入公共自行车租赁系统，合理布局和建设公共自行车停放设施，发展慢行交通。</w:t>
      </w:r>
    </w:p>
    <w:p w14:paraId="7C88C361">
      <w:pPr>
        <w:ind w:firstLine="643" w:firstLineChars="200"/>
      </w:pPr>
      <w:r>
        <w:rPr>
          <w:rFonts w:hint="eastAsia"/>
          <w:b/>
        </w:rPr>
        <w:t>推行绿色建筑与碳汇公园建设</w:t>
      </w:r>
      <w:r>
        <w:rPr>
          <w:rFonts w:hint="eastAsia"/>
        </w:rPr>
        <w:t>。积极争取低碳城绿色建筑政策支持，初期启动建筑节能单项工程示范项目，之后逐步推动低碳城开展建筑节能与绿色建筑示范区建设，提高建筑节能技术集成示范水平。加强城市绿地碳汇体系建设，以如意湖碳汇湿地公园建设为重点，为低碳城提供集中的碳汇资源；加强绿化带等分散的城市绿地建设。</w:t>
      </w:r>
    </w:p>
    <w:p w14:paraId="68B22E1A">
      <w:pPr>
        <w:pStyle w:val="6"/>
        <w:spacing w:line="600" w:lineRule="atLeast"/>
        <w:ind w:left="640"/>
      </w:pPr>
      <w:r>
        <w:t>4.</w:t>
      </w:r>
      <w:r>
        <w:rPr>
          <w:rFonts w:hint="eastAsia"/>
        </w:rPr>
        <w:t>搭建低碳管理平台</w:t>
      </w:r>
    </w:p>
    <w:p w14:paraId="260C2070">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明确平台建设目标</w:t>
      </w:r>
      <w:r>
        <w:rPr>
          <w:rFonts w:hint="eastAsia" w:ascii="仿宋_GB2312" w:cs="宋体"/>
          <w:kern w:val="0"/>
          <w:szCs w:val="32"/>
        </w:rPr>
        <w:t>。依托生态新城已建成的全国首个“森林云数据中心”，建设以大数据、物联网、云计算为基础的智能管理综合平台，开展对能源与碳排放的数据收集、核算分析、信息发布和运行监管，并为政府政策的制定和企业减排措施的实施提供科学合理的依据。</w:t>
      </w:r>
    </w:p>
    <w:p w14:paraId="035F9176">
      <w:pPr>
        <w:autoSpaceDE w:val="0"/>
        <w:autoSpaceDN w:val="0"/>
        <w:adjustRightInd w:val="0"/>
        <w:snapToGrid w:val="0"/>
        <w:spacing w:line="600" w:lineRule="atLeast"/>
        <w:ind w:firstLine="643" w:firstLineChars="200"/>
      </w:pPr>
      <w:r>
        <w:rPr>
          <w:rFonts w:hint="eastAsia" w:ascii="仿宋_GB2312" w:cs="宋体"/>
          <w:b/>
          <w:kern w:val="0"/>
          <w:szCs w:val="32"/>
        </w:rPr>
        <w:t>设计平台主要功能</w:t>
      </w:r>
      <w:r>
        <w:rPr>
          <w:rFonts w:hint="eastAsia" w:ascii="仿宋_GB2312" w:cs="宋体"/>
          <w:kern w:val="0"/>
          <w:szCs w:val="32"/>
        </w:rPr>
        <w:t>。平台一是要实现能源消费数据监测与收集功能，实现与能源供应源厂的能源数据对接，实现低碳城内区域、行业、企事业单位三级的能源消费在线监测，完成与统计部门等已有能源填报平台的对接；二是要实现能源消费与碳排放数据统计、核算与分析功能，按月度统计能源消费数据，开展分区域、分能源种类、分行业企业的碳排放核算，分析低碳城不同维度能源消费与碳排放现状和主要行业碳排放水平等；三是要实现信息发布与查询功能，定期在平台上发布低碳城能源消费与碳排放情况报告，实现企业对自身能源消费与碳排放情况的在线查询；四是要实现运行监管功能，通过对企业碳排放数据信息的定期对比分析，判断企业超排情况，并给予警告或处罚。</w:t>
      </w:r>
    </w:p>
    <w:p w14:paraId="15B42567">
      <w:pPr>
        <w:pStyle w:val="5"/>
      </w:pPr>
      <w:bookmarkStart w:id="156" w:name="_Toc524597415"/>
      <w:r>
        <w:rPr>
          <w:rFonts w:hint="eastAsia"/>
        </w:rPr>
        <w:t>（二）低碳景区试点建设工程</w:t>
      </w:r>
      <w:bookmarkEnd w:id="156"/>
    </w:p>
    <w:p w14:paraId="4F1EAA88">
      <w:pPr>
        <w:ind w:firstLine="640" w:firstLineChars="200"/>
      </w:pPr>
      <w:r>
        <w:rPr>
          <w:rFonts w:hint="eastAsia"/>
        </w:rPr>
        <w:t>在三明生态新城内选择</w:t>
      </w:r>
      <w:r>
        <w:t>1-2</w:t>
      </w:r>
      <w:r>
        <w:rPr>
          <w:rFonts w:hint="eastAsia"/>
        </w:rPr>
        <w:t>个适宜区域探索开展低碳景区试点，指导、推进低碳景区的创建、实施工作，为探索低碳旅游建设路径提供有益经验。</w:t>
      </w:r>
    </w:p>
    <w:p w14:paraId="7E581265">
      <w:pPr>
        <w:pStyle w:val="6"/>
        <w:ind w:left="640"/>
      </w:pPr>
      <w:r>
        <w:t>1.</w:t>
      </w:r>
      <w:r>
        <w:rPr>
          <w:rFonts w:hint="eastAsia"/>
        </w:rPr>
        <w:t>实施能源低碳化建设工程</w:t>
      </w:r>
    </w:p>
    <w:p w14:paraId="0ABD86BC">
      <w:pPr>
        <w:ind w:firstLine="643" w:firstLineChars="200"/>
        <w:rPr>
          <w:rFonts w:ascii="仿宋_GB2312" w:cs="宋体"/>
          <w:kern w:val="0"/>
          <w:szCs w:val="32"/>
        </w:rPr>
      </w:pPr>
      <w:r>
        <w:rPr>
          <w:rFonts w:hint="eastAsia" w:ascii="仿宋_GB2312" w:cs="宋体"/>
          <w:b/>
          <w:kern w:val="0"/>
          <w:szCs w:val="32"/>
        </w:rPr>
        <w:t>开展景区用能系统的节能改造</w:t>
      </w:r>
      <w:r>
        <w:rPr>
          <w:rFonts w:hint="eastAsia" w:ascii="仿宋_GB2312" w:cs="宋体"/>
          <w:kern w:val="0"/>
          <w:szCs w:val="32"/>
        </w:rPr>
        <w:t>。摸排景区灯具使用类型与数量以及灯具布置位置，逐步推进景区酒店、道路、员工宿舍、办公室、餐厅等灯具更换为</w:t>
      </w:r>
      <w:r>
        <w:rPr>
          <w:rFonts w:ascii="仿宋_GB2312" w:cs="宋体"/>
          <w:kern w:val="0"/>
          <w:szCs w:val="32"/>
        </w:rPr>
        <w:t>LED</w:t>
      </w:r>
      <w:r>
        <w:rPr>
          <w:rFonts w:hint="eastAsia" w:ascii="仿宋_GB2312" w:cs="宋体"/>
          <w:kern w:val="0"/>
          <w:szCs w:val="32"/>
        </w:rPr>
        <w:t>节能灯。摸排景区空调系统与厨房气灶的规格、数量与能耗情况，开展酒店空调系统与厨房气灶节能改造，引入空调节能与气灶节能技术，提高景区能效水平。</w:t>
      </w:r>
    </w:p>
    <w:p w14:paraId="033C2A05">
      <w:pPr>
        <w:ind w:firstLine="643" w:firstLineChars="200"/>
        <w:rPr>
          <w:rFonts w:ascii="仿宋_GB2312" w:cs="宋体"/>
          <w:kern w:val="0"/>
          <w:szCs w:val="32"/>
        </w:rPr>
      </w:pPr>
      <w:r>
        <w:rPr>
          <w:rFonts w:hint="eastAsia" w:ascii="仿宋_GB2312" w:cs="宋体"/>
          <w:b/>
          <w:kern w:val="0"/>
          <w:szCs w:val="32"/>
        </w:rPr>
        <w:t>开展停车场与屋顶光伏电站建设</w:t>
      </w:r>
      <w:r>
        <w:rPr>
          <w:rFonts w:hint="eastAsia" w:ascii="仿宋_GB2312" w:cs="宋体"/>
          <w:kern w:val="0"/>
          <w:szCs w:val="32"/>
        </w:rPr>
        <w:t>。充分利用景区内停车场、耗电量较大的公共服务楼房屋顶安装光伏发电系统，进行太阳能光伏发电示范，降低景区用电成本，促进景区整体降碳。</w:t>
      </w:r>
    </w:p>
    <w:p w14:paraId="29E2AF4C">
      <w:pPr>
        <w:ind w:firstLine="643" w:firstLineChars="200"/>
        <w:rPr>
          <w:rFonts w:ascii="仿宋_GB2312" w:cs="宋体"/>
          <w:kern w:val="0"/>
          <w:szCs w:val="32"/>
        </w:rPr>
      </w:pPr>
      <w:r>
        <w:rPr>
          <w:rFonts w:hint="eastAsia" w:ascii="仿宋_GB2312" w:cs="宋体"/>
          <w:b/>
          <w:kern w:val="0"/>
          <w:szCs w:val="32"/>
        </w:rPr>
        <w:t>开展太阳能综合利用</w:t>
      </w:r>
      <w:r>
        <w:rPr>
          <w:rFonts w:hint="eastAsia" w:ascii="仿宋_GB2312" w:cs="宋体"/>
          <w:kern w:val="0"/>
          <w:szCs w:val="32"/>
        </w:rPr>
        <w:t>。安装太阳能灯具。根据太阳能照明灯具的采光要求，并综合考虑太阳能灯具的安装要求、后期维护、寿命长短、节能环保等方面的要求和特性，选择适合区域，安装适当规模的太阳能路灯和景观照明灯具。安装太阳能热水系统。选择景区酒店和公共服务建筑等满足安装条件的屋顶，安装太阳能热水瓦设备，满足游客与景区员工部分热水需求。</w:t>
      </w:r>
    </w:p>
    <w:p w14:paraId="11209B72">
      <w:pPr>
        <w:pStyle w:val="6"/>
        <w:ind w:left="640"/>
      </w:pPr>
      <w:r>
        <w:t>2.</w:t>
      </w:r>
      <w:r>
        <w:rPr>
          <w:rFonts w:hint="eastAsia"/>
        </w:rPr>
        <w:t>构建低碳交通体系</w:t>
      </w:r>
    </w:p>
    <w:p w14:paraId="5740E9A1">
      <w:pPr>
        <w:ind w:firstLine="643" w:firstLineChars="200"/>
        <w:rPr>
          <w:rFonts w:ascii="仿宋_GB2312" w:cs="宋体"/>
          <w:kern w:val="0"/>
          <w:szCs w:val="32"/>
        </w:rPr>
      </w:pPr>
      <w:r>
        <w:rPr>
          <w:rFonts w:hint="eastAsia" w:ascii="仿宋_GB2312" w:cs="宋体"/>
          <w:b/>
          <w:kern w:val="0"/>
          <w:szCs w:val="32"/>
        </w:rPr>
        <w:t>调整交通工具结构</w:t>
      </w:r>
      <w:r>
        <w:rPr>
          <w:rFonts w:hint="eastAsia" w:ascii="仿宋_GB2312" w:cs="宋体"/>
          <w:kern w:val="0"/>
          <w:szCs w:val="32"/>
        </w:rPr>
        <w:t>。依据景区现有游览路线、长度以及保有的车辆类型和数量，并结合对客流量与现有公共车辆载客能力的分析，调整景区交通工具结构，提高低碳出行比例，提升景区载客效率。适当购置新能源汽车，逐步替代燃油车，减少燃油车出车率，同时提高载客效率，规定并落实满载后出车。</w:t>
      </w:r>
    </w:p>
    <w:p w14:paraId="061286E9">
      <w:pPr>
        <w:ind w:firstLine="643" w:firstLineChars="200"/>
        <w:rPr>
          <w:rFonts w:ascii="仿宋_GB2312" w:cs="宋体"/>
          <w:kern w:val="0"/>
          <w:szCs w:val="32"/>
        </w:rPr>
      </w:pPr>
      <w:r>
        <w:rPr>
          <w:rFonts w:hint="eastAsia" w:ascii="仿宋_GB2312" w:cs="宋体"/>
          <w:b/>
          <w:kern w:val="0"/>
          <w:szCs w:val="32"/>
        </w:rPr>
        <w:t>提高低碳出行比例</w:t>
      </w:r>
      <w:r>
        <w:rPr>
          <w:rFonts w:hint="eastAsia" w:ascii="仿宋_GB2312" w:cs="宋体"/>
          <w:kern w:val="0"/>
          <w:szCs w:val="32"/>
        </w:rPr>
        <w:t>。提倡使用公共交通，景区间提供中巴及电动车等协助景区间换乘，景区内原则上禁止机动车进入，推广电瓶车、新能源车辆、环保观光小火车等公共化与节能化的交通工具。根据景区道路情况，鼓励在景区内设计与使用徒步、自行车、三轮车、滑索等多样化、个性化的交通工具，提升低碳环保水平的同时，为游客带来独特的观光体验。</w:t>
      </w:r>
    </w:p>
    <w:p w14:paraId="6322F632">
      <w:pPr>
        <w:pStyle w:val="6"/>
        <w:ind w:left="640"/>
      </w:pPr>
      <w:r>
        <w:t>3.</w:t>
      </w:r>
      <w:r>
        <w:rPr>
          <w:rFonts w:hint="eastAsia"/>
        </w:rPr>
        <w:t>推进废弃物低碳化处理</w:t>
      </w:r>
    </w:p>
    <w:p w14:paraId="0BA34A02">
      <w:pPr>
        <w:ind w:firstLine="643" w:firstLineChars="200"/>
      </w:pPr>
      <w:r>
        <w:rPr>
          <w:rFonts w:hint="eastAsia"/>
          <w:b/>
        </w:rPr>
        <w:t>构建垃圾分类收运体系</w:t>
      </w:r>
      <w:r>
        <w:rPr>
          <w:rFonts w:hint="eastAsia"/>
        </w:rPr>
        <w:t>。合理配置分类式垃圾收集箱，制作垃圾分类指示牌引导游客分类投放。在景区内预留垃圾分类、中转、预处理场地空间，着力规范生活垃圾分类投放</w:t>
      </w:r>
      <w:r>
        <w:t>-</w:t>
      </w:r>
      <w:r>
        <w:rPr>
          <w:rFonts w:hint="eastAsia"/>
        </w:rPr>
        <w:t>分类收集</w:t>
      </w:r>
      <w:r>
        <w:t>-</w:t>
      </w:r>
      <w:r>
        <w:rPr>
          <w:rFonts w:hint="eastAsia"/>
        </w:rPr>
        <w:t>分类运输</w:t>
      </w:r>
      <w:r>
        <w:t>-</w:t>
      </w:r>
      <w:r>
        <w:rPr>
          <w:rFonts w:hint="eastAsia"/>
        </w:rPr>
        <w:t>分类处理的处理体系。</w:t>
      </w:r>
    </w:p>
    <w:p w14:paraId="004221AC">
      <w:pPr>
        <w:ind w:firstLine="643" w:firstLineChars="200"/>
      </w:pPr>
      <w:r>
        <w:rPr>
          <w:rFonts w:hint="eastAsia"/>
          <w:b/>
        </w:rPr>
        <w:t>探索景区垃圾就地处理处置</w:t>
      </w:r>
      <w:r>
        <w:rPr>
          <w:rFonts w:hint="eastAsia"/>
        </w:rPr>
        <w:t>。合理引进专业的园林废弃物处理设施，对绿化垃圾分类后使用粉碎机进行破碎处理，利用微生物发酵技术将破碎的绿化垃圾进行发酵处理，处理后的绿化垃圾可作为有机肥料回填到园林中，科学建设就地无害化处理设施。积极引入厨余垃圾生化处理设施，对景区内游客产生的厨余垃圾进行快速分解，分解后剩余的固体排放物作为有机肥使用。</w:t>
      </w:r>
    </w:p>
    <w:p w14:paraId="16165D26">
      <w:pPr>
        <w:pStyle w:val="6"/>
        <w:ind w:left="640"/>
      </w:pPr>
      <w:r>
        <w:t>4.</w:t>
      </w:r>
      <w:r>
        <w:rPr>
          <w:rFonts w:hint="eastAsia"/>
        </w:rPr>
        <w:t>打造低碳旅游文化品牌</w:t>
      </w:r>
    </w:p>
    <w:p w14:paraId="52DCF15D">
      <w:pPr>
        <w:ind w:firstLine="643" w:firstLineChars="200"/>
        <w:rPr>
          <w:rFonts w:ascii="仿宋_GB2312" w:cs="宋体"/>
          <w:kern w:val="0"/>
          <w:szCs w:val="32"/>
        </w:rPr>
      </w:pPr>
      <w:r>
        <w:rPr>
          <w:rFonts w:hint="eastAsia" w:ascii="仿宋_GB2312" w:cs="宋体"/>
          <w:b/>
          <w:kern w:val="0"/>
          <w:szCs w:val="32"/>
        </w:rPr>
        <w:t>常态化低碳旅游宣传教育</w:t>
      </w:r>
      <w:r>
        <w:rPr>
          <w:rFonts w:hint="eastAsia" w:ascii="仿宋_GB2312" w:cs="宋体"/>
          <w:kern w:val="0"/>
          <w:szCs w:val="32"/>
        </w:rPr>
        <w:t>。通过宣传栏、宣传画册、纪录片、景区标识等方式，加强景区员工和游客对低碳生活理念的宣传。通过导游讲解词等形式，加强对低碳旅游理念的讲解，达到向游客传播低碳理念的目的。</w:t>
      </w:r>
    </w:p>
    <w:p w14:paraId="140635B2">
      <w:pPr>
        <w:ind w:firstLine="643" w:firstLineChars="200"/>
        <w:rPr>
          <w:rFonts w:ascii="仿宋_GB2312" w:cs="宋体"/>
          <w:kern w:val="0"/>
          <w:szCs w:val="32"/>
        </w:rPr>
      </w:pPr>
      <w:r>
        <w:rPr>
          <w:rFonts w:hint="eastAsia" w:ascii="仿宋_GB2312" w:cs="宋体"/>
          <w:b/>
          <w:kern w:val="0"/>
          <w:szCs w:val="32"/>
        </w:rPr>
        <w:t>定期开展低碳主题活动</w:t>
      </w:r>
      <w:r>
        <w:rPr>
          <w:rFonts w:hint="eastAsia" w:ascii="仿宋_GB2312" w:cs="宋体"/>
          <w:kern w:val="0"/>
          <w:szCs w:val="32"/>
        </w:rPr>
        <w:t>。积极配合市委政府开展的“地球一小时”、“低碳日”等低碳主题活动。例如在“低碳日”期间开展“景区绿色低碳之星”活动，面向景区全体员工发起“绿色低碳之星”评比活动，鼓励员工在开设的“绿色低碳之星”微信公众号上发表自己的绿色低碳故事，年终时结合文章阅读量、影响力等因素，评选若干名“绿色低碳之星”，并予以奖励，获奖者将作为景区绿色低碳形象大使，参加有关宣传活动。</w:t>
      </w:r>
    </w:p>
    <w:p w14:paraId="4392F548">
      <w:pPr>
        <w:pStyle w:val="6"/>
        <w:numPr>
          <w:ilvl w:val="3"/>
          <w:numId w:val="0"/>
        </w:numPr>
        <w:ind w:firstLine="643" w:firstLineChars="200"/>
      </w:pPr>
      <w:r>
        <w:t>5.</w:t>
      </w:r>
      <w:r>
        <w:rPr>
          <w:rFonts w:hint="eastAsia"/>
        </w:rPr>
        <w:t>建设低碳景区管理体系</w:t>
      </w:r>
    </w:p>
    <w:p w14:paraId="2E0C5C9C">
      <w:pPr>
        <w:ind w:firstLine="640" w:firstLineChars="200"/>
      </w:pPr>
      <w:r>
        <w:rPr>
          <w:rFonts w:hint="eastAsia"/>
        </w:rPr>
        <w:t>在三明市应对气候变化工作领导小组的领导组织下，加强景区节能减排制度建设，制定《低碳景区建设管理体系》、《低碳办公管理制度》、《低碳客运运营管理制度》、《低碳空调运行管理制度》、《低碳照明管理手册》等各项节能减排制度，明确景区低碳运营管理的组织架构和任务职责分工。</w:t>
      </w:r>
      <w:r>
        <w:rPr>
          <w:rFonts w:hint="eastAsia"/>
          <w:b/>
        </w:rPr>
        <w:t>创建景区温室气体基础统计制度和核算体系</w:t>
      </w:r>
      <w:r>
        <w:rPr>
          <w:rFonts w:hint="eastAsia"/>
        </w:rPr>
        <w:t>，加强对景区二氧化碳排放数据的收集、核算与分析，了解景区的二氧化碳排放情况，及时掌握低碳景区建设成效，发展存在问题并及时调整。</w:t>
      </w:r>
    </w:p>
    <w:p w14:paraId="5F5C5FCD">
      <w:pPr>
        <w:pStyle w:val="5"/>
      </w:pPr>
      <w:bookmarkStart w:id="157" w:name="_Toc524597416"/>
      <w:r>
        <w:rPr>
          <w:rFonts w:hint="eastAsia"/>
        </w:rPr>
        <w:t>（三）近零碳排放区示范工程</w:t>
      </w:r>
      <w:bookmarkEnd w:id="157"/>
    </w:p>
    <w:p w14:paraId="6E5B76AE">
      <w:pPr>
        <w:ind w:firstLine="640" w:firstLineChars="200"/>
      </w:pPr>
      <w:r>
        <w:rPr>
          <w:rFonts w:hint="eastAsia"/>
        </w:rPr>
        <w:t>在三明生态新城内选择</w:t>
      </w:r>
      <w:r>
        <w:t>1-2</w:t>
      </w:r>
      <w:r>
        <w:rPr>
          <w:rFonts w:hint="eastAsia"/>
        </w:rPr>
        <w:t>个基础条件好、减排潜力大的适宜区域，实施近零碳排放区示范工程，为实现更高层次的“零碳”排放探索有效建设路径。</w:t>
      </w:r>
    </w:p>
    <w:p w14:paraId="1C2AD98C">
      <w:pPr>
        <w:pStyle w:val="6"/>
        <w:ind w:left="640"/>
      </w:pPr>
      <w:r>
        <w:t>1.</w:t>
      </w:r>
      <w:r>
        <w:rPr>
          <w:rFonts w:hint="eastAsia"/>
        </w:rPr>
        <w:t>选择试点对象</w:t>
      </w:r>
    </w:p>
    <w:p w14:paraId="630A1D33">
      <w:pPr>
        <w:ind w:firstLine="640" w:firstLineChars="200"/>
      </w:pPr>
      <w:r>
        <w:rPr>
          <w:rFonts w:hint="eastAsia"/>
        </w:rPr>
        <w:t>在三明生态新城中摸排适宜开展近零碳排放试点建设的优化区域，优先在建筑、社区、园区、企业、景区等</w:t>
      </w:r>
      <w:r>
        <w:t>5</w:t>
      </w:r>
      <w:r>
        <w:rPr>
          <w:rFonts w:hint="eastAsia"/>
        </w:rPr>
        <w:t>个领域选择</w:t>
      </w:r>
      <w:r>
        <w:t>1-2</w:t>
      </w:r>
      <w:r>
        <w:rPr>
          <w:rFonts w:hint="eastAsia"/>
        </w:rPr>
        <w:t>个基础条件优越、碳排放统计与数据管理基础良好、规划目标明确、减碳潜力较大、相对容易实现近零碳排放目标的区域作为试点对象。在建筑领域，优先考虑新建建筑项目、公共建筑改造项目、建设或运营符合国内外绿色建筑评价标准的建筑。在社区领域，优先考虑新建社区、省级低碳社区等低碳相关试点或符合国内外绿色建筑评价标准、具备大规模使用可再生能源条件的社区。在园区领域，优先考虑新建园区或以发展高新技术产业为主、具有集中供热（冷）条件的园区。在企业领域，优先考虑能源结构以电力为主、碳排放统计与管理水平较强、社会责任感强的加工制造业企业。在景区领域，优先考虑具有生态环境优越、碳排放统计与管理水平较强的景区。</w:t>
      </w:r>
    </w:p>
    <w:p w14:paraId="6513AF76">
      <w:pPr>
        <w:pStyle w:val="6"/>
        <w:ind w:left="640"/>
      </w:pPr>
      <w:r>
        <w:t>2.</w:t>
      </w:r>
      <w:r>
        <w:rPr>
          <w:rFonts w:hint="eastAsia"/>
        </w:rPr>
        <w:t>核算试点碳排放量</w:t>
      </w:r>
    </w:p>
    <w:p w14:paraId="71BF8313">
      <w:pPr>
        <w:ind w:firstLine="640" w:firstLineChars="200"/>
      </w:pPr>
      <w:r>
        <w:rPr>
          <w:rFonts w:hint="eastAsia"/>
        </w:rPr>
        <w:t>根据国家发改委发布的《省级温室气体清单编制指南》有关要求，核算试点区域内能源活动、工业生产过程、农业、土地利用变化和林业、废弃物处理等五大领域的温室气体排放量，识别区域内重点排放源，编制形成试点温室气体清单报告。针对试点区域的基础现状和未来发展规划或特点，结合区域内关联低碳节能技术的应用趋势与清单编制结果，对试点区域实现近零碳发展的潜力进行分析和判断，为制定试点建设技术方案和实现运营阶段的监测评估提供基础数据支撑。</w:t>
      </w:r>
    </w:p>
    <w:p w14:paraId="3075E76F">
      <w:pPr>
        <w:pStyle w:val="6"/>
        <w:ind w:left="640"/>
      </w:pPr>
      <w:r>
        <w:t>3.</w:t>
      </w:r>
      <w:r>
        <w:rPr>
          <w:rFonts w:hint="eastAsia"/>
        </w:rPr>
        <w:t>制定与实施试点建设方案</w:t>
      </w:r>
    </w:p>
    <w:p w14:paraId="24939918">
      <w:pPr>
        <w:ind w:firstLine="640" w:firstLineChars="200"/>
      </w:pPr>
      <w:r>
        <w:rPr>
          <w:rFonts w:hint="eastAsia"/>
        </w:rPr>
        <w:t>以实现近零碳排放为目标，围绕试点区域涉及的能源、建筑、交通、工业、农业、林业、废弃物处理等能够产生温室气体排放的各领域，参考《国家重点推广的低碳技术目录》、《国家重点节能低碳技术推广目录》、《低碳产品认证目录》等有关文件，深入开展调研与研究，提出可行的低碳技术、方法和手段，形成试点建设技术方案，并以此为依据开展试点建设工作。</w:t>
      </w:r>
    </w:p>
    <w:p w14:paraId="0D3BF2F7"/>
    <w:tbl>
      <w:tblPr>
        <w:tblStyle w:val="28"/>
        <w:tblW w:w="893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1DB8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vAlign w:val="top"/>
          </w:tcPr>
          <w:p w14:paraId="2DD7B7D6">
            <w:pPr>
              <w:autoSpaceDE w:val="0"/>
              <w:autoSpaceDN w:val="0"/>
              <w:adjustRightInd w:val="0"/>
              <w:snapToGrid w:val="0"/>
              <w:spacing w:line="580" w:lineRule="exact"/>
              <w:rPr>
                <w:rFonts w:ascii="仿宋_GB2312" w:cs="宋体"/>
                <w:b/>
                <w:kern w:val="0"/>
                <w:szCs w:val="32"/>
              </w:rPr>
            </w:pPr>
            <w:r>
              <w:rPr>
                <w:rFonts w:hint="eastAsia" w:ascii="仿宋_GB2312" w:cs="宋体"/>
                <w:b/>
                <w:kern w:val="0"/>
                <w:szCs w:val="32"/>
              </w:rPr>
              <w:t>专栏一：近零碳排放区示范工程低碳技术清单</w:t>
            </w:r>
          </w:p>
          <w:p w14:paraId="1F1573C4">
            <w:pPr>
              <w:ind w:firstLine="643" w:firstLineChars="200"/>
              <w:rPr>
                <w:rFonts w:ascii="仿宋_GB2312" w:cs="宋体"/>
                <w:kern w:val="0"/>
                <w:szCs w:val="32"/>
              </w:rPr>
            </w:pPr>
            <w:r>
              <w:rPr>
                <w:rFonts w:hint="eastAsia" w:ascii="仿宋_GB2312" w:cs="宋体"/>
                <w:b/>
                <w:kern w:val="0"/>
                <w:szCs w:val="32"/>
              </w:rPr>
              <w:t>建筑领域：</w:t>
            </w:r>
            <w:r>
              <w:rPr>
                <w:rFonts w:hint="eastAsia" w:ascii="仿宋_GB2312" w:cs="宋体"/>
                <w:kern w:val="0"/>
                <w:szCs w:val="32"/>
              </w:rPr>
              <w:t>包括低碳建筑设计技术、低碳建筑施工技术、低碳建筑材料、节能通风空调系统、节能照明系统、建筑可再生能源系统、建筑节能控制系统等。</w:t>
            </w:r>
          </w:p>
          <w:p w14:paraId="07EE30C5">
            <w:pPr>
              <w:ind w:firstLine="643" w:firstLineChars="200"/>
              <w:rPr>
                <w:rFonts w:ascii="仿宋_GB2312" w:cs="宋体"/>
                <w:b/>
                <w:kern w:val="0"/>
                <w:szCs w:val="32"/>
              </w:rPr>
            </w:pPr>
            <w:r>
              <w:rPr>
                <w:rFonts w:hint="eastAsia" w:ascii="仿宋_GB2312" w:cs="宋体"/>
                <w:b/>
                <w:kern w:val="0"/>
                <w:szCs w:val="32"/>
              </w:rPr>
              <w:t>交通领域：</w:t>
            </w:r>
            <w:r>
              <w:rPr>
                <w:rFonts w:hint="eastAsia" w:ascii="仿宋_GB2312" w:cs="宋体"/>
                <w:kern w:val="0"/>
                <w:szCs w:val="32"/>
              </w:rPr>
              <w:t>包括新能源汽车、机动车节能技术、快速充电技术、智能交通运输管理系统等。</w:t>
            </w:r>
          </w:p>
          <w:p w14:paraId="68794B2A">
            <w:pPr>
              <w:ind w:firstLine="643" w:firstLineChars="200"/>
              <w:rPr>
                <w:rFonts w:ascii="仿宋_GB2312" w:cs="宋体"/>
                <w:kern w:val="0"/>
                <w:szCs w:val="32"/>
              </w:rPr>
            </w:pPr>
            <w:r>
              <w:rPr>
                <w:rFonts w:hint="eastAsia" w:ascii="仿宋_GB2312" w:cs="宋体"/>
                <w:b/>
                <w:kern w:val="0"/>
                <w:szCs w:val="32"/>
              </w:rPr>
              <w:t>能源领域：</w:t>
            </w:r>
            <w:r>
              <w:rPr>
                <w:rFonts w:hint="eastAsia" w:ascii="仿宋_GB2312" w:cs="宋体"/>
                <w:kern w:val="0"/>
                <w:szCs w:val="32"/>
              </w:rPr>
              <w:t>包括可再生能源利用技术、化石能源高效清洁利用技术、分布式能源技术、先进储能技术、智能电网技术等。</w:t>
            </w:r>
          </w:p>
          <w:p w14:paraId="2916E28C">
            <w:pPr>
              <w:ind w:firstLine="643" w:firstLineChars="200"/>
              <w:rPr>
                <w:rFonts w:ascii="仿宋_GB2312" w:cs="宋体"/>
                <w:b/>
                <w:kern w:val="0"/>
                <w:szCs w:val="32"/>
              </w:rPr>
            </w:pPr>
            <w:r>
              <w:rPr>
                <w:rFonts w:hint="eastAsia" w:ascii="仿宋_GB2312" w:cs="宋体"/>
                <w:b/>
                <w:kern w:val="0"/>
                <w:szCs w:val="32"/>
              </w:rPr>
              <w:t>工业领域：</w:t>
            </w:r>
            <w:r>
              <w:rPr>
                <w:rFonts w:hint="eastAsia" w:ascii="仿宋_GB2312" w:cs="宋体"/>
                <w:kern w:val="0"/>
                <w:szCs w:val="32"/>
              </w:rPr>
              <w:t>包括低能耗低排放制造工艺及装备技术、资源循环利用技术、能源回收利用技术、</w:t>
            </w:r>
            <w:r>
              <w:rPr>
                <w:rFonts w:ascii="仿宋_GB2312" w:cs="宋体"/>
                <w:kern w:val="0"/>
                <w:szCs w:val="32"/>
              </w:rPr>
              <w:t>CCUS(</w:t>
            </w:r>
            <w:r>
              <w:rPr>
                <w:rFonts w:hint="eastAsia" w:ascii="仿宋_GB2312" w:cs="宋体"/>
                <w:kern w:val="0"/>
                <w:szCs w:val="32"/>
              </w:rPr>
              <w:t>碳捕集、利用与封存技术</w:t>
            </w:r>
            <w:r>
              <w:rPr>
                <w:rFonts w:ascii="仿宋_GB2312" w:cs="宋体"/>
                <w:kern w:val="0"/>
                <w:szCs w:val="32"/>
              </w:rPr>
              <w:t>)</w:t>
            </w:r>
            <w:r>
              <w:rPr>
                <w:rFonts w:hint="eastAsia" w:ascii="仿宋_GB2312" w:cs="宋体"/>
                <w:kern w:val="0"/>
                <w:szCs w:val="32"/>
              </w:rPr>
              <w:t>等</w:t>
            </w:r>
            <w:r>
              <w:rPr>
                <w:rFonts w:hint="eastAsia" w:ascii="仿宋_GB2312" w:cs="宋体"/>
                <w:b/>
                <w:kern w:val="0"/>
                <w:szCs w:val="32"/>
              </w:rPr>
              <w:t>。</w:t>
            </w:r>
          </w:p>
          <w:p w14:paraId="388CAD10">
            <w:pPr>
              <w:ind w:firstLine="643" w:firstLineChars="200"/>
              <w:rPr>
                <w:rFonts w:ascii="仿宋_GB2312" w:cs="宋体"/>
                <w:b/>
                <w:kern w:val="0"/>
                <w:szCs w:val="32"/>
              </w:rPr>
            </w:pPr>
            <w:r>
              <w:rPr>
                <w:rFonts w:hint="eastAsia" w:ascii="仿宋_GB2312" w:cs="宋体"/>
                <w:b/>
                <w:kern w:val="0"/>
                <w:szCs w:val="32"/>
              </w:rPr>
              <w:t>农业领域：</w:t>
            </w:r>
            <w:r>
              <w:rPr>
                <w:rFonts w:hint="eastAsia" w:ascii="仿宋_GB2312" w:cs="宋体"/>
                <w:kern w:val="0"/>
                <w:szCs w:val="32"/>
              </w:rPr>
              <w:t>包括保护性耕作技术、农业废弃物资源化技术、肥料施用控制技术、农药控制技术、节能节水灌溉技术、农牧业生产耦合技术等。</w:t>
            </w:r>
          </w:p>
          <w:p w14:paraId="7B970BDC">
            <w:pPr>
              <w:ind w:firstLine="643" w:firstLineChars="200"/>
              <w:rPr>
                <w:rFonts w:ascii="仿宋_GB2312" w:cs="宋体"/>
                <w:b/>
                <w:kern w:val="0"/>
                <w:szCs w:val="32"/>
              </w:rPr>
            </w:pPr>
            <w:r>
              <w:rPr>
                <w:rFonts w:hint="eastAsia" w:ascii="仿宋_GB2312" w:cs="宋体"/>
                <w:b/>
                <w:kern w:val="0"/>
                <w:szCs w:val="32"/>
              </w:rPr>
              <w:t>林业领域：</w:t>
            </w:r>
            <w:r>
              <w:rPr>
                <w:rFonts w:hint="eastAsia" w:ascii="仿宋_GB2312" w:cs="宋体"/>
                <w:kern w:val="0"/>
                <w:szCs w:val="32"/>
              </w:rPr>
              <w:t>包括加强植树造林、提高森林经营质量、减少毁林等。</w:t>
            </w:r>
          </w:p>
          <w:p w14:paraId="09EEE0C5">
            <w:pPr>
              <w:ind w:firstLine="643" w:firstLineChars="200"/>
              <w:rPr>
                <w:rFonts w:ascii="仿宋_GB2312" w:cs="宋体"/>
                <w:b/>
                <w:kern w:val="0"/>
                <w:szCs w:val="32"/>
              </w:rPr>
            </w:pPr>
            <w:r>
              <w:rPr>
                <w:rFonts w:hint="eastAsia" w:ascii="仿宋_GB2312" w:cs="宋体"/>
                <w:b/>
                <w:kern w:val="0"/>
                <w:szCs w:val="32"/>
              </w:rPr>
              <w:t>废弃物处理领域：</w:t>
            </w:r>
            <w:r>
              <w:rPr>
                <w:rFonts w:hint="eastAsia" w:ascii="仿宋_GB2312" w:cs="宋体"/>
                <w:kern w:val="0"/>
                <w:szCs w:val="32"/>
              </w:rPr>
              <w:t>包括垃圾分类技术、垃圾回收技术、垃圾焚烧发电技术、有机垃圾厌氧发酵技术、沼气发电技术等。</w:t>
            </w:r>
          </w:p>
          <w:p w14:paraId="525B5F1A">
            <w:pPr>
              <w:ind w:firstLine="643" w:firstLineChars="200"/>
            </w:pPr>
            <w:r>
              <w:rPr>
                <w:rFonts w:hint="eastAsia" w:ascii="仿宋_GB2312" w:cs="宋体"/>
                <w:b/>
                <w:kern w:val="0"/>
                <w:szCs w:val="32"/>
              </w:rPr>
              <w:t>其他：</w:t>
            </w:r>
            <w:r>
              <w:rPr>
                <w:rFonts w:hint="eastAsia" w:ascii="仿宋_GB2312" w:cs="宋体"/>
                <w:kern w:val="0"/>
                <w:szCs w:val="32"/>
              </w:rPr>
              <w:t>包括购买</w:t>
            </w:r>
            <w:r>
              <w:rPr>
                <w:rFonts w:ascii="仿宋_GB2312" w:cs="宋体"/>
                <w:kern w:val="0"/>
                <w:szCs w:val="32"/>
              </w:rPr>
              <w:t>CCER(</w:t>
            </w:r>
            <w:r>
              <w:rPr>
                <w:rFonts w:hint="eastAsia" w:ascii="仿宋_GB2312" w:cs="宋体"/>
                <w:kern w:val="0"/>
                <w:szCs w:val="32"/>
              </w:rPr>
              <w:t>中国核证自愿减排量</w:t>
            </w:r>
            <w:r>
              <w:rPr>
                <w:rFonts w:ascii="仿宋_GB2312" w:cs="宋体"/>
                <w:kern w:val="0"/>
                <w:szCs w:val="32"/>
              </w:rPr>
              <w:t>)</w:t>
            </w:r>
            <w:r>
              <w:rPr>
                <w:rFonts w:hint="eastAsia" w:ascii="仿宋_GB2312" w:cs="宋体"/>
                <w:kern w:val="0"/>
                <w:szCs w:val="32"/>
              </w:rPr>
              <w:t>、购买林业碳汇等抵消项目碳排放。</w:t>
            </w:r>
          </w:p>
        </w:tc>
      </w:tr>
    </w:tbl>
    <w:p w14:paraId="6F01FCD7">
      <w:pPr>
        <w:ind w:firstLine="640" w:firstLineChars="200"/>
      </w:pPr>
    </w:p>
    <w:p w14:paraId="2527A0B2">
      <w:pPr>
        <w:pStyle w:val="6"/>
        <w:ind w:left="640"/>
      </w:pPr>
      <w:r>
        <w:t>4.</w:t>
      </w:r>
      <w:r>
        <w:rPr>
          <w:rFonts w:hint="eastAsia"/>
        </w:rPr>
        <w:t>加强试点碳排放管理</w:t>
      </w:r>
    </w:p>
    <w:p w14:paraId="7CFB6C83">
      <w:pPr>
        <w:ind w:firstLine="640" w:firstLineChars="200"/>
      </w:pPr>
      <w:r>
        <w:rPr>
          <w:rFonts w:hint="eastAsia"/>
        </w:rPr>
        <w:t>建立试点碳排放情况跟踪监测与评估机制。一是制定监测与评估标准与方法，为有效开展监测与评估工作提供基本遵循。二是开展动态监测，有条件的单位可搭建碳排放数据管理平台，建立数据采集、接入、生成机制，对试点区域内的能源消费情况进行动态监测与结果分析。三是开展阶段性评估，根据监测结果核算试点的碳排放水平，并与温室气体清单报告中的基准情况进行对比，了解试点建设的成效。四是建立预警机制，根据评估结果，不断调整与优化试点建设各项措施，支撑近零碳排放目标的实现。</w:t>
      </w:r>
    </w:p>
    <w:p w14:paraId="36CD2B98">
      <w:pPr>
        <w:pStyle w:val="6"/>
        <w:ind w:left="640"/>
      </w:pPr>
      <w:r>
        <w:t>5.</w:t>
      </w:r>
      <w:r>
        <w:rPr>
          <w:rFonts w:hint="eastAsia"/>
        </w:rPr>
        <w:t>强化试点工作实施与管理</w:t>
      </w:r>
    </w:p>
    <w:p w14:paraId="0D77BE73">
      <w:pPr>
        <w:ind w:firstLine="640" w:firstLineChars="200"/>
      </w:pPr>
      <w:r>
        <w:rPr>
          <w:rFonts w:hint="eastAsia"/>
        </w:rPr>
        <w:t>在三明市应对气候变化工作领导小组组织领导下，完善制度体系，制定试点创建进度计划、碳排放管理与报告制度、合作交流制度、宣传推广制度等各项规章制度，保障试点工作有序推进。拓宽融资渠道，除国家、地方已有相关财税政策外，考虑引入节能收益质押贷款、绿色设备买方信贷、绿色融资租赁等绿色金融产品，加速试点建设进程。</w:t>
      </w:r>
    </w:p>
    <w:p w14:paraId="7A66BD2D">
      <w:pPr>
        <w:pStyle w:val="4"/>
      </w:pPr>
      <w:bookmarkStart w:id="158" w:name="_Toc524597417"/>
      <w:r>
        <w:rPr>
          <w:rFonts w:hint="eastAsia"/>
        </w:rPr>
        <w:t>“引领一组创新”，探索低碳制度建设新模式</w:t>
      </w:r>
      <w:bookmarkEnd w:id="158"/>
    </w:p>
    <w:p w14:paraId="16DE5D99">
      <w:pPr>
        <w:pStyle w:val="5"/>
      </w:pPr>
      <w:bookmarkStart w:id="159" w:name="_Toc524597418"/>
      <w:r>
        <w:rPr>
          <w:rFonts w:hint="eastAsia"/>
        </w:rPr>
        <w:t>（一）建立健全碳数据管理机制</w:t>
      </w:r>
      <w:bookmarkEnd w:id="159"/>
    </w:p>
    <w:p w14:paraId="30A9C299">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围绕温室气体排放统计核算制度、温室气体清单编制、重点排放源定期调查与数据监控、碳数据管理基础能力建设等方面，加快构建适用于三明市的碳数据管理机制，为统筹做好低碳城市建设与管理奠定良好的数据基础。</w:t>
      </w:r>
    </w:p>
    <w:p w14:paraId="0F032E69">
      <w:pPr>
        <w:pStyle w:val="6"/>
        <w:spacing w:line="600" w:lineRule="atLeast"/>
        <w:ind w:left="640"/>
      </w:pPr>
      <w:r>
        <w:t>1.</w:t>
      </w:r>
      <w:r>
        <w:rPr>
          <w:rFonts w:hint="eastAsia"/>
        </w:rPr>
        <w:t>建立温室气体排放统计核算制度</w:t>
      </w:r>
    </w:p>
    <w:p w14:paraId="151CC357">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结合三明实际，建立完善温室气体排放统计核算制度，确保实现单位地区生产总值二氧化碳排放约束性目标，有效控制温室气体排放。在现有统计制度基础上，将温室气体排放基础统计指标纳入政府统计指标体系，建立健全涵盖能源活动、工业生产过程、农业、土地利用变化与林业、废弃物处理等领域的适用于温室气体排放核算的统计体系，并实行年度核算制度。依据温室气体排放统计核算需求，完善能源、工业、农业、林业、废弃物处理等领域温室气体排放基础统计，加强排放因子测算和数据质量控制，确保数据真实准确。</w:t>
      </w:r>
    </w:p>
    <w:p w14:paraId="467DAD01">
      <w:pPr>
        <w:tabs>
          <w:tab w:val="left" w:pos="8222"/>
        </w:tabs>
        <w:autoSpaceDE w:val="0"/>
        <w:autoSpaceDN w:val="0"/>
        <w:adjustRightInd w:val="0"/>
        <w:snapToGrid w:val="0"/>
        <w:spacing w:line="580" w:lineRule="exact"/>
        <w:ind w:firstLine="640" w:firstLineChars="200"/>
        <w:rPr>
          <w:rFonts w:ascii="仿宋_GB2312" w:cs="宋体"/>
          <w:kern w:val="0"/>
          <w:szCs w:val="32"/>
        </w:rPr>
      </w:pPr>
    </w:p>
    <w:p w14:paraId="1ED6DAF1">
      <w:pPr>
        <w:autoSpaceDE w:val="0"/>
        <w:autoSpaceDN w:val="0"/>
        <w:adjustRightInd w:val="0"/>
        <w:snapToGrid w:val="0"/>
        <w:spacing w:line="580" w:lineRule="exact"/>
        <w:ind w:firstLine="640" w:firstLineChars="200"/>
        <w:rPr>
          <w:rFonts w:ascii="仿宋_GB2312" w:cs="宋体"/>
          <w:kern w:val="0"/>
          <w:szCs w:val="32"/>
        </w:rPr>
      </w:pPr>
    </w:p>
    <w:tbl>
      <w:tblPr>
        <w:tblStyle w:val="28"/>
        <w:tblW w:w="893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75C5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vAlign w:val="top"/>
          </w:tcPr>
          <w:p w14:paraId="7E3A091B">
            <w:pPr>
              <w:autoSpaceDE w:val="0"/>
              <w:autoSpaceDN w:val="0"/>
              <w:adjustRightInd w:val="0"/>
              <w:snapToGrid w:val="0"/>
              <w:rPr>
                <w:rFonts w:ascii="仿宋_GB2312" w:cs="宋体"/>
                <w:b/>
                <w:kern w:val="0"/>
                <w:szCs w:val="32"/>
              </w:rPr>
            </w:pPr>
            <w:r>
              <w:rPr>
                <w:rFonts w:hint="eastAsia" w:ascii="仿宋_GB2312" w:cs="宋体"/>
                <w:b/>
                <w:kern w:val="0"/>
                <w:szCs w:val="32"/>
              </w:rPr>
              <w:t>专栏二：温室气体排放基础统计完善主要内容</w:t>
            </w:r>
          </w:p>
          <w:p w14:paraId="28B414D7">
            <w:pPr>
              <w:autoSpaceDE w:val="0"/>
              <w:autoSpaceDN w:val="0"/>
              <w:adjustRightInd w:val="0"/>
              <w:snapToGrid w:val="0"/>
              <w:ind w:firstLine="643" w:firstLineChars="200"/>
              <w:rPr>
                <w:rFonts w:ascii="仿宋_GB2312"/>
                <w:b/>
                <w:szCs w:val="32"/>
                <w:shd w:val="clear" w:color="auto" w:fill="FFFFFF"/>
              </w:rPr>
            </w:pPr>
            <w:r>
              <w:rPr>
                <w:rFonts w:hint="eastAsia" w:ascii="仿宋_GB2312"/>
                <w:b/>
                <w:szCs w:val="32"/>
                <w:shd w:val="clear" w:color="auto" w:fill="FFFFFF"/>
              </w:rPr>
              <w:t>能源领域：</w:t>
            </w:r>
            <w:r>
              <w:rPr>
                <w:rFonts w:hint="eastAsia" w:ascii="仿宋_GB2312"/>
                <w:szCs w:val="32"/>
                <w:shd w:val="clear" w:color="auto" w:fill="FFFFFF"/>
              </w:rPr>
              <w:t>增加能源品种指标，修改完善能源平衡表，完善工业企业能源统计报表制度，完善建筑业、服务业企业能源消费统计，完善公共机构能源消费及相关统计，健全道路运输能源消费统计调查制度，加强交通运输重点联系企业的能源消费监测及相关统计。</w:t>
            </w:r>
          </w:p>
          <w:p w14:paraId="16A29CBA">
            <w:pPr>
              <w:autoSpaceDE w:val="0"/>
              <w:autoSpaceDN w:val="0"/>
              <w:adjustRightInd w:val="0"/>
              <w:snapToGrid w:val="0"/>
              <w:ind w:firstLine="643" w:firstLineChars="200"/>
              <w:rPr>
                <w:rFonts w:ascii="仿宋_GB2312"/>
                <w:b/>
                <w:szCs w:val="32"/>
                <w:shd w:val="clear" w:color="auto" w:fill="FFFFFF"/>
              </w:rPr>
            </w:pPr>
            <w:r>
              <w:rPr>
                <w:rFonts w:hint="eastAsia" w:ascii="仿宋_GB2312"/>
                <w:b/>
                <w:szCs w:val="32"/>
                <w:shd w:val="clear" w:color="auto" w:fill="FFFFFF"/>
              </w:rPr>
              <w:t>工业领域：</w:t>
            </w:r>
            <w:r>
              <w:rPr>
                <w:rFonts w:hint="eastAsia" w:ascii="仿宋_GB2312"/>
                <w:szCs w:val="32"/>
                <w:shd w:val="clear" w:color="auto" w:fill="FFFFFF"/>
              </w:rPr>
              <w:t>增加含氟气体生产、进出口和消费统计，完善煤炭生产企业瓦斯排放及利用统计和调查，健全火力发电企业相关统计与调查，健全钢铁企业相关统计与调查。</w:t>
            </w:r>
          </w:p>
          <w:p w14:paraId="5C44D52C">
            <w:pPr>
              <w:autoSpaceDE w:val="0"/>
              <w:autoSpaceDN w:val="0"/>
              <w:adjustRightInd w:val="0"/>
              <w:snapToGrid w:val="0"/>
              <w:ind w:firstLine="643" w:firstLineChars="200"/>
              <w:rPr>
                <w:rFonts w:ascii="仿宋_GB2312"/>
                <w:b/>
                <w:szCs w:val="32"/>
                <w:shd w:val="clear" w:color="auto" w:fill="FFFFFF"/>
              </w:rPr>
            </w:pPr>
            <w:r>
              <w:rPr>
                <w:rFonts w:hint="eastAsia" w:ascii="仿宋_GB2312"/>
                <w:b/>
                <w:szCs w:val="32"/>
                <w:shd w:val="clear" w:color="auto" w:fill="FFFFFF"/>
              </w:rPr>
              <w:t>农业领域：</w:t>
            </w:r>
            <w:r>
              <w:rPr>
                <w:rFonts w:hint="eastAsia" w:ascii="仿宋_GB2312"/>
                <w:szCs w:val="32"/>
                <w:shd w:val="clear" w:color="auto" w:fill="FFFFFF"/>
              </w:rPr>
              <w:t>完善农田播种面积和畜牧业养殖数量统计调查，开展主要农作物特性专项调查，开展畜牧业生产特性以及畜禽饲养粪便处理方式等专项调查。</w:t>
            </w:r>
          </w:p>
          <w:p w14:paraId="75EDF362">
            <w:pPr>
              <w:autoSpaceDE w:val="0"/>
              <w:autoSpaceDN w:val="0"/>
              <w:adjustRightInd w:val="0"/>
              <w:snapToGrid w:val="0"/>
              <w:ind w:firstLine="643" w:firstLineChars="200"/>
              <w:rPr>
                <w:rFonts w:ascii="仿宋_GB2312"/>
                <w:b/>
                <w:szCs w:val="32"/>
                <w:shd w:val="clear" w:color="auto" w:fill="FFFFFF"/>
              </w:rPr>
            </w:pPr>
            <w:r>
              <w:rPr>
                <w:rFonts w:hint="eastAsia" w:ascii="仿宋_GB2312"/>
                <w:b/>
                <w:szCs w:val="32"/>
                <w:shd w:val="clear" w:color="auto" w:fill="FFFFFF"/>
              </w:rPr>
              <w:t>土地利用变化及林业领域：</w:t>
            </w:r>
            <w:r>
              <w:rPr>
                <w:rFonts w:hint="eastAsia" w:ascii="仿宋_GB2312"/>
                <w:szCs w:val="32"/>
                <w:shd w:val="clear" w:color="auto" w:fill="FFFFFF"/>
              </w:rPr>
              <w:t>完善森林灾害相关统计，开展林地单位面积生物量、年生长量调查，加强林地转化监测统计，开展森林生长和固碳特性的综合调查。</w:t>
            </w:r>
          </w:p>
          <w:p w14:paraId="7A8ADF0F">
            <w:pPr>
              <w:autoSpaceDE w:val="0"/>
              <w:autoSpaceDN w:val="0"/>
              <w:adjustRightInd w:val="0"/>
              <w:snapToGrid w:val="0"/>
              <w:ind w:firstLine="643" w:firstLineChars="200"/>
              <w:rPr>
                <w:rFonts w:ascii="仿宋_GB2312" w:cs="宋体"/>
                <w:kern w:val="0"/>
                <w:szCs w:val="32"/>
              </w:rPr>
            </w:pPr>
            <w:r>
              <w:rPr>
                <w:rFonts w:hint="eastAsia" w:ascii="仿宋_GB2312"/>
                <w:b/>
                <w:szCs w:val="32"/>
                <w:shd w:val="clear" w:color="auto" w:fill="FFFFFF"/>
              </w:rPr>
              <w:t>废弃物处理领域：</w:t>
            </w:r>
            <w:r>
              <w:rPr>
                <w:rFonts w:hint="eastAsia" w:ascii="仿宋_GB2312"/>
                <w:szCs w:val="32"/>
                <w:shd w:val="clear" w:color="auto" w:fill="FFFFFF"/>
              </w:rPr>
              <w:t>完善城市固态废弃物处理统计调查，完善污水排放和处理统计调查。</w:t>
            </w:r>
          </w:p>
        </w:tc>
      </w:tr>
    </w:tbl>
    <w:p w14:paraId="3DB3451C">
      <w:pPr>
        <w:autoSpaceDE w:val="0"/>
        <w:autoSpaceDN w:val="0"/>
        <w:adjustRightInd w:val="0"/>
        <w:snapToGrid w:val="0"/>
        <w:spacing w:line="580" w:lineRule="exact"/>
        <w:rPr>
          <w:rFonts w:ascii="仿宋_GB2312" w:cs="宋体"/>
          <w:kern w:val="0"/>
          <w:szCs w:val="32"/>
        </w:rPr>
      </w:pPr>
    </w:p>
    <w:p w14:paraId="5960D705">
      <w:pPr>
        <w:pStyle w:val="6"/>
        <w:numPr>
          <w:ilvl w:val="3"/>
          <w:numId w:val="0"/>
        </w:numPr>
        <w:spacing w:line="600" w:lineRule="atLeast"/>
        <w:ind w:left="200" w:firstLine="643" w:firstLineChars="200"/>
      </w:pPr>
      <w:r>
        <w:t>2.</w:t>
      </w:r>
      <w:r>
        <w:rPr>
          <w:rFonts w:hint="eastAsia"/>
        </w:rPr>
        <w:t>构建市级与企业级温室气体排放统计核算常态化机制</w:t>
      </w:r>
    </w:p>
    <w:p w14:paraId="4C0E3CB7">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建立市级年度温室气体排放统计核算制度</w:t>
      </w:r>
      <w:r>
        <w:rPr>
          <w:rFonts w:hint="eastAsia" w:ascii="仿宋_GB2312" w:cs="宋体"/>
          <w:kern w:val="0"/>
          <w:szCs w:val="32"/>
        </w:rPr>
        <w:t>。参照《省级温室气体排放清单编制指南》，周期性编制涵盖能源活动、工业生产过程、农业、土地利用变化与林业、废弃物处理等五大领域以及包括二氧化碳</w:t>
      </w:r>
      <w:r>
        <w:rPr>
          <w:rFonts w:ascii="仿宋_GB2312" w:cs="宋体"/>
          <w:kern w:val="0"/>
          <w:szCs w:val="32"/>
        </w:rPr>
        <w:t>(CO</w:t>
      </w:r>
      <w:r>
        <w:rPr>
          <w:rFonts w:ascii="仿宋_GB2312" w:cs="宋体"/>
          <w:kern w:val="0"/>
          <w:szCs w:val="32"/>
          <w:vertAlign w:val="subscript"/>
        </w:rPr>
        <w:t>2</w:t>
      </w:r>
      <w:r>
        <w:rPr>
          <w:rFonts w:ascii="仿宋_GB2312" w:cs="宋体"/>
          <w:kern w:val="0"/>
          <w:szCs w:val="32"/>
        </w:rPr>
        <w:t>)</w:t>
      </w:r>
      <w:r>
        <w:rPr>
          <w:rFonts w:hint="eastAsia" w:ascii="仿宋_GB2312" w:cs="宋体"/>
          <w:kern w:val="0"/>
          <w:szCs w:val="32"/>
        </w:rPr>
        <w:t>、甲烷</w:t>
      </w:r>
      <w:r>
        <w:rPr>
          <w:rFonts w:ascii="仿宋_GB2312" w:cs="宋体"/>
          <w:kern w:val="0"/>
          <w:szCs w:val="32"/>
        </w:rPr>
        <w:t>(CH</w:t>
      </w:r>
      <w:r>
        <w:rPr>
          <w:rFonts w:ascii="仿宋_GB2312" w:cs="宋体"/>
          <w:kern w:val="0"/>
          <w:szCs w:val="32"/>
          <w:vertAlign w:val="subscript"/>
        </w:rPr>
        <w:t>4</w:t>
      </w:r>
      <w:r>
        <w:rPr>
          <w:rFonts w:ascii="仿宋_GB2312" w:cs="宋体"/>
          <w:kern w:val="0"/>
          <w:szCs w:val="32"/>
        </w:rPr>
        <w:t>)</w:t>
      </w:r>
      <w:r>
        <w:rPr>
          <w:rFonts w:hint="eastAsia" w:ascii="仿宋_GB2312" w:cs="宋体"/>
          <w:kern w:val="0"/>
          <w:szCs w:val="32"/>
        </w:rPr>
        <w:t>、氧化亚氮</w:t>
      </w:r>
      <w:r>
        <w:rPr>
          <w:rFonts w:ascii="仿宋_GB2312" w:cs="宋体"/>
          <w:kern w:val="0"/>
          <w:szCs w:val="32"/>
        </w:rPr>
        <w:t>(N</w:t>
      </w:r>
      <w:r>
        <w:rPr>
          <w:rFonts w:ascii="仿宋_GB2312" w:cs="宋体"/>
          <w:kern w:val="0"/>
          <w:szCs w:val="32"/>
          <w:vertAlign w:val="subscript"/>
        </w:rPr>
        <w:t>2</w:t>
      </w:r>
      <w:r>
        <w:rPr>
          <w:rFonts w:ascii="仿宋_GB2312" w:cs="宋体"/>
          <w:kern w:val="0"/>
          <w:szCs w:val="32"/>
        </w:rPr>
        <w:t>O)</w:t>
      </w:r>
      <w:r>
        <w:rPr>
          <w:rFonts w:hint="eastAsia" w:ascii="仿宋_GB2312" w:cs="宋体"/>
          <w:kern w:val="0"/>
          <w:szCs w:val="32"/>
        </w:rPr>
        <w:t>、氢氟碳化合物</w:t>
      </w:r>
      <w:r>
        <w:rPr>
          <w:rFonts w:ascii="仿宋_GB2312" w:cs="宋体"/>
          <w:kern w:val="0"/>
          <w:szCs w:val="32"/>
        </w:rPr>
        <w:t>(HFCs)</w:t>
      </w:r>
      <w:r>
        <w:rPr>
          <w:rFonts w:hint="eastAsia" w:ascii="仿宋_GB2312" w:cs="宋体"/>
          <w:kern w:val="0"/>
          <w:szCs w:val="32"/>
        </w:rPr>
        <w:t>、全氟碳化合物</w:t>
      </w:r>
      <w:r>
        <w:rPr>
          <w:rFonts w:ascii="仿宋_GB2312" w:cs="宋体"/>
          <w:kern w:val="0"/>
          <w:szCs w:val="32"/>
        </w:rPr>
        <w:t>(PFCs)</w:t>
      </w:r>
      <w:r>
        <w:rPr>
          <w:rFonts w:hint="eastAsia" w:ascii="仿宋_GB2312" w:cs="宋体"/>
          <w:kern w:val="0"/>
          <w:szCs w:val="32"/>
        </w:rPr>
        <w:t>、六氟化硫</w:t>
      </w:r>
      <w:r>
        <w:rPr>
          <w:rFonts w:ascii="仿宋_GB2312" w:cs="宋体"/>
          <w:kern w:val="0"/>
          <w:szCs w:val="32"/>
        </w:rPr>
        <w:t>(SF</w:t>
      </w:r>
      <w:r>
        <w:rPr>
          <w:rFonts w:ascii="仿宋_GB2312" w:cs="宋体"/>
          <w:kern w:val="0"/>
          <w:szCs w:val="32"/>
          <w:vertAlign w:val="subscript"/>
        </w:rPr>
        <w:t>6</w:t>
      </w:r>
      <w:r>
        <w:rPr>
          <w:rFonts w:ascii="仿宋_GB2312" w:cs="宋体"/>
          <w:kern w:val="0"/>
          <w:szCs w:val="32"/>
        </w:rPr>
        <w:t>)</w:t>
      </w:r>
      <w:r>
        <w:rPr>
          <w:rFonts w:hint="eastAsia" w:ascii="仿宋_GB2312" w:cs="宋体"/>
          <w:kern w:val="0"/>
          <w:szCs w:val="32"/>
        </w:rPr>
        <w:t>等六类温室气体的三明市温室气体年度清单，并在过程中不断优化清单编制方法、活动水平数据获取的准确性和排放因子的本地化水平，提高清单质量。在此基础上，指导各区、县逐步开展区</w:t>
      </w:r>
      <w:r>
        <w:rPr>
          <w:rFonts w:ascii="仿宋_GB2312" w:cs="宋体"/>
          <w:kern w:val="0"/>
          <w:szCs w:val="32"/>
        </w:rPr>
        <w:t>/</w:t>
      </w:r>
      <w:r>
        <w:rPr>
          <w:rFonts w:hint="eastAsia" w:ascii="仿宋_GB2312" w:cs="宋体"/>
          <w:kern w:val="0"/>
          <w:szCs w:val="32"/>
        </w:rPr>
        <w:t>县级温室气体清单编制工作。</w:t>
      </w:r>
    </w:p>
    <w:p w14:paraId="6519824F">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建立企业温室气体排放统计核算常态化制度</w:t>
      </w:r>
      <w:r>
        <w:rPr>
          <w:rFonts w:hint="eastAsia" w:ascii="仿宋_GB2312" w:cs="宋体"/>
          <w:kern w:val="0"/>
          <w:szCs w:val="32"/>
        </w:rPr>
        <w:t>。以三明市纳入福建省以及全国碳市场重点排放行业和企业名单以及数据报送要求和规范为依据，建立工作机制，指导三明市重点行业和企业开展温室气体排放核算。一是规范市辖重点企业报送的格式、时间、频率等，督促相关企业按期开展数据报送工作。二是指导企业做好数据报送工作，做好与省级层面与企业层面的沟通衔接，确保信息畅通，明确企业报送人员，组织面向企业报送人员的专项培训。三是建立数据信息共享机制，将重点企业碳排放数据信息纳入政府温室气体排放统计体系，进一步支撑政府相关决策。</w:t>
      </w:r>
    </w:p>
    <w:p w14:paraId="5880CE51">
      <w:pPr>
        <w:pStyle w:val="6"/>
        <w:spacing w:line="600" w:lineRule="atLeast"/>
        <w:ind w:left="640"/>
      </w:pPr>
      <w:r>
        <w:t>3.</w:t>
      </w:r>
      <w:r>
        <w:rPr>
          <w:rFonts w:hint="eastAsia" w:ascii="仿宋_GB2312" w:cs="宋体"/>
          <w:kern w:val="0"/>
          <w:szCs w:val="32"/>
        </w:rPr>
        <w:t>建立重点排放源定期调查和数据监控机制</w:t>
      </w:r>
    </w:p>
    <w:p w14:paraId="4A50798A">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明确重点排放源范围</w:t>
      </w:r>
      <w:r>
        <w:rPr>
          <w:rFonts w:hint="eastAsia" w:ascii="仿宋_GB2312" w:cs="宋体"/>
          <w:kern w:val="0"/>
          <w:szCs w:val="32"/>
        </w:rPr>
        <w:t>。结合市、区</w:t>
      </w:r>
      <w:r>
        <w:rPr>
          <w:rFonts w:ascii="仿宋_GB2312" w:cs="宋体"/>
          <w:kern w:val="0"/>
          <w:szCs w:val="32"/>
        </w:rPr>
        <w:t>/</w:t>
      </w:r>
      <w:r>
        <w:rPr>
          <w:rFonts w:hint="eastAsia" w:ascii="仿宋_GB2312" w:cs="宋体"/>
          <w:kern w:val="0"/>
          <w:szCs w:val="32"/>
        </w:rPr>
        <w:t>县级温室气体年度清单结果，以及全国碳市场和福建碳市场重点排放行业企业名单，按排放源排放量大小降序排列，在充分考虑调查工作量基础上，筛选出占全市温室气体排放量一定比例的单位，形成三明市温室气体重点排放源清单。</w:t>
      </w:r>
    </w:p>
    <w:p w14:paraId="3BDC86DB">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制定重点排放源定期调查计划</w:t>
      </w:r>
      <w:r>
        <w:rPr>
          <w:rFonts w:hint="eastAsia" w:ascii="仿宋_GB2312" w:cs="宋体"/>
          <w:kern w:val="0"/>
          <w:szCs w:val="32"/>
        </w:rPr>
        <w:t>。定期调查的调查期可选择月度或季度，调查内容包括重点排放源基本情况、温室气体排放情况以及其他相关情况等，调查方式为重点排放源按照统一的报表以及调查计划规定的时间上报调查报表，此后市发改委、统计局等部门对数据进行审核验收。</w:t>
      </w:r>
    </w:p>
    <w:p w14:paraId="2FF01A70">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建立监督预警机制</w:t>
      </w:r>
      <w:r>
        <w:rPr>
          <w:rFonts w:hint="eastAsia" w:ascii="仿宋_GB2312" w:cs="宋体"/>
          <w:kern w:val="0"/>
          <w:szCs w:val="32"/>
        </w:rPr>
        <w:t>。根据调查结果，持续开展三明市重点温室气体排放源排放结果变化情况的定期分析和预测，对异常数据或分析结果进行预警，从而为更好的控制重点排放源温室气体排放水平提供理论依据。</w:t>
      </w:r>
    </w:p>
    <w:p w14:paraId="1B6D23ED">
      <w:pPr>
        <w:pStyle w:val="6"/>
        <w:spacing w:line="600" w:lineRule="atLeast"/>
        <w:ind w:left="640"/>
      </w:pPr>
      <w:r>
        <w:t>4.</w:t>
      </w:r>
      <w:r>
        <w:rPr>
          <w:rFonts w:hint="eastAsia"/>
        </w:rPr>
        <w:t>开展碳数据管理基础能力建设</w:t>
      </w:r>
    </w:p>
    <w:p w14:paraId="63A8ABEC">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在</w:t>
      </w:r>
      <w:r>
        <w:rPr>
          <w:rFonts w:hint="eastAsia"/>
        </w:rPr>
        <w:t>三明市应对气候变化工作领导小组</w:t>
      </w:r>
      <w:r>
        <w:rPr>
          <w:rFonts w:hint="eastAsia" w:ascii="仿宋_GB2312" w:cs="宋体"/>
          <w:kern w:val="0"/>
          <w:szCs w:val="32"/>
        </w:rPr>
        <w:t>的指导管理下，制定碳数据管理工作计划，统筹碳数据管理各项工作。</w:t>
      </w:r>
    </w:p>
    <w:p w14:paraId="41BEF106">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加强温室气体排放统计核算基础研究</w:t>
      </w:r>
      <w:r>
        <w:rPr>
          <w:rFonts w:hint="eastAsia" w:ascii="仿宋_GB2312" w:cs="宋体"/>
          <w:kern w:val="0"/>
          <w:szCs w:val="32"/>
        </w:rPr>
        <w:t>。聘请专家或专业机构开展本市温室气体排放核算方法、活动水平收集方法、排放因子本地化等方面的研究，提升统计核算的准确性。</w:t>
      </w:r>
    </w:p>
    <w:p w14:paraId="59CF418F">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开展能力建设</w:t>
      </w:r>
      <w:r>
        <w:rPr>
          <w:rFonts w:hint="eastAsia" w:ascii="仿宋_GB2312" w:cs="宋体"/>
          <w:kern w:val="0"/>
          <w:szCs w:val="32"/>
        </w:rPr>
        <w:t>。加强温室气体清单编制能力建设，开展对政府统计部门、政府支撑研究机构、企业统计相关人员的针对性培训，逐步建立负责温室气体排放统计核算的专职工作队伍。</w:t>
      </w:r>
    </w:p>
    <w:p w14:paraId="0685C79C">
      <w:pPr>
        <w:autoSpaceDE w:val="0"/>
        <w:autoSpaceDN w:val="0"/>
        <w:adjustRightInd w:val="0"/>
        <w:snapToGrid w:val="0"/>
        <w:spacing w:line="600" w:lineRule="atLeast"/>
        <w:ind w:firstLine="643" w:firstLineChars="200"/>
        <w:rPr>
          <w:rFonts w:ascii="仿宋_GB2312" w:cs="宋体"/>
          <w:kern w:val="0"/>
          <w:szCs w:val="32"/>
        </w:rPr>
      </w:pPr>
      <w:r>
        <w:rPr>
          <w:rFonts w:hint="eastAsia" w:ascii="仿宋_GB2312" w:cs="宋体"/>
          <w:b/>
          <w:kern w:val="0"/>
          <w:szCs w:val="32"/>
        </w:rPr>
        <w:t>提升碳数据管理信息化水平</w:t>
      </w:r>
      <w:r>
        <w:rPr>
          <w:rFonts w:hint="eastAsia" w:ascii="仿宋_GB2312" w:cs="宋体"/>
          <w:kern w:val="0"/>
          <w:szCs w:val="32"/>
        </w:rPr>
        <w:t>。依托三明生态新城低碳管理平台，搭建针对全市的温室气体排放数据管理平台，实现全市、分行业、分企业的温室气体排放数据管理功能，提高碳数据管理效率。</w:t>
      </w:r>
    </w:p>
    <w:p w14:paraId="51121EE8">
      <w:pPr>
        <w:pStyle w:val="5"/>
      </w:pPr>
      <w:bookmarkStart w:id="160" w:name="_Toc524597419"/>
      <w:r>
        <w:rPr>
          <w:rFonts w:hint="eastAsia"/>
        </w:rPr>
        <w:t>（二）探索碳汇补偿机制</w:t>
      </w:r>
      <w:bookmarkEnd w:id="160"/>
    </w:p>
    <w:p w14:paraId="3DEF0EF7">
      <w:pPr>
        <w:spacing w:line="600" w:lineRule="atLeast"/>
        <w:ind w:firstLine="640" w:firstLineChars="200"/>
      </w:pPr>
      <w:r>
        <w:rPr>
          <w:rFonts w:hint="eastAsia"/>
        </w:rPr>
        <w:t>依托三明市丰富的林业碳汇资源，探索建立碳汇补偿机制，加快构建碳汇补偿工作机制、碳汇发展规划、碳普惠机制、碳汇金融产品创新机制、基础能力支撑机制等有关体制机制，为开展森林保护与建设提供制度保障。</w:t>
      </w:r>
    </w:p>
    <w:p w14:paraId="1351361D">
      <w:pPr>
        <w:pStyle w:val="6"/>
        <w:spacing w:line="600" w:lineRule="atLeast"/>
        <w:ind w:left="640"/>
        <w:rPr>
          <w:snapToGrid w:val="0"/>
        </w:rPr>
      </w:pPr>
      <w:r>
        <w:rPr>
          <w:snapToGrid w:val="0"/>
        </w:rPr>
        <w:t>1.</w:t>
      </w:r>
      <w:r>
        <w:rPr>
          <w:rFonts w:hint="eastAsia"/>
          <w:snapToGrid w:val="0"/>
        </w:rPr>
        <w:t>建立健全碳汇补偿工作机制</w:t>
      </w:r>
    </w:p>
    <w:p w14:paraId="1DEDADE7">
      <w:pPr>
        <w:spacing w:line="600" w:lineRule="atLeast"/>
        <w:ind w:firstLine="640" w:firstLineChars="200"/>
      </w:pPr>
      <w:r>
        <w:rPr>
          <w:rFonts w:hint="eastAsia"/>
        </w:rPr>
        <w:t>在三明市应对气候变化工作领导小组组织下，开展对有关碳汇补偿的重大问题进行研究，着重解决碳汇补偿政策的制定和落实、碳汇项目申报和资金筹措、人才的培养和宣传发动等。领导小组负责组织编制《三明市碳汇补偿工作实施方案》，做好顶层设计工作，工作重点包括：提高森林固碳能力、抓好林业碳汇交易项目开发和储备、加强林业碳汇计量监测、推进林业碳汇交易、规范林业碳汇项目管理等，同时还将针对各项工作重点，落实部门责任分工与实施计划，以加快推进碳汇补偿工作的实施。</w:t>
      </w:r>
    </w:p>
    <w:p w14:paraId="1B0A6EF2">
      <w:pPr>
        <w:pStyle w:val="6"/>
        <w:spacing w:line="600" w:lineRule="atLeast"/>
        <w:ind w:left="640"/>
        <w:rPr>
          <w:snapToGrid w:val="0"/>
        </w:rPr>
      </w:pPr>
      <w:r>
        <w:rPr>
          <w:snapToGrid w:val="0"/>
        </w:rPr>
        <w:t>2.</w:t>
      </w:r>
      <w:r>
        <w:rPr>
          <w:rFonts w:hint="eastAsia"/>
          <w:snapToGrid w:val="0"/>
        </w:rPr>
        <w:t>做好林业碳汇发展规划研究工作</w:t>
      </w:r>
    </w:p>
    <w:p w14:paraId="55DEDCE1">
      <w:pPr>
        <w:spacing w:line="600" w:lineRule="atLeast"/>
        <w:ind w:firstLine="640" w:firstLineChars="200"/>
      </w:pPr>
      <w:r>
        <w:rPr>
          <w:rFonts w:hint="eastAsia"/>
        </w:rPr>
        <w:t>结合三明市实际情况，做好本地区发展林业碳汇的规划研究。组织专家摸清全市林业碳汇资源本底，</w:t>
      </w:r>
      <w:r>
        <w:rPr>
          <w:rFonts w:hint="eastAsia" w:ascii="仿宋_GB2312"/>
          <w:snapToGrid w:val="0"/>
          <w:szCs w:val="32"/>
        </w:rPr>
        <w:t>包括“十二五”以来每年新增造林面积，</w:t>
      </w:r>
      <w:r>
        <w:rPr>
          <w:rFonts w:hint="eastAsia"/>
        </w:rPr>
        <w:t>掌握森林碳储量与森林碳汇量的现状、变化与潜力情况。在此基础上，编制森林经营碳汇项目发展规划，明确发展目标、建设规模、建设内容、进度安排、资金筹措、政策保障等，指导林业碳汇补偿工作顺利开展。</w:t>
      </w:r>
    </w:p>
    <w:p w14:paraId="5151CC6C">
      <w:pPr>
        <w:pStyle w:val="6"/>
        <w:spacing w:line="600" w:lineRule="atLeast"/>
        <w:ind w:left="640"/>
        <w:rPr>
          <w:snapToGrid w:val="0"/>
        </w:rPr>
      </w:pPr>
      <w:r>
        <w:rPr>
          <w:snapToGrid w:val="0"/>
        </w:rPr>
        <w:t>3.</w:t>
      </w:r>
      <w:r>
        <w:rPr>
          <w:rFonts w:hint="eastAsia"/>
          <w:snapToGrid w:val="0"/>
        </w:rPr>
        <w:t>探索以碳汇补偿为特色的碳普惠机制</w:t>
      </w:r>
    </w:p>
    <w:p w14:paraId="52B41196">
      <w:pPr>
        <w:spacing w:line="600" w:lineRule="atLeast"/>
        <w:ind w:firstLine="640" w:firstLineChars="200"/>
      </w:pPr>
      <w:r>
        <w:rPr>
          <w:rFonts w:hint="eastAsia"/>
        </w:rPr>
        <w:t>对小微企业、社区家庭和个人节能减碳行为进行具体量化并赋予一定价值，建立起以商业激励、政策鼓励和核证减排量交易相结合的正向引导机制。将森林系统保护纳入碳普惠行动，居民生活节能减排行为、游客低碳旅游行为可以转换为树木认养等活动，鼓励个人积极参与。鼓励一些高耗能高排放企业购买林业碳汇践行绿色发展社会责任，支持节庆节会等重大社会活动购买林业碳汇抵消碳排放，倡导机关、企事业单位、个人购买林业碳汇消除日常工作生活碳足迹，并引入金融机构、商业联盟等对上述正面行为予以金融、政策、权益等方面的优惠。</w:t>
      </w:r>
    </w:p>
    <w:p w14:paraId="6BBEFBC5">
      <w:pPr>
        <w:pStyle w:val="6"/>
        <w:spacing w:line="600" w:lineRule="atLeast"/>
        <w:ind w:left="640"/>
        <w:rPr>
          <w:snapToGrid w:val="0"/>
        </w:rPr>
      </w:pPr>
      <w:r>
        <w:rPr>
          <w:snapToGrid w:val="0"/>
        </w:rPr>
        <w:t>4.</w:t>
      </w:r>
      <w:r>
        <w:rPr>
          <w:rFonts w:hint="eastAsia"/>
          <w:snapToGrid w:val="0"/>
        </w:rPr>
        <w:t>研究碳汇金融产品创新机制</w:t>
      </w:r>
    </w:p>
    <w:p w14:paraId="3B42FB27">
      <w:pPr>
        <w:overflowPunct w:val="0"/>
        <w:spacing w:line="600" w:lineRule="atLeast"/>
        <w:ind w:firstLine="643" w:firstLineChars="200"/>
        <w:rPr>
          <w:rFonts w:ascii="仿宋_GB2312"/>
          <w:snapToGrid w:val="0"/>
          <w:szCs w:val="32"/>
        </w:rPr>
      </w:pPr>
      <w:r>
        <w:rPr>
          <w:rFonts w:hint="eastAsia" w:ascii="仿宋_GB2312"/>
          <w:b/>
          <w:snapToGrid w:val="0"/>
          <w:szCs w:val="32"/>
        </w:rPr>
        <w:t>完善林业碳汇金融激励机制</w:t>
      </w:r>
      <w:r>
        <w:rPr>
          <w:rFonts w:hint="eastAsia" w:ascii="仿宋_GB2312"/>
          <w:snapToGrid w:val="0"/>
          <w:szCs w:val="32"/>
        </w:rPr>
        <w:t>。指导政策性金融机构加大对林业碳汇产业的融资支持。推进政府有关部门面向林业碳汇产业提供信贷支持的金融机构制定优惠的税收政策，对开展林业碳汇业务的金融机构给予适度扩大信贷规模</w:t>
      </w:r>
      <w:r>
        <w:rPr>
          <w:rFonts w:ascii="仿宋_GB2312"/>
          <w:snapToGrid w:val="0"/>
          <w:szCs w:val="32"/>
        </w:rPr>
        <w:t>,</w:t>
      </w:r>
      <w:r>
        <w:rPr>
          <w:rFonts w:hint="eastAsia" w:ascii="仿宋_GB2312"/>
          <w:snapToGrid w:val="0"/>
          <w:szCs w:val="32"/>
        </w:rPr>
        <w:t>或在幅度内降低准备金率优惠</w:t>
      </w:r>
      <w:r>
        <w:rPr>
          <w:rFonts w:ascii="仿宋_GB2312"/>
          <w:snapToGrid w:val="0"/>
          <w:szCs w:val="32"/>
        </w:rPr>
        <w:t>,</w:t>
      </w:r>
      <w:r>
        <w:rPr>
          <w:rFonts w:hint="eastAsia" w:ascii="仿宋_GB2312"/>
          <w:snapToGrid w:val="0"/>
          <w:szCs w:val="32"/>
        </w:rPr>
        <w:t>以鼓励金融机构积极参与其中。</w:t>
      </w:r>
    </w:p>
    <w:p w14:paraId="75FB9860">
      <w:pPr>
        <w:overflowPunct w:val="0"/>
        <w:spacing w:line="600" w:lineRule="atLeast"/>
        <w:ind w:firstLine="643" w:firstLineChars="200"/>
        <w:rPr>
          <w:rFonts w:ascii="仿宋_GB2312"/>
          <w:snapToGrid w:val="0"/>
          <w:szCs w:val="32"/>
        </w:rPr>
      </w:pPr>
      <w:r>
        <w:rPr>
          <w:rFonts w:hint="eastAsia" w:ascii="仿宋_GB2312"/>
          <w:b/>
          <w:snapToGrid w:val="0"/>
          <w:szCs w:val="32"/>
        </w:rPr>
        <w:t>加快林业碳汇金融产品开发。</w:t>
      </w:r>
      <w:r>
        <w:rPr>
          <w:rFonts w:hint="eastAsia" w:ascii="仿宋_GB2312"/>
          <w:snapToGrid w:val="0"/>
          <w:szCs w:val="32"/>
        </w:rPr>
        <w:t>一是创新森林碳汇市场融资机制，发展林权按揭贷款、林权流转支贷宝、林业互联网金融等金融新产品。二是完善碳汇金融的融资担保体系，研究推出森林生长相关保险品种</w:t>
      </w:r>
      <w:r>
        <w:rPr>
          <w:rFonts w:ascii="仿宋_GB2312"/>
          <w:snapToGrid w:val="0"/>
          <w:szCs w:val="32"/>
        </w:rPr>
        <w:t>,</w:t>
      </w:r>
      <w:r>
        <w:rPr>
          <w:rFonts w:hint="eastAsia" w:ascii="仿宋_GB2312"/>
          <w:snapToGrid w:val="0"/>
          <w:szCs w:val="32"/>
        </w:rPr>
        <w:t>对林业碳汇项目本身进行风险分散。三是允许和鼓励金融机构参与碳汇交易市场。以福建省与全国碳市场建设为契机，创新基于绿色信贷活动和直接投融资的碳金融产品，包括碳债券、碳基金、碳信托、绿色结构存款、碳配额质押贷款、碳配额</w:t>
      </w:r>
      <w:r>
        <w:rPr>
          <w:rFonts w:ascii="仿宋_GB2312"/>
          <w:snapToGrid w:val="0"/>
          <w:szCs w:val="32"/>
        </w:rPr>
        <w:t>/CCER</w:t>
      </w:r>
      <w:r>
        <w:rPr>
          <w:rFonts w:hint="eastAsia" w:ascii="仿宋_GB2312"/>
          <w:snapToGrid w:val="0"/>
          <w:szCs w:val="32"/>
        </w:rPr>
        <w:t>（</w:t>
      </w:r>
      <w:r>
        <w:rPr>
          <w:rFonts w:ascii="仿宋_GB2312"/>
          <w:snapToGrid w:val="0"/>
          <w:szCs w:val="32"/>
        </w:rPr>
        <w:t>FFCER</w:t>
      </w:r>
      <w:r>
        <w:rPr>
          <w:rFonts w:hint="eastAsia" w:ascii="仿宋_GB2312"/>
          <w:snapToGrid w:val="0"/>
          <w:szCs w:val="32"/>
        </w:rPr>
        <w:t>）抵押融资、碳配额托管等。</w:t>
      </w:r>
    </w:p>
    <w:p w14:paraId="17718E4B">
      <w:pPr>
        <w:pStyle w:val="6"/>
        <w:spacing w:line="600" w:lineRule="atLeast"/>
        <w:ind w:left="640"/>
        <w:rPr>
          <w:snapToGrid w:val="0"/>
        </w:rPr>
      </w:pPr>
      <w:r>
        <w:rPr>
          <w:snapToGrid w:val="0"/>
        </w:rPr>
        <w:t>5.</w:t>
      </w:r>
      <w:r>
        <w:rPr>
          <w:rFonts w:hint="eastAsia"/>
          <w:snapToGrid w:val="0"/>
        </w:rPr>
        <w:t>构建碳汇补偿技术与基础能力支撑机制</w:t>
      </w:r>
    </w:p>
    <w:p w14:paraId="7BC4AD28">
      <w:pPr>
        <w:overflowPunct w:val="0"/>
        <w:spacing w:line="600" w:lineRule="atLeast"/>
        <w:ind w:firstLine="643" w:firstLineChars="200"/>
        <w:rPr>
          <w:rFonts w:ascii="仿宋_GB2312"/>
          <w:snapToGrid w:val="0"/>
          <w:szCs w:val="32"/>
        </w:rPr>
      </w:pPr>
      <w:r>
        <w:rPr>
          <w:rFonts w:hint="eastAsia" w:ascii="仿宋_GB2312"/>
          <w:b/>
          <w:snapToGrid w:val="0"/>
          <w:szCs w:val="32"/>
        </w:rPr>
        <w:t>加强基础科学研究</w:t>
      </w:r>
      <w:r>
        <w:rPr>
          <w:rFonts w:hint="eastAsia" w:ascii="仿宋_GB2312"/>
          <w:snapToGrid w:val="0"/>
          <w:szCs w:val="32"/>
        </w:rPr>
        <w:t>。探索生物量方程、扩展因子等本地参数的确定方法，从而摸清本地优势树种碳汇计量各种参数；探索研究商品林停伐转公益林碳汇方法学，积极参与天然林人工抚育碳汇方法学新方法学的研究制定；研究老方法学，根据三明市情况提出老方法学优化的方案。</w:t>
      </w:r>
    </w:p>
    <w:p w14:paraId="62882329">
      <w:pPr>
        <w:overflowPunct w:val="0"/>
        <w:spacing w:line="600" w:lineRule="atLeast"/>
        <w:ind w:firstLine="643" w:firstLineChars="200"/>
        <w:rPr>
          <w:rFonts w:ascii="仿宋_GB2312"/>
          <w:snapToGrid w:val="0"/>
          <w:szCs w:val="32"/>
        </w:rPr>
      </w:pPr>
      <w:r>
        <w:rPr>
          <w:rFonts w:hint="eastAsia" w:ascii="仿宋_GB2312"/>
          <w:b/>
          <w:snapToGrid w:val="0"/>
          <w:szCs w:val="32"/>
        </w:rPr>
        <w:t>提升能力建设水平</w:t>
      </w:r>
      <w:r>
        <w:rPr>
          <w:rFonts w:hint="eastAsia" w:ascii="仿宋_GB2312"/>
          <w:snapToGrid w:val="0"/>
          <w:szCs w:val="32"/>
        </w:rPr>
        <w:t>。组建专家委员会，负责动态跟踪国家及省级政策，并为政府的相关决策提供技术支撑；加强政府、研究所和高校的交流和项目合作，培养碳汇专业技术人才；加强对</w:t>
      </w:r>
      <w:r>
        <w:rPr>
          <w:rFonts w:ascii="仿宋_GB2312"/>
          <w:snapToGrid w:val="0"/>
          <w:szCs w:val="32"/>
        </w:rPr>
        <w:t>CCER</w:t>
      </w:r>
      <w:r>
        <w:rPr>
          <w:rFonts w:hint="eastAsia" w:ascii="仿宋_GB2312"/>
          <w:snapToGrid w:val="0"/>
          <w:szCs w:val="32"/>
        </w:rPr>
        <w:t>和</w:t>
      </w:r>
      <w:r>
        <w:rPr>
          <w:rFonts w:ascii="仿宋_GB2312"/>
          <w:snapToGrid w:val="0"/>
          <w:szCs w:val="32"/>
        </w:rPr>
        <w:t>FFCER</w:t>
      </w:r>
      <w:r>
        <w:rPr>
          <w:rFonts w:hint="eastAsia" w:ascii="仿宋_GB2312"/>
          <w:snapToGrid w:val="0"/>
          <w:szCs w:val="32"/>
        </w:rPr>
        <w:t>项目开发、申报、审核等方面的研究。</w:t>
      </w:r>
    </w:p>
    <w:p w14:paraId="58B02BCD">
      <w:pPr>
        <w:pStyle w:val="4"/>
      </w:pPr>
      <w:bookmarkStart w:id="161" w:name="_Toc508311934"/>
      <w:bookmarkEnd w:id="161"/>
      <w:bookmarkStart w:id="162" w:name="_Toc524597420"/>
      <w:r>
        <w:rPr>
          <w:rFonts w:hint="eastAsia"/>
        </w:rPr>
        <w:t>“夯实一个基础”，提升城市低碳管理能力</w:t>
      </w:r>
      <w:bookmarkEnd w:id="162"/>
    </w:p>
    <w:p w14:paraId="6D8E7946">
      <w:pPr>
        <w:pStyle w:val="5"/>
      </w:pPr>
      <w:bookmarkStart w:id="163" w:name="_Toc524597421"/>
      <w:r>
        <w:rPr>
          <w:rFonts w:hint="eastAsia"/>
        </w:rPr>
        <w:t>（一）做好碳排放交易基础工作</w:t>
      </w:r>
      <w:bookmarkEnd w:id="163"/>
    </w:p>
    <w:p w14:paraId="65A31F81">
      <w:pPr>
        <w:pStyle w:val="6"/>
        <w:spacing w:line="600" w:lineRule="atLeast"/>
        <w:ind w:left="640"/>
        <w:rPr>
          <w:snapToGrid w:val="0"/>
        </w:rPr>
      </w:pPr>
      <w:r>
        <w:rPr>
          <w:snapToGrid w:val="0"/>
        </w:rPr>
        <w:t>1.</w:t>
      </w:r>
      <w:r>
        <w:rPr>
          <w:rFonts w:hint="eastAsia"/>
          <w:snapToGrid w:val="0"/>
        </w:rPr>
        <w:t>做好重点排放单位名单更新工作</w:t>
      </w:r>
    </w:p>
    <w:p w14:paraId="4DCC8CCF">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及时跟踪全国碳市场和福建省碳市场重点排放单位纳入门槛及覆盖范围要求变化情况，定期做好</w:t>
      </w:r>
      <w:r>
        <w:rPr>
          <w:rFonts w:hint="eastAsia"/>
        </w:rPr>
        <w:t>石化、化工、建材、钢铁、有色、造纸、电力、航空、陶瓷等行业温室气体排放量达到</w:t>
      </w:r>
      <w:r>
        <w:t>2.6</w:t>
      </w:r>
      <w:r>
        <w:rPr>
          <w:rFonts w:hint="eastAsia"/>
        </w:rPr>
        <w:t>万吨二氧化碳当量（综合能源消费量约</w:t>
      </w:r>
      <w:r>
        <w:t>1</w:t>
      </w:r>
      <w:r>
        <w:rPr>
          <w:rFonts w:hint="eastAsia"/>
        </w:rPr>
        <w:t>万吨标准煤）及以上的企业或者其他经济组织的年度更新工作，形成三明市纳入全国碳市场及福建省碳市场的重点排放单位名单。</w:t>
      </w:r>
    </w:p>
    <w:p w14:paraId="527C0003">
      <w:pPr>
        <w:pStyle w:val="6"/>
        <w:spacing w:line="600" w:lineRule="atLeast"/>
        <w:ind w:left="640"/>
        <w:rPr>
          <w:snapToGrid w:val="0"/>
        </w:rPr>
      </w:pPr>
      <w:r>
        <w:rPr>
          <w:snapToGrid w:val="0"/>
        </w:rPr>
        <w:t>2.</w:t>
      </w:r>
      <w:r>
        <w:rPr>
          <w:rFonts w:hint="eastAsia"/>
          <w:snapToGrid w:val="0"/>
        </w:rPr>
        <w:t>配合福建省做好重点排放单位监测、报告与核查工作</w:t>
      </w:r>
    </w:p>
    <w:p w14:paraId="506C4FB0">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积极配合福建省及全国碳排放交易市场建设，督促重点排放单位制定并严格执行监测计划，积极组织重点排放单位开展碳排放报告报送工作，配合福建省确定的第三方核查机构对企业报送数据的核查工作，协调第三方机构进驻企业现场，确保核查工作顺利开展。</w:t>
      </w:r>
    </w:p>
    <w:p w14:paraId="31957AC0">
      <w:pPr>
        <w:pStyle w:val="6"/>
        <w:spacing w:line="600" w:lineRule="atLeast"/>
        <w:ind w:left="640"/>
        <w:rPr>
          <w:rFonts w:ascii="仿宋_GB2312" w:cs="宋体"/>
          <w:kern w:val="0"/>
          <w:szCs w:val="32"/>
        </w:rPr>
      </w:pPr>
      <w:r>
        <w:rPr>
          <w:snapToGrid w:val="0"/>
        </w:rPr>
        <w:t>3.</w:t>
      </w:r>
      <w:r>
        <w:rPr>
          <w:rFonts w:hint="eastAsia"/>
          <w:snapToGrid w:val="0"/>
        </w:rPr>
        <w:t>配合福建省做好重点排放单位管理及履约工作</w:t>
      </w:r>
    </w:p>
    <w:p w14:paraId="21EDBD53">
      <w:pPr>
        <w:autoSpaceDE w:val="0"/>
        <w:autoSpaceDN w:val="0"/>
        <w:adjustRightInd w:val="0"/>
        <w:snapToGrid w:val="0"/>
        <w:spacing w:line="600" w:lineRule="atLeast"/>
        <w:ind w:firstLine="640" w:firstLineChars="200"/>
        <w:rPr>
          <w:rFonts w:ascii="仿宋_GB2312" w:cs="宋体"/>
          <w:kern w:val="0"/>
          <w:szCs w:val="32"/>
        </w:rPr>
      </w:pPr>
      <w:r>
        <w:rPr>
          <w:rFonts w:hint="eastAsia" w:ascii="仿宋_GB2312" w:cs="宋体"/>
          <w:kern w:val="0"/>
          <w:szCs w:val="32"/>
        </w:rPr>
        <w:t>重点关注纳入企业的年度报送、核查和履约情况，督促企业建立碳排放和交易管理体系，协助和指导企业获取和管理初始分配配额。组织辖区内企业与域外包括交易所，金融机构，资产管理公司等交流对接，鼓励并协助企业借助碳排放权交易平台，通过配额交易获得经济收益或排放权益。积极推动市内符合要求的机构、企业、团体和个人参与国家温室气体自愿减排交易。</w:t>
      </w:r>
    </w:p>
    <w:p w14:paraId="5D4E0C62">
      <w:pPr>
        <w:pStyle w:val="5"/>
      </w:pPr>
      <w:bookmarkStart w:id="164" w:name="_Toc524597422"/>
      <w:r>
        <w:rPr>
          <w:rFonts w:hint="eastAsia"/>
        </w:rPr>
        <w:t>（二）开展低碳领域基础研究和专业化培训</w:t>
      </w:r>
      <w:bookmarkEnd w:id="164"/>
    </w:p>
    <w:p w14:paraId="3D5C7EA3">
      <w:pPr>
        <w:pStyle w:val="6"/>
        <w:ind w:left="640"/>
        <w:rPr>
          <w:snapToGrid w:val="0"/>
        </w:rPr>
      </w:pPr>
      <w:r>
        <w:rPr>
          <w:snapToGrid w:val="0"/>
        </w:rPr>
        <w:t>1.</w:t>
      </w:r>
      <w:r>
        <w:rPr>
          <w:rFonts w:hint="eastAsia"/>
          <w:snapToGrid w:val="0"/>
        </w:rPr>
        <w:t>研究和编制达峰路线图</w:t>
      </w:r>
    </w:p>
    <w:p w14:paraId="1FF343FA">
      <w:pPr>
        <w:ind w:firstLine="640" w:firstLineChars="200"/>
      </w:pPr>
      <w:r>
        <w:rPr>
          <w:rFonts w:hint="eastAsia"/>
        </w:rPr>
        <w:t>按照国家对第三批低碳城市试点的要求，根据试点申报中提出的碳排放峰值目标，组织专业技术支撑团队开展三明市碳排放达峰路线图研究。结合国家低碳发展形势和三明市当前的发展状况，以低碳转型为出发点，分析三明市能源利用情况和发展趋势，在此基础上详细测算逐年碳排放总量，分析碳排放峰值对应的假设情景，结合不同达峰路径的成本效益分析，分阶段、分步骤制定具体的达峰措施及实施方案，形成三明市达峰路线图，确保实现碳排放总量顺利达峰。</w:t>
      </w:r>
    </w:p>
    <w:p w14:paraId="14569F67">
      <w:pPr>
        <w:pStyle w:val="6"/>
        <w:ind w:left="640"/>
        <w:rPr>
          <w:snapToGrid w:val="0"/>
        </w:rPr>
      </w:pPr>
      <w:r>
        <w:rPr>
          <w:snapToGrid w:val="0"/>
        </w:rPr>
        <w:t>2.</w:t>
      </w:r>
      <w:r>
        <w:rPr>
          <w:rFonts w:hint="eastAsia"/>
          <w:snapToGrid w:val="0"/>
        </w:rPr>
        <w:t>实施低碳能力建设专项行动计划</w:t>
      </w:r>
    </w:p>
    <w:p w14:paraId="45ECB51D">
      <w:pPr>
        <w:ind w:firstLine="643" w:firstLineChars="200"/>
      </w:pPr>
      <w:r>
        <w:rPr>
          <w:rFonts w:hint="eastAsia"/>
          <w:b/>
        </w:rPr>
        <w:t>开展面向政府主管部门的培训</w:t>
      </w:r>
      <w:r>
        <w:rPr>
          <w:rFonts w:hint="eastAsia"/>
        </w:rPr>
        <w:t>。以加强三明市各级政府低碳工作相关管理人员对低碳与应对气候变化工作的总体认知，提升低碳战略决策能力为目标，分阶段开展低碳能力建设。培训内容主要涉及国家及福建省低碳发展政策与低碳试点工作实践、国家及福建省“十三五”控制温室气体排放目标责任考核体系及地区指标分解、低碳城市建设要点与典型城市经验、气候变化与全球碳市场建设、中国碳市场及福建碳市场发展现状和规划路线图、国家温室气体核算报告体系涉及行业范围和地方经验等。</w:t>
      </w:r>
    </w:p>
    <w:p w14:paraId="78125429">
      <w:pPr>
        <w:ind w:firstLine="643" w:firstLineChars="200"/>
      </w:pPr>
      <w:r>
        <w:rPr>
          <w:rFonts w:hint="eastAsia"/>
          <w:b/>
        </w:rPr>
        <w:t>开展面向重点排放企业的培训</w:t>
      </w:r>
      <w:r>
        <w:rPr>
          <w:rFonts w:hint="eastAsia"/>
        </w:rPr>
        <w:t>。针对性开展分别面向重点排放企业管理层人员和低碳技术人员等多层次的低碳能力培训，切实提高企业碳排放核算填报和数据报送业务水平，以及碳交易履约和碳资产管理的工作能力。培训主题将涉及国家开展温室气体排放报告工作政策背景与全国碳市场及福建省碳市场建设最新进展、核算报告体系与企业排放报告典型流程、最新国家配额分配方法、企业配合第三方核查机构开展核查工作的关键点、注册登记系统与交易系统开户操作、配额交易和履约规则等内容。主要采取线下面授培训授课为主，并结合小组互动交流、线上平台学习、线上练习等多种形式相结合的多样化培训模式。</w:t>
      </w:r>
    </w:p>
    <w:p w14:paraId="3CBC4D50"/>
    <w:p w14:paraId="3C8F1AA9">
      <w:pPr>
        <w:widowControl/>
        <w:spacing w:line="240" w:lineRule="auto"/>
        <w:jc w:val="left"/>
        <w:sectPr>
          <w:type w:val="continuous"/>
          <w:pgSz w:w="11906" w:h="16838"/>
          <w:pgMar w:top="1701" w:right="1418" w:bottom="1418" w:left="1474" w:header="851" w:footer="992" w:gutter="0"/>
          <w:cols w:space="720" w:num="1"/>
          <w:docGrid w:type="lines" w:linePitch="435" w:charSpace="0"/>
        </w:sectPr>
      </w:pPr>
      <w:r>
        <w:br w:type="page"/>
      </w:r>
    </w:p>
    <w:p w14:paraId="6A71F416">
      <w:pPr>
        <w:pStyle w:val="2"/>
        <w:spacing w:before="260" w:after="260"/>
        <w:jc w:val="center"/>
        <w:rPr>
          <w:sz w:val="36"/>
        </w:rPr>
      </w:pPr>
      <w:r>
        <w:rPr>
          <w:sz w:val="36"/>
        </w:rPr>
        <w:tab/>
      </w:r>
      <w:bookmarkStart w:id="165" w:name="_Toc524597423"/>
      <w:r>
        <w:rPr>
          <w:rFonts w:hint="eastAsia"/>
          <w:sz w:val="36"/>
        </w:rPr>
        <w:t>三明市低碳发展保障措施</w:t>
      </w:r>
      <w:bookmarkEnd w:id="165"/>
    </w:p>
    <w:p w14:paraId="015DEB05">
      <w:pPr>
        <w:pStyle w:val="4"/>
      </w:pPr>
      <w:bookmarkStart w:id="166" w:name="_Toc524597424"/>
      <w:r>
        <w:rPr>
          <w:rFonts w:hint="eastAsia"/>
        </w:rPr>
        <w:t>加强组织协调</w:t>
      </w:r>
      <w:bookmarkEnd w:id="166"/>
    </w:p>
    <w:p w14:paraId="0C6385C5">
      <w:pPr>
        <w:pStyle w:val="5"/>
        <w:numPr>
          <w:ilvl w:val="2"/>
          <w:numId w:val="0"/>
        </w:numPr>
        <w:rPr>
          <w:rFonts w:ascii="楷体" w:hAnsi="楷体" w:eastAsia="楷体"/>
        </w:rPr>
      </w:pPr>
      <w:bookmarkStart w:id="167" w:name="_Toc514423553"/>
      <w:bookmarkStart w:id="168" w:name="_Toc524597425"/>
      <w:r>
        <w:rPr>
          <w:rFonts w:hint="eastAsia" w:ascii="楷体" w:hAnsi="楷体" w:eastAsia="楷体"/>
        </w:rPr>
        <w:t>（一）建立健全组织领导体系</w:t>
      </w:r>
      <w:bookmarkEnd w:id="167"/>
      <w:bookmarkEnd w:id="168"/>
    </w:p>
    <w:p w14:paraId="47976A1A">
      <w:pPr>
        <w:ind w:firstLine="640" w:firstLineChars="200"/>
        <w:rPr>
          <w:rFonts w:ascii="仿宋_GB2312" w:hAnsi="仿宋"/>
          <w:szCs w:val="30"/>
        </w:rPr>
      </w:pPr>
      <w:r>
        <w:rPr>
          <w:rFonts w:hint="eastAsia" w:ascii="仿宋_GB2312" w:hAnsi="仿宋"/>
          <w:szCs w:val="30"/>
        </w:rPr>
        <w:t>成立三明市应对气候变化工作领导小组，成员包括市委宣传部、市发改委、工信局、财政局、生态环境局、住建局、交通运输局、文旅局、国资委、林业局、市场监管局、统计局、城管局、法院、金融监管局、人行三明中心支行、银监分局等部门。领导小组全面统筹低碳发展工作，决策低碳城市建设重大战略、方针和政策，协调解决试点建设工作中的重大问题。在三明市生态环境局设置领导小组办公室，承担归口管理全市应对气候变化与低碳城市试点日常工作，履行相关工作的组织、指导、协调、监督、检查和考核，同时负责与国家和福建省主管部门的沟通与衔接，落实国家与省下达的有关要求，及时汇报低碳城市试点工作进展，保障低碳发展任务落到实处。</w:t>
      </w:r>
    </w:p>
    <w:p w14:paraId="14E3F054">
      <w:pPr>
        <w:pStyle w:val="5"/>
        <w:numPr>
          <w:ilvl w:val="2"/>
          <w:numId w:val="0"/>
        </w:numPr>
        <w:rPr>
          <w:rFonts w:ascii="楷体" w:hAnsi="楷体" w:eastAsia="楷体"/>
        </w:rPr>
      </w:pPr>
      <w:bookmarkStart w:id="169" w:name="_Toc514423554"/>
      <w:bookmarkStart w:id="170" w:name="_Toc524597426"/>
      <w:r>
        <w:rPr>
          <w:rFonts w:hint="eastAsia" w:ascii="楷体" w:hAnsi="楷体" w:eastAsia="楷体"/>
        </w:rPr>
        <w:t>（二）完善工作协同机制</w:t>
      </w:r>
      <w:bookmarkEnd w:id="169"/>
      <w:bookmarkEnd w:id="170"/>
    </w:p>
    <w:p w14:paraId="63F1D37A">
      <w:pPr>
        <w:ind w:firstLine="640" w:firstLineChars="200"/>
        <w:rPr>
          <w:rFonts w:ascii="仿宋_GB2312"/>
          <w:sz w:val="36"/>
        </w:rPr>
      </w:pPr>
      <w:r>
        <w:rPr>
          <w:rFonts w:hint="eastAsia" w:ascii="仿宋_GB2312" w:hAnsi="仿宋"/>
          <w:szCs w:val="30"/>
        </w:rPr>
        <w:t>建立由领导小组统一领导、市生态环境局委归口管理、相关部门和各区市分工负责、全社会广泛参与的管理体制和工作协同机制，明确责任分工，各职能部门各司其职、加强协作、互相支持。逐层分解落实工作责任，形成市和区（县、市）分级管理、部门相互配合、上下良性互动的推进机制。各级政府和部门要加强对规划实施的组织领导，充分发挥各部门的积极性和主观能动性，上下联动，共同研究制定有利于规划执行的相关政策和措施，形成低碳发展整体合力。</w:t>
      </w:r>
    </w:p>
    <w:p w14:paraId="7FDEA092">
      <w:pPr>
        <w:pStyle w:val="4"/>
      </w:pPr>
      <w:bookmarkStart w:id="171" w:name="_Toc524597427"/>
      <w:r>
        <w:rPr>
          <w:rFonts w:hint="eastAsia"/>
        </w:rPr>
        <w:t>推进制度建设</w:t>
      </w:r>
      <w:bookmarkEnd w:id="171"/>
    </w:p>
    <w:p w14:paraId="690863F0">
      <w:pPr>
        <w:pStyle w:val="5"/>
        <w:numPr>
          <w:ilvl w:val="2"/>
          <w:numId w:val="0"/>
        </w:numPr>
        <w:rPr>
          <w:rFonts w:ascii="楷体" w:hAnsi="楷体" w:eastAsia="楷体"/>
        </w:rPr>
      </w:pPr>
      <w:bookmarkStart w:id="172" w:name="_Toc514423556"/>
      <w:bookmarkStart w:id="173" w:name="_Toc524597428"/>
      <w:r>
        <w:rPr>
          <w:rFonts w:hint="eastAsia" w:ascii="楷体" w:hAnsi="楷体" w:eastAsia="楷体"/>
        </w:rPr>
        <w:t>（一）健全二氧化碳排放降低目标责任评价考核制度</w:t>
      </w:r>
      <w:bookmarkEnd w:id="172"/>
      <w:bookmarkEnd w:id="173"/>
    </w:p>
    <w:p w14:paraId="168E6BFC">
      <w:pPr>
        <w:ind w:firstLine="640" w:firstLineChars="200"/>
        <w:rPr>
          <w:rFonts w:ascii="仿宋_GB2312" w:hAnsi="仿宋"/>
          <w:szCs w:val="30"/>
        </w:rPr>
      </w:pPr>
      <w:r>
        <w:rPr>
          <w:rFonts w:hint="eastAsia" w:ascii="仿宋_GB2312" w:hAnsi="仿宋"/>
          <w:szCs w:val="30"/>
        </w:rPr>
        <w:t>按照责任落实、措施落实、工作落实的总体要求，坚持目标导向、突出重点、易于操作、奖惩分明的原则，建立二氧化碳排放降低目标责任评价、考核和奖惩制度。以二氧化碳排放现状及减排目标为依据，选择科学合理的目标分解方法，确定各区县、部门、重点行业及企业目标，将碳减排目标纳入年度党政领导生态环境保护目标责任书考核内容，分年度对各区市控制温室气体排放的目标完成情况、任务与措施落实情况、基础工作与能力建设情况等进行评价考核，各责任单位要将相关指标纳入本单位考核体系。制定具体的奖惩措施，形成激励机制，对完成低碳发展目标任务的责任主体予以奖励，针对未能圆满完成低碳发展目标任务的责任主体需要查明原因，追究责任。</w:t>
      </w:r>
    </w:p>
    <w:p w14:paraId="13041EF4">
      <w:pPr>
        <w:pStyle w:val="5"/>
        <w:numPr>
          <w:ilvl w:val="2"/>
          <w:numId w:val="0"/>
        </w:numPr>
        <w:rPr>
          <w:rFonts w:ascii="楷体" w:hAnsi="楷体" w:eastAsia="楷体"/>
        </w:rPr>
      </w:pPr>
      <w:bookmarkStart w:id="174" w:name="_Toc514423557"/>
      <w:bookmarkStart w:id="175" w:name="_Toc524597429"/>
      <w:r>
        <w:rPr>
          <w:rFonts w:hint="eastAsia" w:ascii="楷体" w:hAnsi="楷体" w:eastAsia="楷体"/>
        </w:rPr>
        <w:t>（二）推行市场化节能降碳机制</w:t>
      </w:r>
      <w:bookmarkEnd w:id="174"/>
      <w:bookmarkEnd w:id="175"/>
    </w:p>
    <w:p w14:paraId="55E5DD01">
      <w:pPr>
        <w:ind w:firstLine="640" w:firstLineChars="200"/>
        <w:rPr>
          <w:rFonts w:ascii="仿宋_GB2312" w:hAnsi="仿宋"/>
          <w:szCs w:val="30"/>
        </w:rPr>
      </w:pPr>
      <w:r>
        <w:rPr>
          <w:rFonts w:hint="eastAsia" w:ascii="仿宋_GB2312" w:hAnsi="仿宋"/>
          <w:szCs w:val="30"/>
        </w:rPr>
        <w:t>积极探索碳排放权交易与用能权交易制度，配合福建省碳交易试点以及用能权有偿使用和交易制度试点等有关工作的开展，加强探索制定管理办法和奖惩措施，推动控排企业开展减排行动。实施能效领跑者制度，定期发布领跑者目录，通过树立标杆、政策激励、提高标准，形成推动终端用能产品、高耗能行业、公共机构能效水平不断提升。推广低碳产品认证和碳标识制度，根据国家和省低碳产品认证和碳标识相关要求，研究低碳产品认证和碳标识制度，引导和鼓励企业研发低碳产品技术，加快向低碳生产模式转变。完善价格政策，在价格权限范围内，充分发挥价格杠杆在推动低碳发展中的重要作用，清理高耗能企业优惠电价政策，落实差别电价和惩罚性电价政策，建立科学的节电节水激励机制。</w:t>
      </w:r>
    </w:p>
    <w:p w14:paraId="51D07ABB">
      <w:pPr>
        <w:pStyle w:val="4"/>
      </w:pPr>
      <w:bookmarkStart w:id="176" w:name="_Toc524597430"/>
      <w:r>
        <w:rPr>
          <w:rFonts w:hint="eastAsia"/>
        </w:rPr>
        <w:t>强化科技支撑</w:t>
      </w:r>
      <w:bookmarkEnd w:id="176"/>
    </w:p>
    <w:p w14:paraId="18FE14F7">
      <w:pPr>
        <w:pStyle w:val="5"/>
        <w:numPr>
          <w:ilvl w:val="2"/>
          <w:numId w:val="0"/>
        </w:numPr>
        <w:rPr>
          <w:rFonts w:ascii="楷体" w:hAnsi="楷体" w:eastAsia="楷体"/>
        </w:rPr>
      </w:pPr>
      <w:bookmarkStart w:id="177" w:name="_Toc514423559"/>
      <w:bookmarkStart w:id="178" w:name="_Toc524597431"/>
      <w:r>
        <w:rPr>
          <w:rFonts w:hint="eastAsia" w:ascii="楷体" w:hAnsi="楷体" w:eastAsia="楷体"/>
        </w:rPr>
        <w:t>（一）创新育才、聚才、用才机制</w:t>
      </w:r>
      <w:bookmarkEnd w:id="177"/>
      <w:bookmarkEnd w:id="178"/>
    </w:p>
    <w:p w14:paraId="75BF1AE7">
      <w:pPr>
        <w:ind w:firstLine="640" w:firstLineChars="200"/>
        <w:rPr>
          <w:rFonts w:ascii="仿宋_GB2312" w:hAnsi="仿宋"/>
          <w:szCs w:val="30"/>
        </w:rPr>
      </w:pPr>
      <w:r>
        <w:rPr>
          <w:rFonts w:hint="eastAsia" w:ascii="仿宋_GB2312" w:hAnsi="仿宋"/>
          <w:szCs w:val="30"/>
        </w:rPr>
        <w:t>实施更加创新的育才机制。围绕本市低碳发展战略需求，创新人才培育模式，支持大中专院校采取“定向委培”等方式，联合培养低碳产业发展急需紧缺的专业人员，培养一批低碳发展急需的战略科技人才、科技领军人才、企业家和高技能人才。实行更加开放的聚才机制。深入实施三明市“海纳百川”高端人才聚集计划，重点支持引进我市低碳产业或领域等急需紧缺人才和创新创业团队。发挥科协组织系统优势，加强与中国科学院、中国工程院、全国性科技社团联系，支持低碳领域院士专家工作站建设。健全更加科学的用才机制，建立健全低碳技术创新人才优惠政策、激励机制和评价体系，对高校、科研院所和医院等创新人才聚集明显的单位，探索实施“按需设岗，竞争择优，自主聘用”的人才管理体制。</w:t>
      </w:r>
    </w:p>
    <w:p w14:paraId="14ABCABB">
      <w:pPr>
        <w:pStyle w:val="5"/>
        <w:numPr>
          <w:ilvl w:val="2"/>
          <w:numId w:val="0"/>
        </w:numPr>
        <w:rPr>
          <w:rFonts w:ascii="楷体" w:hAnsi="楷体" w:eastAsia="楷体"/>
        </w:rPr>
      </w:pPr>
      <w:bookmarkStart w:id="179" w:name="_Toc524597432"/>
      <w:bookmarkStart w:id="180" w:name="_Toc514423560"/>
      <w:r>
        <w:rPr>
          <w:rFonts w:hint="eastAsia" w:ascii="楷体" w:hAnsi="楷体" w:eastAsia="楷体"/>
        </w:rPr>
        <w:t>（二）鼓励低碳领域创业创新</w:t>
      </w:r>
      <w:bookmarkEnd w:id="179"/>
      <w:bookmarkEnd w:id="180"/>
    </w:p>
    <w:p w14:paraId="04D4BDEC">
      <w:pPr>
        <w:ind w:firstLine="640" w:firstLineChars="200"/>
        <w:rPr>
          <w:rFonts w:ascii="仿宋_GB2312" w:hAnsi="仿宋"/>
          <w:szCs w:val="30"/>
        </w:rPr>
      </w:pPr>
      <w:r>
        <w:rPr>
          <w:rFonts w:hint="eastAsia" w:ascii="仿宋_GB2312" w:hAnsi="仿宋"/>
          <w:szCs w:val="30"/>
        </w:rPr>
        <w:t>切实抓住我市获得小微企业创业创新基地城市示范的契机，大力落实各项政策，营造有利于低碳领域大众创业、万众创新的制度环境和政策体系。加强管理和引导，重点推进中机院科技企业孵化器、中节能节能环保产业孵化器等孵化平台建设，支持社会资本参与低碳科技企业孵化器的建设与运营，推进孵化器向“孵化器</w:t>
      </w:r>
      <w:r>
        <w:rPr>
          <w:rFonts w:ascii="仿宋_GB2312" w:hAnsi="仿宋"/>
          <w:szCs w:val="30"/>
        </w:rPr>
        <w:t>+</w:t>
      </w:r>
      <w:r>
        <w:rPr>
          <w:rFonts w:hint="eastAsia" w:ascii="仿宋_GB2312" w:hAnsi="仿宋"/>
          <w:szCs w:val="30"/>
        </w:rPr>
        <w:t>加速器</w:t>
      </w:r>
      <w:r>
        <w:rPr>
          <w:rFonts w:ascii="仿宋_GB2312" w:hAnsi="仿宋"/>
          <w:szCs w:val="30"/>
        </w:rPr>
        <w:t>+</w:t>
      </w:r>
      <w:r>
        <w:rPr>
          <w:rFonts w:hint="eastAsia" w:ascii="仿宋_GB2312" w:hAnsi="仿宋"/>
          <w:szCs w:val="30"/>
        </w:rPr>
        <w:t>产业化基地”链条延伸，提升孵化能力。支持个人创业和草根创新，鼓励国有企事业单位科研人员、大学生、返乡人员创业，支持外地科技人员来明创办低碳科技型企业。加强创新典型的总结和宣传，积极推广一批先进低碳创新模式和经验，树立崇尚创新创业的价值导向，拓展创业新空间，汇聚发展新动能，激发全社会的创新创业热情和活力。</w:t>
      </w:r>
    </w:p>
    <w:p w14:paraId="4E77B06B">
      <w:pPr>
        <w:pStyle w:val="4"/>
      </w:pPr>
      <w:bookmarkStart w:id="181" w:name="_Toc524597433"/>
      <w:r>
        <w:rPr>
          <w:rFonts w:hint="eastAsia"/>
        </w:rPr>
        <w:t>保障资金投入</w:t>
      </w:r>
      <w:bookmarkEnd w:id="181"/>
    </w:p>
    <w:p w14:paraId="7C6324FD">
      <w:pPr>
        <w:pStyle w:val="5"/>
        <w:numPr>
          <w:ilvl w:val="2"/>
          <w:numId w:val="0"/>
        </w:numPr>
      </w:pPr>
      <w:bookmarkStart w:id="182" w:name="_Toc514423562"/>
      <w:bookmarkStart w:id="183" w:name="_Toc524597434"/>
      <w:r>
        <w:rPr>
          <w:rFonts w:hint="eastAsia" w:ascii="楷体" w:hAnsi="楷体" w:eastAsia="楷体"/>
        </w:rPr>
        <w:t>（一）加大财政支持力度</w:t>
      </w:r>
      <w:bookmarkEnd w:id="182"/>
      <w:bookmarkEnd w:id="183"/>
    </w:p>
    <w:p w14:paraId="06103CA4">
      <w:pPr>
        <w:ind w:firstLine="640" w:firstLineChars="200"/>
        <w:rPr>
          <w:rFonts w:ascii="仿宋_GB2312" w:hAnsi="仿宋"/>
          <w:szCs w:val="30"/>
        </w:rPr>
      </w:pPr>
      <w:r>
        <w:rPr>
          <w:rFonts w:hint="eastAsia" w:ascii="仿宋_GB2312" w:hAnsi="仿宋"/>
          <w:szCs w:val="30"/>
        </w:rPr>
        <w:t>制定和实施有利于本市低碳发展的财税政策，落实规划项目建设资金，保障低碳城市建设计划按期实施。对接中央和省投资导向，争取加大对生态建设、节能减排、新能源等项目的支持力度，积极支持低碳领域重点项目申报国家、省级专项资金，扩大低碳领域投资。推动各级政府加大低碳发展投入。创新支持方式，通过积极的补贴政策（包括能源补贴、产业补贴等）和优惠的税收政策，重点支持低碳关键技术研发、重大产业创新及产业化、试点示范、创新能力建设等，并引导各类金融机构加大对低碳发展的投入。</w:t>
      </w:r>
    </w:p>
    <w:p w14:paraId="0A4EFAE1">
      <w:pPr>
        <w:pStyle w:val="5"/>
        <w:numPr>
          <w:ilvl w:val="2"/>
          <w:numId w:val="0"/>
        </w:numPr>
        <w:rPr>
          <w:rFonts w:ascii="楷体" w:hAnsi="楷体" w:eastAsia="楷体"/>
        </w:rPr>
      </w:pPr>
      <w:bookmarkStart w:id="184" w:name="_Toc524597435"/>
      <w:bookmarkStart w:id="185" w:name="_Toc514423563"/>
      <w:r>
        <w:rPr>
          <w:rFonts w:hint="eastAsia" w:ascii="楷体" w:hAnsi="楷体" w:eastAsia="楷体"/>
        </w:rPr>
        <w:t>（二）加快构建绿色金融体系</w:t>
      </w:r>
      <w:bookmarkEnd w:id="184"/>
      <w:bookmarkEnd w:id="185"/>
    </w:p>
    <w:p w14:paraId="11A18DF0">
      <w:pPr>
        <w:overflowPunct w:val="0"/>
        <w:ind w:firstLine="640" w:firstLineChars="200"/>
        <w:rPr>
          <w:rFonts w:ascii="仿宋_GB2312" w:cs="宋体"/>
          <w:kern w:val="0"/>
          <w:szCs w:val="32"/>
        </w:rPr>
      </w:pPr>
      <w:r>
        <w:rPr>
          <w:rFonts w:hint="eastAsia" w:ascii="仿宋_GB2312"/>
          <w:snapToGrid w:val="0"/>
          <w:szCs w:val="32"/>
        </w:rPr>
        <w:t>一是</w:t>
      </w:r>
      <w:r>
        <w:rPr>
          <w:rFonts w:hint="eastAsia" w:ascii="仿宋_GB2312" w:cs="宋体"/>
          <w:kern w:val="0"/>
          <w:szCs w:val="32"/>
        </w:rPr>
        <w:t>依托福建省碳排放权交易试点以及全国碳市场建设的契机，积极拓展碳金融业务，开展碳排放权配额、</w:t>
      </w:r>
      <w:r>
        <w:rPr>
          <w:rFonts w:ascii="仿宋_GB2312" w:cs="宋体"/>
          <w:kern w:val="0"/>
          <w:szCs w:val="32"/>
        </w:rPr>
        <w:t>CCER</w:t>
      </w:r>
      <w:r>
        <w:rPr>
          <w:rFonts w:hint="eastAsia" w:ascii="仿宋_GB2312" w:cs="宋体"/>
          <w:kern w:val="0"/>
          <w:szCs w:val="32"/>
        </w:rPr>
        <w:t>质押贷款业务，探索碳基金、碳远期、碳期权等碳金融产品及衍生工具。二是鼓励企业和金融机构发行绿色债券，积极引导符合条件的企业和项目发行绿色债券。三是鼓励第三方专业机构参与研究并发布绿色债券发行企业的环境信息与分析报告，优先支持绿色环保型企业发债融资。四是支持法人金融机构发行绿色金融债券并确保专款专用，积极探索绿色信贷资产证券化。五是创新排污权等各类环境权益的抵押贷款金融产品。在总结现有银行开展相关环境权益抵质押融资经验的基础上，确定抵质押物价值测算方法及抵质押率参考范围，完善市场化的环境权益定价机制，建立高效的抵质押登记及公示制度，探索环境权益回购等模式解决抵质押物处置问题。通过海峡股权交易中心出让富余排污权，推行排污权抵押贷款，发展环境权益回购、保理、托管等金融产品，撬动市场杠杆，力促企业自主减排。</w:t>
      </w:r>
    </w:p>
    <w:p w14:paraId="3385786E">
      <w:pPr>
        <w:pStyle w:val="4"/>
      </w:pPr>
      <w:bookmarkStart w:id="186" w:name="_Toc524597436"/>
      <w:r>
        <w:rPr>
          <w:rFonts w:hint="eastAsia"/>
        </w:rPr>
        <w:t>加强宣传引导</w:t>
      </w:r>
      <w:bookmarkEnd w:id="186"/>
    </w:p>
    <w:p w14:paraId="06AE039F">
      <w:pPr>
        <w:pStyle w:val="5"/>
        <w:numPr>
          <w:ilvl w:val="2"/>
          <w:numId w:val="0"/>
        </w:numPr>
        <w:rPr>
          <w:rFonts w:ascii="楷体" w:hAnsi="楷体" w:eastAsia="楷体"/>
        </w:rPr>
      </w:pPr>
      <w:bookmarkStart w:id="187" w:name="_Toc514423565"/>
      <w:bookmarkStart w:id="188" w:name="_Toc524597437"/>
      <w:r>
        <w:rPr>
          <w:rFonts w:hint="eastAsia" w:ascii="楷体" w:hAnsi="楷体" w:eastAsia="楷体"/>
        </w:rPr>
        <w:t>（一）打造低碳宣传教育平台</w:t>
      </w:r>
      <w:bookmarkEnd w:id="187"/>
      <w:bookmarkEnd w:id="188"/>
    </w:p>
    <w:p w14:paraId="4605A87A">
      <w:pPr>
        <w:tabs>
          <w:tab w:val="left" w:pos="720"/>
        </w:tabs>
        <w:adjustRightInd w:val="0"/>
        <w:snapToGrid w:val="0"/>
        <w:ind w:firstLine="640" w:firstLineChars="200"/>
        <w:rPr>
          <w:rFonts w:ascii="仿宋_GB2312" w:hAnsi="仿宋"/>
          <w:color w:val="000000"/>
          <w:kern w:val="0"/>
          <w:szCs w:val="30"/>
        </w:rPr>
      </w:pPr>
      <w:r>
        <w:rPr>
          <w:rFonts w:hint="eastAsia" w:ascii="仿宋_GB2312" w:hAnsi="仿宋"/>
          <w:color w:val="000000"/>
          <w:kern w:val="0"/>
          <w:szCs w:val="30"/>
        </w:rPr>
        <w:t>以三明生态新城、森林公园等为宣传教育平台，通过集中应用分布式能源站、垃圾生态处理、新能源汽车等节能低碳技术和设施的展示，融合低碳城市规划、企业节能产品技术展示、居民节能低碳生活展示等，形成低碳硬件宣传教育平台。依托低碳生态农业、低碳工业，建立低碳产业观光模式，打造一批低碳文化宣传教育示范基地。广泛开展低碳宣传活动，充分利用广播、电视、互联网、报刊等媒体，加大低碳公益广告力度。</w:t>
      </w:r>
    </w:p>
    <w:p w14:paraId="40D0DD44">
      <w:pPr>
        <w:pStyle w:val="5"/>
        <w:numPr>
          <w:ilvl w:val="2"/>
          <w:numId w:val="0"/>
        </w:numPr>
        <w:rPr>
          <w:rFonts w:ascii="楷体" w:hAnsi="楷体" w:eastAsia="楷体"/>
        </w:rPr>
      </w:pPr>
      <w:bookmarkStart w:id="189" w:name="_Toc514423566"/>
      <w:bookmarkStart w:id="190" w:name="_Toc524597438"/>
      <w:r>
        <w:rPr>
          <w:rFonts w:hint="eastAsia" w:ascii="楷体" w:hAnsi="楷体" w:eastAsia="楷体"/>
        </w:rPr>
        <w:t>（二）办好全国低碳宣传日活动</w:t>
      </w:r>
      <w:bookmarkEnd w:id="189"/>
      <w:bookmarkEnd w:id="190"/>
    </w:p>
    <w:p w14:paraId="2D63CDDB">
      <w:pPr>
        <w:tabs>
          <w:tab w:val="left" w:pos="720"/>
        </w:tabs>
        <w:adjustRightInd w:val="0"/>
        <w:snapToGrid w:val="0"/>
        <w:ind w:firstLine="640" w:firstLineChars="200"/>
        <w:rPr>
          <w:rFonts w:ascii="仿宋_GB2312" w:hAnsi="仿宋"/>
          <w:color w:val="000000"/>
          <w:kern w:val="0"/>
          <w:szCs w:val="30"/>
        </w:rPr>
      </w:pPr>
      <w:r>
        <w:rPr>
          <w:rFonts w:hint="eastAsia" w:ascii="仿宋_GB2312" w:hAnsi="仿宋"/>
          <w:color w:val="000000"/>
          <w:kern w:val="0"/>
          <w:szCs w:val="30"/>
        </w:rPr>
        <w:t>以宣传三明市绿色发展工作成果、加强低碳发展舆论宣传引导、增强全民低碳意识、营造低碳城市建设的良好氛围为目标，以政府推动、承办单位策划实施为模式，每年开展全国低碳宣传日活动。活动将组织开展低碳发展专题讲座，邀请国家低碳领域权威专家、国内以及三明市低碳创新试点示范企业做低碳主题报告，搭建低碳工作的对话平台促进低碳创新合作；展示宣传展板，布置于主题论坛会场区域内，宣传三明市绿色低碳发展成效与低碳生活方式；组织实地考察，邀请领导、专家参观三明低碳双创基地，感受低碳技术创新，举行现场经验交流；举行碳中和仪式，计算低碳日活动产生的减排量，通过植树方式全部吸收本次活动碳排放量，实现“碳中和”；邀请福建东南卫视、福建日报、东南网等省内主流媒体参与活动并进行宣传报道。</w:t>
      </w:r>
    </w:p>
    <w:p w14:paraId="3CB32B5B">
      <w:pPr>
        <w:pStyle w:val="5"/>
        <w:numPr>
          <w:ilvl w:val="2"/>
          <w:numId w:val="0"/>
        </w:numPr>
        <w:rPr>
          <w:rFonts w:ascii="楷体" w:hAnsi="楷体" w:eastAsia="楷体"/>
        </w:rPr>
      </w:pPr>
      <w:bookmarkStart w:id="191" w:name="_Toc514423567"/>
      <w:bookmarkStart w:id="192" w:name="_Toc524597439"/>
      <w:r>
        <w:rPr>
          <w:rFonts w:hint="eastAsia" w:ascii="楷体" w:hAnsi="楷体" w:eastAsia="楷体"/>
        </w:rPr>
        <w:t>（三）开展全民低碳共建活动</w:t>
      </w:r>
      <w:bookmarkEnd w:id="191"/>
      <w:bookmarkEnd w:id="192"/>
    </w:p>
    <w:p w14:paraId="4F747EC9">
      <w:pPr>
        <w:tabs>
          <w:tab w:val="left" w:pos="720"/>
        </w:tabs>
        <w:adjustRightInd w:val="0"/>
        <w:snapToGrid w:val="0"/>
        <w:ind w:firstLine="640" w:firstLineChars="200"/>
        <w:rPr>
          <w:rFonts w:ascii="仿宋_GB2312" w:hAnsi="仿宋"/>
          <w:color w:val="000000"/>
          <w:kern w:val="0"/>
          <w:szCs w:val="30"/>
        </w:rPr>
      </w:pPr>
      <w:r>
        <w:rPr>
          <w:rFonts w:hint="eastAsia" w:ascii="仿宋_GB2312" w:hAnsi="仿宋"/>
          <w:color w:val="000000"/>
          <w:kern w:val="0"/>
          <w:szCs w:val="30"/>
        </w:rPr>
        <w:t>组织“低碳进社区”活动，制定合理的评价标准和奖励方法，面向全市征集家庭低碳创意和做法，鼓励全市家庭以照片、视频等形式投稿，并在低碳宣传日活动上公布获奖家庭名单。开展“应对气候变化进校园”活动，通过讲座、互动游戏等方式，帮助在校学生建立低碳生活意识。开展节能减排行动，运用市场机制，鼓励和引导消费者购买高效节能空调、节能汽车、节能家用电器和节能灯等节能型产品。制定《节能低碳产品政府采购目录》，全面推广政府绿色办公与绿色采购，逐步提高可循环使用产品和可再生产品比重。倡导绿色办公，节约水、电、纸等资源物品消耗，推行“无纸化”、“网络化”办公，推广视频会议、电话会议，减少办公能耗物耗。</w:t>
      </w:r>
    </w:p>
    <w:p w14:paraId="46CA4B6B">
      <w:pPr>
        <w:pStyle w:val="4"/>
      </w:pPr>
      <w:bookmarkStart w:id="193" w:name="_Toc524597440"/>
      <w:r>
        <w:rPr>
          <w:rFonts w:hint="eastAsia"/>
        </w:rPr>
        <w:t>深化对外合作</w:t>
      </w:r>
      <w:bookmarkEnd w:id="193"/>
    </w:p>
    <w:p w14:paraId="676FBF2A">
      <w:pPr>
        <w:pStyle w:val="5"/>
        <w:numPr>
          <w:ilvl w:val="2"/>
          <w:numId w:val="0"/>
        </w:numPr>
        <w:rPr>
          <w:rFonts w:ascii="楷体" w:hAnsi="楷体" w:eastAsia="楷体"/>
        </w:rPr>
      </w:pPr>
      <w:bookmarkStart w:id="194" w:name="_Toc514423569"/>
      <w:bookmarkStart w:id="195" w:name="_Toc524597441"/>
      <w:r>
        <w:rPr>
          <w:rFonts w:hint="eastAsia" w:ascii="楷体" w:hAnsi="楷体" w:eastAsia="楷体"/>
        </w:rPr>
        <w:t>（一）推动低碳领域区域协同合作</w:t>
      </w:r>
      <w:bookmarkEnd w:id="194"/>
      <w:bookmarkEnd w:id="195"/>
    </w:p>
    <w:p w14:paraId="1F86DC14">
      <w:pPr>
        <w:ind w:firstLine="640" w:firstLineChars="200"/>
        <w:rPr>
          <w:rFonts w:ascii="仿宋_GB2312" w:hAnsi="仿宋"/>
          <w:szCs w:val="30"/>
        </w:rPr>
      </w:pPr>
      <w:r>
        <w:rPr>
          <w:rFonts w:hint="eastAsia" w:ascii="仿宋_GB2312" w:hAnsi="仿宋"/>
          <w:szCs w:val="30"/>
        </w:rPr>
        <w:t>加强与国内先进低碳城市交流合作，积极营造低碳发展氛围，开展碳金融、碳排放交易、低碳技术研发、低碳基础设施建设等区域间低碳项目合作，共同研究，共同探讨，共同发展，增强低碳发展创新能力和持续发展潜力。深度融入全省发展大局，积极参与闽东北、闽西南、闽浙赣皖、闽粤赣等经济协作区的区域合作，共同策划实施一批新能源、旅游、物流等领域重大项目，形成北连长三角、南接珠三角的福建省内陆山区大通道。加强区域协作联动，立足产业基础和资源禀赋，实施差异化发展路径，强化三明市与龙岩市机械产业、客家文化合作，与南平市生态旅游产业合作。</w:t>
      </w:r>
    </w:p>
    <w:p w14:paraId="24F78A11">
      <w:pPr>
        <w:pStyle w:val="5"/>
        <w:numPr>
          <w:ilvl w:val="2"/>
          <w:numId w:val="0"/>
        </w:numPr>
        <w:rPr>
          <w:rFonts w:ascii="楷体" w:hAnsi="楷体" w:eastAsia="楷体"/>
        </w:rPr>
      </w:pPr>
      <w:bookmarkStart w:id="196" w:name="_Toc524597442"/>
      <w:bookmarkStart w:id="197" w:name="_Toc514423570"/>
      <w:r>
        <w:rPr>
          <w:rFonts w:hint="eastAsia" w:ascii="楷体" w:hAnsi="楷体" w:eastAsia="楷体"/>
        </w:rPr>
        <w:t>（二）加快低碳领域国际交流合作</w:t>
      </w:r>
      <w:bookmarkEnd w:id="196"/>
      <w:bookmarkEnd w:id="197"/>
    </w:p>
    <w:p w14:paraId="3F6B98CB">
      <w:pPr>
        <w:ind w:firstLine="640" w:firstLineChars="200"/>
        <w:rPr>
          <w:rFonts w:ascii="仿宋_GB2312" w:hAnsi="仿宋"/>
          <w:szCs w:val="30"/>
        </w:rPr>
      </w:pPr>
      <w:r>
        <w:rPr>
          <w:rFonts w:hint="eastAsia" w:ascii="仿宋_GB2312" w:hAnsi="仿宋"/>
          <w:szCs w:val="30"/>
        </w:rPr>
        <w:t>鼓励和支持各地政府、科研机构多渠道参与国际低碳发展各个领域的交流与合作，在引进、消化、吸收的基础上鼓励自主创新，加强三明市相关能力建设和相关领域的发展。创新外商投资管理服务体制，提高外商投资便利化水平，主动承接发达国家和地区的先进技术、先进生产力转移。优化利用外资结构，加大项目策划和招商引资力度，用好“</w:t>
      </w:r>
      <w:r>
        <w:rPr>
          <w:rFonts w:ascii="仿宋_GB2312" w:hAnsi="仿宋"/>
          <w:szCs w:val="30"/>
        </w:rPr>
        <w:t>9</w:t>
      </w:r>
      <w:r>
        <w:rPr>
          <w:rFonts w:hint="eastAsia" w:ascii="仿宋_GB2312" w:hAnsi="仿宋"/>
          <w:szCs w:val="30"/>
        </w:rPr>
        <w:t>·</w:t>
      </w:r>
      <w:r>
        <w:rPr>
          <w:rFonts w:ascii="仿宋_GB2312" w:hAnsi="仿宋"/>
          <w:szCs w:val="30"/>
        </w:rPr>
        <w:t>8</w:t>
      </w:r>
      <w:r>
        <w:rPr>
          <w:rFonts w:hint="eastAsia" w:ascii="仿宋_GB2312" w:hAnsi="仿宋"/>
          <w:szCs w:val="30"/>
        </w:rPr>
        <w:t>”“</w:t>
      </w:r>
      <w:r>
        <w:rPr>
          <w:rFonts w:ascii="仿宋_GB2312" w:hAnsi="仿宋"/>
          <w:szCs w:val="30"/>
        </w:rPr>
        <w:t>11</w:t>
      </w:r>
      <w:r>
        <w:rPr>
          <w:rFonts w:hint="eastAsia" w:ascii="仿宋_GB2312" w:hAnsi="仿宋"/>
          <w:szCs w:val="30"/>
        </w:rPr>
        <w:t>·</w:t>
      </w:r>
      <w:r>
        <w:rPr>
          <w:rFonts w:ascii="仿宋_GB2312" w:hAnsi="仿宋"/>
          <w:szCs w:val="30"/>
        </w:rPr>
        <w:t>6</w:t>
      </w:r>
      <w:r>
        <w:rPr>
          <w:rFonts w:hint="eastAsia" w:ascii="仿宋_GB2312" w:hAnsi="仿宋"/>
          <w:szCs w:val="30"/>
        </w:rPr>
        <w:t>”等招商平台，鼓励外资投向现代农业、高新技术、先进制造、节能环保、现代服务业等领域，力争一批重大低碳产业项目落地。实施“明商回归”工程，创新海外明籍乡亲回乡投资创业等引资引智新机制，吸引海外侨胞来明投资低碳产业，汇聚侨心侨智侨力。</w:t>
      </w:r>
    </w:p>
    <w:p w14:paraId="41FF55EE">
      <w:pPr>
        <w:spacing w:line="560" w:lineRule="exact"/>
        <w:ind w:firstLine="640" w:firstLineChars="200"/>
        <w:rPr>
          <w:rFonts w:ascii="仿宋_GB2312" w:hAnsi="仿宋"/>
          <w:szCs w:val="30"/>
        </w:rPr>
      </w:pPr>
    </w:p>
    <w:p w14:paraId="20CC6FA3">
      <w:pPr>
        <w:sectPr>
          <w:type w:val="continuous"/>
          <w:pgSz w:w="11906" w:h="16838"/>
          <w:pgMar w:top="1701" w:right="1418" w:bottom="1418" w:left="1474" w:header="851" w:footer="992" w:gutter="0"/>
          <w:cols w:space="720" w:num="1"/>
          <w:docGrid w:type="lines" w:linePitch="312" w:charSpace="0"/>
        </w:sectPr>
      </w:pPr>
    </w:p>
    <w:p w14:paraId="38394477">
      <w:pPr>
        <w:pStyle w:val="2"/>
        <w:numPr>
          <w:ilvl w:val="0"/>
          <w:numId w:val="0"/>
        </w:numPr>
        <w:spacing w:before="260" w:after="260"/>
        <w:rPr>
          <w:sz w:val="36"/>
        </w:rPr>
      </w:pPr>
      <w:bookmarkStart w:id="198" w:name="_Toc524597443"/>
      <w:r>
        <w:rPr>
          <w:rFonts w:hint="eastAsia"/>
          <w:sz w:val="36"/>
        </w:rPr>
        <w:t>附件：三明市低碳城市建设重大项目表</w:t>
      </w:r>
      <w:bookmarkEnd w:id="198"/>
    </w:p>
    <w:tbl>
      <w:tblPr>
        <w:tblStyle w:val="28"/>
        <w:tblW w:w="138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2221"/>
        <w:gridCol w:w="4677"/>
        <w:gridCol w:w="1256"/>
        <w:gridCol w:w="1460"/>
        <w:gridCol w:w="1843"/>
        <w:gridCol w:w="1395"/>
      </w:tblGrid>
      <w:tr w14:paraId="4393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trPr>
        <w:tc>
          <w:tcPr>
            <w:tcW w:w="1040" w:type="dxa"/>
            <w:tcBorders>
              <w:top w:val="single" w:color="auto" w:sz="4" w:space="0"/>
              <w:left w:val="single" w:color="auto" w:sz="4" w:space="0"/>
              <w:bottom w:val="single" w:color="auto" w:sz="4" w:space="0"/>
              <w:right w:val="single" w:color="auto" w:sz="4" w:space="0"/>
            </w:tcBorders>
            <w:vAlign w:val="center"/>
          </w:tcPr>
          <w:p w14:paraId="0CAC94A2">
            <w:pPr>
              <w:widowControl/>
              <w:spacing w:line="240" w:lineRule="auto"/>
              <w:jc w:val="center"/>
              <w:rPr>
                <w:b/>
                <w:bCs/>
                <w:kern w:val="0"/>
                <w:sz w:val="24"/>
                <w:szCs w:val="24"/>
              </w:rPr>
            </w:pPr>
            <w:r>
              <w:rPr>
                <w:b/>
                <w:bCs/>
                <w:kern w:val="0"/>
                <w:sz w:val="24"/>
                <w:szCs w:val="24"/>
              </w:rPr>
              <w:t>序号</w:t>
            </w:r>
          </w:p>
        </w:tc>
        <w:tc>
          <w:tcPr>
            <w:tcW w:w="2221" w:type="dxa"/>
            <w:tcBorders>
              <w:top w:val="single" w:color="auto" w:sz="4" w:space="0"/>
              <w:left w:val="nil"/>
              <w:bottom w:val="single" w:color="auto" w:sz="4" w:space="0"/>
              <w:right w:val="single" w:color="auto" w:sz="4" w:space="0"/>
            </w:tcBorders>
            <w:vAlign w:val="center"/>
          </w:tcPr>
          <w:p w14:paraId="54C94333">
            <w:pPr>
              <w:widowControl/>
              <w:spacing w:line="240" w:lineRule="auto"/>
              <w:jc w:val="center"/>
              <w:rPr>
                <w:b/>
                <w:bCs/>
                <w:kern w:val="0"/>
                <w:sz w:val="24"/>
                <w:szCs w:val="24"/>
              </w:rPr>
            </w:pPr>
            <w:r>
              <w:rPr>
                <w:b/>
                <w:bCs/>
                <w:kern w:val="0"/>
                <w:sz w:val="24"/>
                <w:szCs w:val="24"/>
              </w:rPr>
              <w:t>项目名称</w:t>
            </w:r>
          </w:p>
        </w:tc>
        <w:tc>
          <w:tcPr>
            <w:tcW w:w="4677" w:type="dxa"/>
            <w:tcBorders>
              <w:top w:val="single" w:color="auto" w:sz="4" w:space="0"/>
              <w:left w:val="nil"/>
              <w:bottom w:val="single" w:color="auto" w:sz="4" w:space="0"/>
              <w:right w:val="single" w:color="auto" w:sz="4" w:space="0"/>
            </w:tcBorders>
            <w:vAlign w:val="center"/>
          </w:tcPr>
          <w:p w14:paraId="01A2BBAD">
            <w:pPr>
              <w:widowControl/>
              <w:spacing w:line="240" w:lineRule="auto"/>
              <w:jc w:val="center"/>
              <w:rPr>
                <w:b/>
                <w:bCs/>
                <w:kern w:val="0"/>
                <w:sz w:val="24"/>
                <w:szCs w:val="24"/>
              </w:rPr>
            </w:pPr>
            <w:r>
              <w:rPr>
                <w:b/>
                <w:bCs/>
                <w:kern w:val="0"/>
                <w:sz w:val="24"/>
                <w:szCs w:val="24"/>
              </w:rPr>
              <w:t>建设内容及规模</w:t>
            </w:r>
          </w:p>
        </w:tc>
        <w:tc>
          <w:tcPr>
            <w:tcW w:w="1256" w:type="dxa"/>
            <w:tcBorders>
              <w:top w:val="single" w:color="auto" w:sz="4" w:space="0"/>
              <w:left w:val="nil"/>
              <w:bottom w:val="single" w:color="auto" w:sz="4" w:space="0"/>
              <w:right w:val="single" w:color="auto" w:sz="4" w:space="0"/>
            </w:tcBorders>
            <w:vAlign w:val="center"/>
          </w:tcPr>
          <w:p w14:paraId="2E078394">
            <w:pPr>
              <w:widowControl/>
              <w:spacing w:line="240" w:lineRule="auto"/>
              <w:jc w:val="center"/>
              <w:rPr>
                <w:b/>
                <w:bCs/>
                <w:kern w:val="0"/>
                <w:sz w:val="24"/>
                <w:szCs w:val="24"/>
              </w:rPr>
            </w:pPr>
            <w:r>
              <w:rPr>
                <w:b/>
                <w:bCs/>
                <w:kern w:val="0"/>
                <w:sz w:val="24"/>
                <w:szCs w:val="24"/>
              </w:rPr>
              <w:t>建设年限</w:t>
            </w:r>
          </w:p>
        </w:tc>
        <w:tc>
          <w:tcPr>
            <w:tcW w:w="1460" w:type="dxa"/>
            <w:tcBorders>
              <w:top w:val="single" w:color="auto" w:sz="4" w:space="0"/>
              <w:left w:val="nil"/>
              <w:bottom w:val="single" w:color="auto" w:sz="4" w:space="0"/>
              <w:right w:val="single" w:color="auto" w:sz="4" w:space="0"/>
            </w:tcBorders>
            <w:vAlign w:val="center"/>
          </w:tcPr>
          <w:p w14:paraId="5C9630C9">
            <w:pPr>
              <w:widowControl/>
              <w:spacing w:line="240" w:lineRule="auto"/>
              <w:jc w:val="center"/>
              <w:rPr>
                <w:b/>
                <w:bCs/>
                <w:kern w:val="0"/>
                <w:sz w:val="24"/>
                <w:szCs w:val="24"/>
              </w:rPr>
            </w:pPr>
            <w:r>
              <w:rPr>
                <w:b/>
                <w:bCs/>
                <w:kern w:val="0"/>
                <w:sz w:val="24"/>
                <w:szCs w:val="24"/>
              </w:rPr>
              <w:t>总投资</w:t>
            </w:r>
          </w:p>
          <w:p w14:paraId="3B1F5467">
            <w:pPr>
              <w:widowControl/>
              <w:spacing w:line="240" w:lineRule="auto"/>
              <w:jc w:val="center"/>
              <w:rPr>
                <w:b/>
                <w:bCs/>
                <w:kern w:val="0"/>
                <w:sz w:val="24"/>
                <w:szCs w:val="24"/>
              </w:rPr>
            </w:pPr>
            <w:r>
              <w:rPr>
                <w:b/>
                <w:bCs/>
                <w:kern w:val="0"/>
                <w:sz w:val="24"/>
                <w:szCs w:val="24"/>
              </w:rPr>
              <w:t>（万元）</w:t>
            </w:r>
          </w:p>
        </w:tc>
        <w:tc>
          <w:tcPr>
            <w:tcW w:w="1843" w:type="dxa"/>
            <w:tcBorders>
              <w:top w:val="single" w:color="auto" w:sz="4" w:space="0"/>
              <w:left w:val="nil"/>
              <w:bottom w:val="single" w:color="auto" w:sz="4" w:space="0"/>
              <w:right w:val="single" w:color="auto" w:sz="4" w:space="0"/>
            </w:tcBorders>
            <w:vAlign w:val="center"/>
          </w:tcPr>
          <w:p w14:paraId="21EA2478">
            <w:pPr>
              <w:widowControl/>
              <w:spacing w:line="240" w:lineRule="auto"/>
              <w:jc w:val="center"/>
              <w:rPr>
                <w:b/>
                <w:bCs/>
                <w:kern w:val="0"/>
                <w:sz w:val="24"/>
                <w:szCs w:val="24"/>
              </w:rPr>
            </w:pPr>
            <w:r>
              <w:rPr>
                <w:b/>
                <w:bCs/>
                <w:kern w:val="0"/>
                <w:sz w:val="24"/>
                <w:szCs w:val="24"/>
              </w:rPr>
              <w:t>2018-2020年计划投资（万元）</w:t>
            </w:r>
          </w:p>
        </w:tc>
        <w:tc>
          <w:tcPr>
            <w:tcW w:w="1395" w:type="dxa"/>
            <w:tcBorders>
              <w:top w:val="single" w:color="auto" w:sz="4" w:space="0"/>
              <w:left w:val="nil"/>
              <w:bottom w:val="single" w:color="auto" w:sz="4" w:space="0"/>
              <w:right w:val="single" w:color="auto" w:sz="4" w:space="0"/>
            </w:tcBorders>
            <w:vAlign w:val="center"/>
          </w:tcPr>
          <w:p w14:paraId="2875A4FA">
            <w:pPr>
              <w:widowControl/>
              <w:spacing w:line="240" w:lineRule="auto"/>
              <w:jc w:val="center"/>
              <w:rPr>
                <w:b/>
                <w:bCs/>
                <w:kern w:val="0"/>
                <w:sz w:val="24"/>
                <w:szCs w:val="24"/>
              </w:rPr>
            </w:pPr>
            <w:r>
              <w:rPr>
                <w:b/>
                <w:bCs/>
                <w:kern w:val="0"/>
                <w:sz w:val="24"/>
                <w:szCs w:val="24"/>
              </w:rPr>
              <w:t>责任单位</w:t>
            </w:r>
          </w:p>
        </w:tc>
      </w:tr>
      <w:tr w14:paraId="4653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vAlign w:val="center"/>
          </w:tcPr>
          <w:p w14:paraId="20CA829E">
            <w:pPr>
              <w:widowControl/>
              <w:spacing w:line="240" w:lineRule="auto"/>
              <w:jc w:val="left"/>
              <w:rPr>
                <w:b/>
                <w:bCs/>
                <w:color w:val="000000"/>
                <w:kern w:val="0"/>
                <w:sz w:val="24"/>
                <w:szCs w:val="24"/>
              </w:rPr>
            </w:pPr>
            <w:r>
              <w:rPr>
                <w:b/>
                <w:bCs/>
                <w:color w:val="000000"/>
                <w:kern w:val="0"/>
                <w:sz w:val="24"/>
                <w:szCs w:val="24"/>
              </w:rPr>
              <w:t>一</w:t>
            </w:r>
          </w:p>
        </w:tc>
        <w:tc>
          <w:tcPr>
            <w:tcW w:w="6898" w:type="dxa"/>
            <w:gridSpan w:val="2"/>
            <w:tcBorders>
              <w:top w:val="single" w:color="auto" w:sz="4" w:space="0"/>
              <w:left w:val="nil"/>
              <w:bottom w:val="single" w:color="auto" w:sz="4" w:space="0"/>
              <w:right w:val="single" w:color="auto" w:sz="4" w:space="0"/>
            </w:tcBorders>
            <w:vAlign w:val="center"/>
          </w:tcPr>
          <w:p w14:paraId="5FEB92C4">
            <w:pPr>
              <w:widowControl/>
              <w:spacing w:line="240" w:lineRule="auto"/>
              <w:jc w:val="left"/>
              <w:rPr>
                <w:b/>
                <w:bCs/>
                <w:color w:val="000000"/>
                <w:kern w:val="0"/>
                <w:sz w:val="24"/>
                <w:szCs w:val="24"/>
              </w:rPr>
            </w:pPr>
            <w:r>
              <w:rPr>
                <w:b/>
                <w:bCs/>
                <w:color w:val="000000"/>
                <w:kern w:val="0"/>
                <w:sz w:val="24"/>
                <w:szCs w:val="24"/>
              </w:rPr>
              <w:t>大力发展绿色低碳产业</w:t>
            </w:r>
          </w:p>
        </w:tc>
        <w:tc>
          <w:tcPr>
            <w:tcW w:w="1256" w:type="dxa"/>
            <w:tcBorders>
              <w:top w:val="nil"/>
              <w:left w:val="nil"/>
              <w:bottom w:val="single" w:color="auto" w:sz="4" w:space="0"/>
              <w:right w:val="single" w:color="auto" w:sz="4" w:space="0"/>
            </w:tcBorders>
            <w:vAlign w:val="center"/>
          </w:tcPr>
          <w:p w14:paraId="169588C9">
            <w:pPr>
              <w:widowControl/>
              <w:spacing w:line="240" w:lineRule="auto"/>
              <w:jc w:val="left"/>
              <w:rPr>
                <w:color w:val="000000"/>
                <w:kern w:val="0"/>
                <w:sz w:val="24"/>
                <w:szCs w:val="24"/>
              </w:rPr>
            </w:pPr>
            <w:r>
              <w:rPr>
                <w:color w:val="000000"/>
                <w:kern w:val="0"/>
                <w:sz w:val="24"/>
                <w:szCs w:val="24"/>
              </w:rPr>
              <w:t>　</w:t>
            </w:r>
          </w:p>
        </w:tc>
        <w:tc>
          <w:tcPr>
            <w:tcW w:w="1460" w:type="dxa"/>
            <w:tcBorders>
              <w:top w:val="nil"/>
              <w:left w:val="nil"/>
              <w:bottom w:val="single" w:color="auto" w:sz="4" w:space="0"/>
              <w:right w:val="single" w:color="auto" w:sz="4" w:space="0"/>
            </w:tcBorders>
            <w:vAlign w:val="center"/>
          </w:tcPr>
          <w:p w14:paraId="2522F0FC">
            <w:pPr>
              <w:widowControl/>
              <w:spacing w:line="240" w:lineRule="auto"/>
              <w:jc w:val="center"/>
              <w:rPr>
                <w:rFonts w:ascii="宋体" w:hAnsi="宋体" w:eastAsia="宋体" w:cs="宋体"/>
                <w:color w:val="000000"/>
                <w:sz w:val="22"/>
                <w:szCs w:val="22"/>
              </w:rPr>
            </w:pPr>
            <w:r>
              <w:rPr>
                <w:rFonts w:hint="eastAsia"/>
                <w:color w:val="000000"/>
                <w:kern w:val="0"/>
                <w:sz w:val="24"/>
                <w:szCs w:val="24"/>
              </w:rPr>
              <w:t>576300</w:t>
            </w:r>
          </w:p>
        </w:tc>
        <w:tc>
          <w:tcPr>
            <w:tcW w:w="1843" w:type="dxa"/>
            <w:tcBorders>
              <w:top w:val="nil"/>
              <w:left w:val="nil"/>
              <w:bottom w:val="single" w:color="auto" w:sz="4" w:space="0"/>
              <w:right w:val="single" w:color="auto" w:sz="4" w:space="0"/>
            </w:tcBorders>
            <w:vAlign w:val="center"/>
          </w:tcPr>
          <w:p w14:paraId="36B275B9">
            <w:pPr>
              <w:widowControl/>
              <w:spacing w:line="240" w:lineRule="auto"/>
              <w:jc w:val="center"/>
              <w:rPr>
                <w:color w:val="000000"/>
                <w:kern w:val="0"/>
                <w:sz w:val="24"/>
                <w:szCs w:val="24"/>
              </w:rPr>
            </w:pPr>
            <w:r>
              <w:rPr>
                <w:rFonts w:hint="eastAsia"/>
                <w:color w:val="000000"/>
                <w:kern w:val="0"/>
                <w:sz w:val="24"/>
                <w:szCs w:val="24"/>
              </w:rPr>
              <w:t>253600</w:t>
            </w:r>
          </w:p>
        </w:tc>
        <w:tc>
          <w:tcPr>
            <w:tcW w:w="1395" w:type="dxa"/>
            <w:tcBorders>
              <w:top w:val="nil"/>
              <w:left w:val="nil"/>
              <w:bottom w:val="single" w:color="auto" w:sz="4" w:space="0"/>
              <w:right w:val="single" w:color="auto" w:sz="4" w:space="0"/>
            </w:tcBorders>
            <w:vAlign w:val="center"/>
          </w:tcPr>
          <w:p w14:paraId="4DD5B0E3">
            <w:pPr>
              <w:widowControl/>
              <w:spacing w:line="240" w:lineRule="auto"/>
              <w:jc w:val="left"/>
              <w:rPr>
                <w:color w:val="000000"/>
                <w:kern w:val="0"/>
                <w:sz w:val="24"/>
                <w:szCs w:val="24"/>
              </w:rPr>
            </w:pPr>
            <w:r>
              <w:rPr>
                <w:color w:val="000000"/>
                <w:kern w:val="0"/>
                <w:sz w:val="24"/>
                <w:szCs w:val="24"/>
              </w:rPr>
              <w:t>　</w:t>
            </w:r>
          </w:p>
        </w:tc>
      </w:tr>
      <w:tr w14:paraId="5941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040" w:type="dxa"/>
            <w:tcBorders>
              <w:top w:val="nil"/>
              <w:left w:val="single" w:color="auto" w:sz="4" w:space="0"/>
              <w:bottom w:val="single" w:color="auto" w:sz="4" w:space="0"/>
              <w:right w:val="single" w:color="auto" w:sz="4" w:space="0"/>
            </w:tcBorders>
            <w:vAlign w:val="center"/>
          </w:tcPr>
          <w:p w14:paraId="4767DECA">
            <w:pPr>
              <w:widowControl/>
              <w:spacing w:line="240" w:lineRule="auto"/>
              <w:jc w:val="center"/>
              <w:rPr>
                <w:kern w:val="0"/>
                <w:sz w:val="24"/>
                <w:szCs w:val="24"/>
              </w:rPr>
            </w:pPr>
            <w:r>
              <w:rPr>
                <w:kern w:val="0"/>
                <w:sz w:val="24"/>
                <w:szCs w:val="24"/>
              </w:rPr>
              <w:t>1</w:t>
            </w:r>
          </w:p>
        </w:tc>
        <w:tc>
          <w:tcPr>
            <w:tcW w:w="2221" w:type="dxa"/>
            <w:tcBorders>
              <w:top w:val="nil"/>
              <w:left w:val="nil"/>
              <w:bottom w:val="single" w:color="auto" w:sz="4" w:space="0"/>
              <w:right w:val="single" w:color="auto" w:sz="4" w:space="0"/>
            </w:tcBorders>
            <w:vAlign w:val="center"/>
          </w:tcPr>
          <w:p w14:paraId="60FBFCFB">
            <w:pPr>
              <w:widowControl/>
              <w:spacing w:line="240" w:lineRule="auto"/>
              <w:jc w:val="left"/>
              <w:rPr>
                <w:kern w:val="0"/>
                <w:sz w:val="24"/>
                <w:szCs w:val="24"/>
              </w:rPr>
            </w:pPr>
            <w:r>
              <w:rPr>
                <w:kern w:val="0"/>
                <w:sz w:val="24"/>
                <w:szCs w:val="24"/>
              </w:rPr>
              <w:t>大田新中天（三明）生态资源综合利用项目</w:t>
            </w:r>
          </w:p>
        </w:tc>
        <w:tc>
          <w:tcPr>
            <w:tcW w:w="4677" w:type="dxa"/>
            <w:tcBorders>
              <w:top w:val="nil"/>
              <w:left w:val="nil"/>
              <w:bottom w:val="single" w:color="auto" w:sz="4" w:space="0"/>
              <w:right w:val="single" w:color="auto" w:sz="4" w:space="0"/>
            </w:tcBorders>
            <w:vAlign w:val="center"/>
          </w:tcPr>
          <w:p w14:paraId="0EF3DC91">
            <w:pPr>
              <w:widowControl/>
              <w:spacing w:line="240" w:lineRule="auto"/>
              <w:jc w:val="left"/>
              <w:rPr>
                <w:kern w:val="0"/>
                <w:sz w:val="24"/>
                <w:szCs w:val="24"/>
              </w:rPr>
            </w:pPr>
            <w:r>
              <w:rPr>
                <w:kern w:val="0"/>
                <w:sz w:val="24"/>
                <w:szCs w:val="24"/>
              </w:rPr>
              <w:t>建筑面积6000平方米，建设厂房、库房、实验室、生产和研发车间以及综合楼，年综合利用10000吨/年的有机固体废物</w:t>
            </w:r>
          </w:p>
        </w:tc>
        <w:tc>
          <w:tcPr>
            <w:tcW w:w="1256" w:type="dxa"/>
            <w:tcBorders>
              <w:top w:val="nil"/>
              <w:left w:val="nil"/>
              <w:bottom w:val="single" w:color="auto" w:sz="4" w:space="0"/>
              <w:right w:val="single" w:color="auto" w:sz="4" w:space="0"/>
            </w:tcBorders>
            <w:vAlign w:val="center"/>
          </w:tcPr>
          <w:p w14:paraId="5B123372">
            <w:pPr>
              <w:widowControl/>
              <w:spacing w:line="240" w:lineRule="auto"/>
              <w:jc w:val="center"/>
              <w:rPr>
                <w:kern w:val="0"/>
                <w:sz w:val="24"/>
                <w:szCs w:val="24"/>
              </w:rPr>
            </w:pPr>
            <w:r>
              <w:rPr>
                <w:kern w:val="0"/>
                <w:sz w:val="24"/>
                <w:szCs w:val="24"/>
              </w:rPr>
              <w:t>2018-2020</w:t>
            </w:r>
          </w:p>
        </w:tc>
        <w:tc>
          <w:tcPr>
            <w:tcW w:w="1460" w:type="dxa"/>
            <w:tcBorders>
              <w:top w:val="nil"/>
              <w:left w:val="nil"/>
              <w:bottom w:val="single" w:color="auto" w:sz="4" w:space="0"/>
              <w:right w:val="single" w:color="auto" w:sz="4" w:space="0"/>
            </w:tcBorders>
            <w:vAlign w:val="center"/>
          </w:tcPr>
          <w:p w14:paraId="10DF952C">
            <w:pPr>
              <w:widowControl/>
              <w:spacing w:line="240" w:lineRule="auto"/>
              <w:jc w:val="center"/>
              <w:rPr>
                <w:kern w:val="0"/>
                <w:sz w:val="24"/>
                <w:szCs w:val="24"/>
              </w:rPr>
            </w:pPr>
            <w:r>
              <w:rPr>
                <w:kern w:val="0"/>
                <w:sz w:val="24"/>
                <w:szCs w:val="24"/>
              </w:rPr>
              <w:t>10000</w:t>
            </w:r>
          </w:p>
        </w:tc>
        <w:tc>
          <w:tcPr>
            <w:tcW w:w="1843" w:type="dxa"/>
            <w:tcBorders>
              <w:top w:val="nil"/>
              <w:left w:val="nil"/>
              <w:bottom w:val="single" w:color="auto" w:sz="4" w:space="0"/>
              <w:right w:val="single" w:color="auto" w:sz="4" w:space="0"/>
            </w:tcBorders>
            <w:vAlign w:val="center"/>
          </w:tcPr>
          <w:p w14:paraId="561DEBA8">
            <w:pPr>
              <w:widowControl/>
              <w:spacing w:line="240" w:lineRule="auto"/>
              <w:jc w:val="center"/>
              <w:rPr>
                <w:kern w:val="0"/>
                <w:sz w:val="24"/>
                <w:szCs w:val="24"/>
              </w:rPr>
            </w:pPr>
            <w:r>
              <w:rPr>
                <w:kern w:val="0"/>
                <w:sz w:val="24"/>
                <w:szCs w:val="24"/>
              </w:rPr>
              <w:t>10000</w:t>
            </w:r>
          </w:p>
        </w:tc>
        <w:tc>
          <w:tcPr>
            <w:tcW w:w="1395" w:type="dxa"/>
            <w:tcBorders>
              <w:top w:val="nil"/>
              <w:left w:val="nil"/>
              <w:bottom w:val="single" w:color="auto" w:sz="4" w:space="0"/>
              <w:right w:val="single" w:color="auto" w:sz="4" w:space="0"/>
            </w:tcBorders>
            <w:vAlign w:val="center"/>
          </w:tcPr>
          <w:p w14:paraId="55B8A667">
            <w:pPr>
              <w:widowControl/>
              <w:spacing w:line="240" w:lineRule="auto"/>
              <w:jc w:val="left"/>
              <w:rPr>
                <w:kern w:val="0"/>
                <w:sz w:val="24"/>
                <w:szCs w:val="24"/>
              </w:rPr>
            </w:pPr>
            <w:r>
              <w:rPr>
                <w:kern w:val="0"/>
                <w:sz w:val="24"/>
                <w:szCs w:val="24"/>
              </w:rPr>
              <w:t>大田县人民政府</w:t>
            </w:r>
          </w:p>
        </w:tc>
      </w:tr>
      <w:tr w14:paraId="4E89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040" w:type="dxa"/>
            <w:tcBorders>
              <w:top w:val="nil"/>
              <w:left w:val="single" w:color="auto" w:sz="4" w:space="0"/>
              <w:bottom w:val="single" w:color="auto" w:sz="4" w:space="0"/>
              <w:right w:val="single" w:color="auto" w:sz="4" w:space="0"/>
            </w:tcBorders>
            <w:vAlign w:val="center"/>
          </w:tcPr>
          <w:p w14:paraId="71D4A50B">
            <w:pPr>
              <w:widowControl/>
              <w:spacing w:line="240" w:lineRule="auto"/>
              <w:jc w:val="center"/>
              <w:rPr>
                <w:kern w:val="0"/>
                <w:sz w:val="24"/>
                <w:szCs w:val="24"/>
              </w:rPr>
            </w:pPr>
            <w:r>
              <w:rPr>
                <w:kern w:val="0"/>
                <w:sz w:val="24"/>
                <w:szCs w:val="24"/>
              </w:rPr>
              <w:t>2</w:t>
            </w:r>
          </w:p>
        </w:tc>
        <w:tc>
          <w:tcPr>
            <w:tcW w:w="2221" w:type="dxa"/>
            <w:tcBorders>
              <w:top w:val="nil"/>
              <w:left w:val="nil"/>
              <w:bottom w:val="single" w:color="auto" w:sz="4" w:space="0"/>
              <w:right w:val="single" w:color="auto" w:sz="4" w:space="0"/>
            </w:tcBorders>
            <w:vAlign w:val="center"/>
          </w:tcPr>
          <w:p w14:paraId="37BA27D8">
            <w:pPr>
              <w:widowControl/>
              <w:spacing w:line="240" w:lineRule="auto"/>
              <w:jc w:val="left"/>
              <w:rPr>
                <w:kern w:val="0"/>
                <w:sz w:val="24"/>
                <w:szCs w:val="24"/>
              </w:rPr>
            </w:pPr>
            <w:r>
              <w:rPr>
                <w:kern w:val="0"/>
                <w:sz w:val="24"/>
                <w:szCs w:val="24"/>
              </w:rPr>
              <w:t>梅列区城市资源循环利用中心项目</w:t>
            </w:r>
          </w:p>
        </w:tc>
        <w:tc>
          <w:tcPr>
            <w:tcW w:w="4677" w:type="dxa"/>
            <w:tcBorders>
              <w:top w:val="nil"/>
              <w:left w:val="nil"/>
              <w:bottom w:val="single" w:color="auto" w:sz="4" w:space="0"/>
              <w:right w:val="single" w:color="auto" w:sz="4" w:space="0"/>
            </w:tcBorders>
            <w:vAlign w:val="center"/>
          </w:tcPr>
          <w:p w14:paraId="38C6CB37">
            <w:pPr>
              <w:widowControl/>
              <w:spacing w:line="240" w:lineRule="auto"/>
              <w:jc w:val="left"/>
              <w:rPr>
                <w:kern w:val="0"/>
                <w:sz w:val="24"/>
                <w:szCs w:val="24"/>
              </w:rPr>
            </w:pPr>
            <w:r>
              <w:rPr>
                <w:kern w:val="0"/>
                <w:sz w:val="24"/>
                <w:szCs w:val="24"/>
              </w:rPr>
              <w:t>总占地面积240亩，分二期建设，一期占地200亩，投资2亿元，建设废钢循环利用中心。二期占地4亩，投资1.8亿元，建设橡胶回收利用基地</w:t>
            </w:r>
          </w:p>
        </w:tc>
        <w:tc>
          <w:tcPr>
            <w:tcW w:w="1256" w:type="dxa"/>
            <w:tcBorders>
              <w:top w:val="nil"/>
              <w:left w:val="nil"/>
              <w:bottom w:val="single" w:color="auto" w:sz="4" w:space="0"/>
              <w:right w:val="single" w:color="auto" w:sz="4" w:space="0"/>
            </w:tcBorders>
            <w:vAlign w:val="center"/>
          </w:tcPr>
          <w:p w14:paraId="36DD03B0">
            <w:pPr>
              <w:widowControl/>
              <w:spacing w:line="240" w:lineRule="auto"/>
              <w:jc w:val="center"/>
              <w:rPr>
                <w:kern w:val="0"/>
                <w:sz w:val="24"/>
                <w:szCs w:val="24"/>
              </w:rPr>
            </w:pPr>
            <w:r>
              <w:rPr>
                <w:kern w:val="0"/>
                <w:sz w:val="24"/>
                <w:szCs w:val="24"/>
              </w:rPr>
              <w:t>2018-2021</w:t>
            </w:r>
          </w:p>
        </w:tc>
        <w:tc>
          <w:tcPr>
            <w:tcW w:w="1460" w:type="dxa"/>
            <w:tcBorders>
              <w:top w:val="nil"/>
              <w:left w:val="nil"/>
              <w:bottom w:val="single" w:color="auto" w:sz="4" w:space="0"/>
              <w:right w:val="single" w:color="auto" w:sz="4" w:space="0"/>
            </w:tcBorders>
            <w:vAlign w:val="center"/>
          </w:tcPr>
          <w:p w14:paraId="30376322">
            <w:pPr>
              <w:widowControl/>
              <w:spacing w:line="240" w:lineRule="auto"/>
              <w:jc w:val="center"/>
              <w:rPr>
                <w:kern w:val="0"/>
                <w:sz w:val="24"/>
                <w:szCs w:val="24"/>
              </w:rPr>
            </w:pPr>
            <w:r>
              <w:rPr>
                <w:kern w:val="0"/>
                <w:sz w:val="24"/>
                <w:szCs w:val="24"/>
              </w:rPr>
              <w:t>40000</w:t>
            </w:r>
          </w:p>
        </w:tc>
        <w:tc>
          <w:tcPr>
            <w:tcW w:w="1843" w:type="dxa"/>
            <w:tcBorders>
              <w:top w:val="nil"/>
              <w:left w:val="nil"/>
              <w:bottom w:val="single" w:color="auto" w:sz="4" w:space="0"/>
              <w:right w:val="single" w:color="auto" w:sz="4" w:space="0"/>
            </w:tcBorders>
            <w:vAlign w:val="center"/>
          </w:tcPr>
          <w:p w14:paraId="558AE339">
            <w:pPr>
              <w:widowControl/>
              <w:spacing w:line="240" w:lineRule="auto"/>
              <w:jc w:val="center"/>
              <w:rPr>
                <w:kern w:val="0"/>
                <w:sz w:val="24"/>
                <w:szCs w:val="24"/>
              </w:rPr>
            </w:pPr>
            <w:r>
              <w:rPr>
                <w:kern w:val="0"/>
                <w:sz w:val="24"/>
                <w:szCs w:val="24"/>
              </w:rPr>
              <w:t>20000</w:t>
            </w:r>
          </w:p>
        </w:tc>
        <w:tc>
          <w:tcPr>
            <w:tcW w:w="1395" w:type="dxa"/>
            <w:tcBorders>
              <w:top w:val="nil"/>
              <w:left w:val="nil"/>
              <w:bottom w:val="single" w:color="auto" w:sz="4" w:space="0"/>
              <w:right w:val="single" w:color="auto" w:sz="4" w:space="0"/>
            </w:tcBorders>
            <w:vAlign w:val="center"/>
          </w:tcPr>
          <w:p w14:paraId="6E509D5E">
            <w:pPr>
              <w:widowControl/>
              <w:spacing w:line="240" w:lineRule="auto"/>
              <w:jc w:val="left"/>
              <w:rPr>
                <w:kern w:val="0"/>
                <w:sz w:val="24"/>
                <w:szCs w:val="24"/>
              </w:rPr>
            </w:pPr>
            <w:r>
              <w:rPr>
                <w:kern w:val="0"/>
                <w:sz w:val="24"/>
                <w:szCs w:val="24"/>
              </w:rPr>
              <w:t>梅列区人民政府</w:t>
            </w:r>
          </w:p>
        </w:tc>
      </w:tr>
      <w:tr w14:paraId="2BF0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40" w:type="dxa"/>
            <w:tcBorders>
              <w:top w:val="nil"/>
              <w:left w:val="single" w:color="auto" w:sz="4" w:space="0"/>
              <w:bottom w:val="single" w:color="auto" w:sz="4" w:space="0"/>
              <w:right w:val="single" w:color="auto" w:sz="4" w:space="0"/>
            </w:tcBorders>
            <w:vAlign w:val="center"/>
          </w:tcPr>
          <w:p w14:paraId="0E2E21CF">
            <w:pPr>
              <w:widowControl/>
              <w:spacing w:line="240" w:lineRule="auto"/>
              <w:jc w:val="center"/>
              <w:rPr>
                <w:kern w:val="0"/>
                <w:sz w:val="24"/>
                <w:szCs w:val="24"/>
              </w:rPr>
            </w:pPr>
            <w:r>
              <w:rPr>
                <w:kern w:val="0"/>
                <w:sz w:val="24"/>
                <w:szCs w:val="24"/>
              </w:rPr>
              <w:t>3</w:t>
            </w:r>
          </w:p>
        </w:tc>
        <w:tc>
          <w:tcPr>
            <w:tcW w:w="2221" w:type="dxa"/>
            <w:tcBorders>
              <w:top w:val="nil"/>
              <w:left w:val="nil"/>
              <w:bottom w:val="single" w:color="auto" w:sz="4" w:space="0"/>
              <w:right w:val="single" w:color="auto" w:sz="4" w:space="0"/>
            </w:tcBorders>
            <w:vAlign w:val="center"/>
          </w:tcPr>
          <w:p w14:paraId="3CC1CC52">
            <w:pPr>
              <w:widowControl/>
              <w:spacing w:line="240" w:lineRule="auto"/>
              <w:jc w:val="left"/>
              <w:rPr>
                <w:kern w:val="0"/>
                <w:sz w:val="24"/>
                <w:szCs w:val="24"/>
              </w:rPr>
            </w:pPr>
            <w:r>
              <w:rPr>
                <w:kern w:val="0"/>
                <w:sz w:val="24"/>
                <w:szCs w:val="24"/>
              </w:rPr>
              <w:t>永安金牛水泥生产线及余热发电技改项目</w:t>
            </w:r>
          </w:p>
        </w:tc>
        <w:tc>
          <w:tcPr>
            <w:tcW w:w="4677" w:type="dxa"/>
            <w:tcBorders>
              <w:top w:val="nil"/>
              <w:left w:val="nil"/>
              <w:bottom w:val="single" w:color="auto" w:sz="4" w:space="0"/>
              <w:right w:val="single" w:color="auto" w:sz="4" w:space="0"/>
            </w:tcBorders>
            <w:vAlign w:val="center"/>
          </w:tcPr>
          <w:p w14:paraId="70FC5CC2">
            <w:pPr>
              <w:widowControl/>
              <w:spacing w:line="240" w:lineRule="auto"/>
              <w:jc w:val="left"/>
              <w:rPr>
                <w:kern w:val="0"/>
                <w:sz w:val="24"/>
                <w:szCs w:val="24"/>
              </w:rPr>
            </w:pPr>
            <w:r>
              <w:rPr>
                <w:kern w:val="0"/>
                <w:sz w:val="24"/>
                <w:szCs w:val="24"/>
              </w:rPr>
              <w:t>总建筑面积13.1万平方米，建设2条带1万千瓦纯低温余热发电的4500吨/日熟料水泥生产线。年产熟料297万吨、水泥400万吨</w:t>
            </w:r>
          </w:p>
        </w:tc>
        <w:tc>
          <w:tcPr>
            <w:tcW w:w="1256" w:type="dxa"/>
            <w:tcBorders>
              <w:top w:val="nil"/>
              <w:left w:val="nil"/>
              <w:bottom w:val="single" w:color="auto" w:sz="4" w:space="0"/>
              <w:right w:val="single" w:color="auto" w:sz="4" w:space="0"/>
            </w:tcBorders>
            <w:vAlign w:val="center"/>
          </w:tcPr>
          <w:p w14:paraId="75E15A76">
            <w:pPr>
              <w:widowControl/>
              <w:spacing w:line="240" w:lineRule="auto"/>
              <w:jc w:val="center"/>
              <w:rPr>
                <w:kern w:val="0"/>
                <w:sz w:val="24"/>
                <w:szCs w:val="24"/>
              </w:rPr>
            </w:pPr>
            <w:r>
              <w:rPr>
                <w:kern w:val="0"/>
                <w:sz w:val="24"/>
                <w:szCs w:val="24"/>
              </w:rPr>
              <w:t>2016-2021</w:t>
            </w:r>
          </w:p>
        </w:tc>
        <w:tc>
          <w:tcPr>
            <w:tcW w:w="1460" w:type="dxa"/>
            <w:tcBorders>
              <w:top w:val="nil"/>
              <w:left w:val="nil"/>
              <w:bottom w:val="single" w:color="auto" w:sz="4" w:space="0"/>
              <w:right w:val="single" w:color="auto" w:sz="4" w:space="0"/>
            </w:tcBorders>
            <w:vAlign w:val="center"/>
          </w:tcPr>
          <w:p w14:paraId="6772D0D3">
            <w:pPr>
              <w:widowControl/>
              <w:spacing w:line="240" w:lineRule="auto"/>
              <w:jc w:val="center"/>
              <w:rPr>
                <w:kern w:val="0"/>
                <w:sz w:val="24"/>
                <w:szCs w:val="24"/>
              </w:rPr>
            </w:pPr>
            <w:r>
              <w:rPr>
                <w:kern w:val="0"/>
                <w:sz w:val="24"/>
                <w:szCs w:val="24"/>
              </w:rPr>
              <w:t>113600</w:t>
            </w:r>
          </w:p>
        </w:tc>
        <w:tc>
          <w:tcPr>
            <w:tcW w:w="1843" w:type="dxa"/>
            <w:tcBorders>
              <w:top w:val="nil"/>
              <w:left w:val="nil"/>
              <w:bottom w:val="single" w:color="auto" w:sz="4" w:space="0"/>
              <w:right w:val="single" w:color="auto" w:sz="4" w:space="0"/>
            </w:tcBorders>
            <w:vAlign w:val="center"/>
          </w:tcPr>
          <w:p w14:paraId="7706D32D">
            <w:pPr>
              <w:widowControl/>
              <w:spacing w:line="240" w:lineRule="auto"/>
              <w:jc w:val="center"/>
              <w:rPr>
                <w:kern w:val="0"/>
                <w:sz w:val="24"/>
                <w:szCs w:val="24"/>
              </w:rPr>
            </w:pPr>
            <w:r>
              <w:rPr>
                <w:kern w:val="0"/>
                <w:sz w:val="24"/>
                <w:szCs w:val="24"/>
              </w:rPr>
              <w:t>50000</w:t>
            </w:r>
          </w:p>
        </w:tc>
        <w:tc>
          <w:tcPr>
            <w:tcW w:w="1395" w:type="dxa"/>
            <w:tcBorders>
              <w:top w:val="nil"/>
              <w:left w:val="nil"/>
              <w:bottom w:val="single" w:color="auto" w:sz="4" w:space="0"/>
              <w:right w:val="single" w:color="auto" w:sz="4" w:space="0"/>
            </w:tcBorders>
            <w:vAlign w:val="center"/>
          </w:tcPr>
          <w:p w14:paraId="6584D185">
            <w:pPr>
              <w:widowControl/>
              <w:spacing w:line="240" w:lineRule="auto"/>
              <w:jc w:val="left"/>
              <w:rPr>
                <w:kern w:val="0"/>
                <w:sz w:val="24"/>
                <w:szCs w:val="24"/>
              </w:rPr>
            </w:pPr>
            <w:r>
              <w:rPr>
                <w:kern w:val="0"/>
                <w:sz w:val="24"/>
                <w:szCs w:val="24"/>
              </w:rPr>
              <w:t>永安市人民政府</w:t>
            </w:r>
          </w:p>
        </w:tc>
      </w:tr>
      <w:tr w14:paraId="165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40" w:type="dxa"/>
            <w:tcBorders>
              <w:top w:val="nil"/>
              <w:left w:val="single" w:color="auto" w:sz="4" w:space="0"/>
              <w:bottom w:val="single" w:color="auto" w:sz="4" w:space="0"/>
              <w:right w:val="single" w:color="auto" w:sz="4" w:space="0"/>
            </w:tcBorders>
            <w:vAlign w:val="center"/>
          </w:tcPr>
          <w:p w14:paraId="53607198">
            <w:pPr>
              <w:widowControl/>
              <w:spacing w:line="240" w:lineRule="auto"/>
              <w:jc w:val="center"/>
              <w:rPr>
                <w:kern w:val="0"/>
                <w:sz w:val="24"/>
                <w:szCs w:val="24"/>
              </w:rPr>
            </w:pPr>
            <w:r>
              <w:rPr>
                <w:kern w:val="0"/>
                <w:sz w:val="24"/>
                <w:szCs w:val="24"/>
              </w:rPr>
              <w:t>4</w:t>
            </w:r>
          </w:p>
        </w:tc>
        <w:tc>
          <w:tcPr>
            <w:tcW w:w="2221" w:type="dxa"/>
            <w:tcBorders>
              <w:top w:val="nil"/>
              <w:left w:val="nil"/>
              <w:bottom w:val="single" w:color="auto" w:sz="4" w:space="0"/>
              <w:right w:val="single" w:color="auto" w:sz="4" w:space="0"/>
            </w:tcBorders>
            <w:vAlign w:val="center"/>
          </w:tcPr>
          <w:p w14:paraId="20A811D1">
            <w:pPr>
              <w:widowControl/>
              <w:spacing w:line="240" w:lineRule="auto"/>
              <w:jc w:val="left"/>
              <w:rPr>
                <w:kern w:val="0"/>
                <w:sz w:val="24"/>
                <w:szCs w:val="24"/>
              </w:rPr>
            </w:pPr>
            <w:r>
              <w:rPr>
                <w:kern w:val="0"/>
                <w:sz w:val="24"/>
                <w:szCs w:val="24"/>
              </w:rPr>
              <w:t>永安市智胜化工股份有限公司合成氨系统节能环保技改项目</w:t>
            </w:r>
          </w:p>
        </w:tc>
        <w:tc>
          <w:tcPr>
            <w:tcW w:w="4677" w:type="dxa"/>
            <w:tcBorders>
              <w:top w:val="nil"/>
              <w:left w:val="nil"/>
              <w:bottom w:val="single" w:color="auto" w:sz="4" w:space="0"/>
              <w:right w:val="single" w:color="auto" w:sz="4" w:space="0"/>
            </w:tcBorders>
            <w:vAlign w:val="center"/>
          </w:tcPr>
          <w:p w14:paraId="234A1147">
            <w:pPr>
              <w:widowControl/>
              <w:spacing w:line="240" w:lineRule="auto"/>
              <w:jc w:val="left"/>
              <w:rPr>
                <w:kern w:val="0"/>
                <w:sz w:val="24"/>
                <w:szCs w:val="24"/>
              </w:rPr>
            </w:pPr>
            <w:r>
              <w:rPr>
                <w:kern w:val="0"/>
                <w:sz w:val="24"/>
                <w:szCs w:val="24"/>
              </w:rPr>
              <w:t>一期新建22万吨总氨/年等温变换装置、6万吨/年低压联醇装置各1套；二期新建16万吨/年氨合成装置、利旧I合成系统改建为处理能力16万吨氨/年烃（烷）化气体精制装置各1套</w:t>
            </w:r>
          </w:p>
        </w:tc>
        <w:tc>
          <w:tcPr>
            <w:tcW w:w="1256" w:type="dxa"/>
            <w:tcBorders>
              <w:top w:val="nil"/>
              <w:left w:val="nil"/>
              <w:bottom w:val="single" w:color="auto" w:sz="4" w:space="0"/>
              <w:right w:val="single" w:color="auto" w:sz="4" w:space="0"/>
            </w:tcBorders>
            <w:vAlign w:val="center"/>
          </w:tcPr>
          <w:p w14:paraId="6D229F96">
            <w:pPr>
              <w:widowControl/>
              <w:spacing w:line="240" w:lineRule="auto"/>
              <w:jc w:val="center"/>
              <w:rPr>
                <w:kern w:val="0"/>
                <w:sz w:val="24"/>
                <w:szCs w:val="24"/>
              </w:rPr>
            </w:pPr>
            <w:r>
              <w:rPr>
                <w:kern w:val="0"/>
                <w:sz w:val="24"/>
                <w:szCs w:val="24"/>
              </w:rPr>
              <w:t>2015-2018</w:t>
            </w:r>
          </w:p>
        </w:tc>
        <w:tc>
          <w:tcPr>
            <w:tcW w:w="1460" w:type="dxa"/>
            <w:tcBorders>
              <w:top w:val="nil"/>
              <w:left w:val="nil"/>
              <w:bottom w:val="single" w:color="auto" w:sz="4" w:space="0"/>
              <w:right w:val="single" w:color="auto" w:sz="4" w:space="0"/>
            </w:tcBorders>
            <w:vAlign w:val="center"/>
          </w:tcPr>
          <w:p w14:paraId="1F214761">
            <w:pPr>
              <w:widowControl/>
              <w:spacing w:line="240" w:lineRule="auto"/>
              <w:jc w:val="center"/>
              <w:rPr>
                <w:kern w:val="0"/>
                <w:sz w:val="24"/>
                <w:szCs w:val="24"/>
              </w:rPr>
            </w:pPr>
            <w:r>
              <w:rPr>
                <w:kern w:val="0"/>
                <w:sz w:val="24"/>
                <w:szCs w:val="24"/>
              </w:rPr>
              <w:t>15000</w:t>
            </w:r>
          </w:p>
        </w:tc>
        <w:tc>
          <w:tcPr>
            <w:tcW w:w="1843" w:type="dxa"/>
            <w:tcBorders>
              <w:top w:val="nil"/>
              <w:left w:val="nil"/>
              <w:bottom w:val="single" w:color="auto" w:sz="4" w:space="0"/>
              <w:right w:val="single" w:color="auto" w:sz="4" w:space="0"/>
            </w:tcBorders>
            <w:vAlign w:val="center"/>
          </w:tcPr>
          <w:p w14:paraId="311E730F">
            <w:pPr>
              <w:widowControl/>
              <w:spacing w:line="240" w:lineRule="auto"/>
              <w:jc w:val="center"/>
              <w:rPr>
                <w:kern w:val="0"/>
                <w:sz w:val="24"/>
                <w:szCs w:val="24"/>
              </w:rPr>
            </w:pPr>
            <w:r>
              <w:rPr>
                <w:kern w:val="0"/>
                <w:sz w:val="24"/>
                <w:szCs w:val="24"/>
              </w:rPr>
              <w:t>3000</w:t>
            </w:r>
          </w:p>
        </w:tc>
        <w:tc>
          <w:tcPr>
            <w:tcW w:w="1395" w:type="dxa"/>
            <w:tcBorders>
              <w:top w:val="nil"/>
              <w:left w:val="nil"/>
              <w:bottom w:val="single" w:color="auto" w:sz="4" w:space="0"/>
              <w:right w:val="single" w:color="auto" w:sz="4" w:space="0"/>
            </w:tcBorders>
            <w:vAlign w:val="center"/>
          </w:tcPr>
          <w:p w14:paraId="069EF47A">
            <w:pPr>
              <w:widowControl/>
              <w:spacing w:line="240" w:lineRule="auto"/>
              <w:jc w:val="left"/>
              <w:rPr>
                <w:kern w:val="0"/>
                <w:sz w:val="24"/>
                <w:szCs w:val="24"/>
              </w:rPr>
            </w:pPr>
            <w:r>
              <w:rPr>
                <w:kern w:val="0"/>
                <w:sz w:val="24"/>
                <w:szCs w:val="24"/>
              </w:rPr>
              <w:t>永安市人民政府</w:t>
            </w:r>
          </w:p>
        </w:tc>
      </w:tr>
      <w:tr w14:paraId="18CE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40" w:type="dxa"/>
            <w:tcBorders>
              <w:top w:val="nil"/>
              <w:left w:val="single" w:color="auto" w:sz="4" w:space="0"/>
              <w:bottom w:val="single" w:color="auto" w:sz="4" w:space="0"/>
              <w:right w:val="single" w:color="auto" w:sz="4" w:space="0"/>
            </w:tcBorders>
            <w:vAlign w:val="center"/>
          </w:tcPr>
          <w:p w14:paraId="19CA1DB3">
            <w:pPr>
              <w:widowControl/>
              <w:spacing w:line="240" w:lineRule="auto"/>
              <w:jc w:val="center"/>
              <w:rPr>
                <w:kern w:val="0"/>
                <w:sz w:val="24"/>
                <w:szCs w:val="24"/>
              </w:rPr>
            </w:pPr>
            <w:r>
              <w:rPr>
                <w:rFonts w:hint="eastAsia"/>
                <w:kern w:val="0"/>
                <w:sz w:val="24"/>
                <w:szCs w:val="24"/>
              </w:rPr>
              <w:t>5</w:t>
            </w:r>
          </w:p>
        </w:tc>
        <w:tc>
          <w:tcPr>
            <w:tcW w:w="2221" w:type="dxa"/>
            <w:tcBorders>
              <w:top w:val="nil"/>
              <w:left w:val="nil"/>
              <w:bottom w:val="single" w:color="auto" w:sz="4" w:space="0"/>
              <w:right w:val="single" w:color="auto" w:sz="4" w:space="0"/>
            </w:tcBorders>
            <w:vAlign w:val="center"/>
          </w:tcPr>
          <w:p w14:paraId="3F20EBCE">
            <w:pPr>
              <w:widowControl/>
              <w:spacing w:line="240" w:lineRule="auto"/>
              <w:jc w:val="left"/>
              <w:rPr>
                <w:kern w:val="0"/>
                <w:sz w:val="24"/>
                <w:szCs w:val="24"/>
              </w:rPr>
            </w:pPr>
            <w:r>
              <w:rPr>
                <w:kern w:val="0"/>
                <w:sz w:val="24"/>
                <w:szCs w:val="24"/>
              </w:rPr>
              <w:t>宁化月兔高效节能空调生产项目</w:t>
            </w:r>
          </w:p>
        </w:tc>
        <w:tc>
          <w:tcPr>
            <w:tcW w:w="4677" w:type="dxa"/>
            <w:tcBorders>
              <w:top w:val="nil"/>
              <w:left w:val="nil"/>
              <w:bottom w:val="single" w:color="auto" w:sz="4" w:space="0"/>
              <w:right w:val="single" w:color="auto" w:sz="4" w:space="0"/>
            </w:tcBorders>
            <w:vAlign w:val="center"/>
          </w:tcPr>
          <w:p w14:paraId="61914941">
            <w:pPr>
              <w:widowControl/>
              <w:spacing w:line="240" w:lineRule="auto"/>
              <w:jc w:val="left"/>
              <w:rPr>
                <w:kern w:val="0"/>
                <w:sz w:val="24"/>
                <w:szCs w:val="24"/>
              </w:rPr>
            </w:pPr>
            <w:r>
              <w:rPr>
                <w:kern w:val="0"/>
                <w:sz w:val="24"/>
                <w:szCs w:val="24"/>
              </w:rPr>
              <w:t>总建筑面积31万平方米，建设年产高效节能空调整机300万台及相关产品生产线</w:t>
            </w:r>
          </w:p>
        </w:tc>
        <w:tc>
          <w:tcPr>
            <w:tcW w:w="1256" w:type="dxa"/>
            <w:tcBorders>
              <w:top w:val="nil"/>
              <w:left w:val="nil"/>
              <w:bottom w:val="single" w:color="auto" w:sz="4" w:space="0"/>
              <w:right w:val="single" w:color="auto" w:sz="4" w:space="0"/>
            </w:tcBorders>
            <w:vAlign w:val="center"/>
          </w:tcPr>
          <w:p w14:paraId="7F79E0D9">
            <w:pPr>
              <w:widowControl/>
              <w:spacing w:line="240" w:lineRule="auto"/>
              <w:jc w:val="center"/>
              <w:rPr>
                <w:kern w:val="0"/>
                <w:sz w:val="24"/>
                <w:szCs w:val="24"/>
              </w:rPr>
            </w:pPr>
            <w:r>
              <w:rPr>
                <w:kern w:val="0"/>
                <w:sz w:val="24"/>
                <w:szCs w:val="24"/>
              </w:rPr>
              <w:t>2014-2018</w:t>
            </w:r>
          </w:p>
        </w:tc>
        <w:tc>
          <w:tcPr>
            <w:tcW w:w="1460" w:type="dxa"/>
            <w:tcBorders>
              <w:top w:val="nil"/>
              <w:left w:val="nil"/>
              <w:bottom w:val="single" w:color="auto" w:sz="4" w:space="0"/>
              <w:right w:val="single" w:color="auto" w:sz="4" w:space="0"/>
            </w:tcBorders>
            <w:vAlign w:val="center"/>
          </w:tcPr>
          <w:p w14:paraId="524C2E7A">
            <w:pPr>
              <w:widowControl/>
              <w:spacing w:line="240" w:lineRule="auto"/>
              <w:jc w:val="center"/>
              <w:rPr>
                <w:kern w:val="0"/>
                <w:sz w:val="24"/>
                <w:szCs w:val="24"/>
              </w:rPr>
            </w:pPr>
            <w:r>
              <w:rPr>
                <w:kern w:val="0"/>
                <w:sz w:val="24"/>
                <w:szCs w:val="24"/>
              </w:rPr>
              <w:t>170000</w:t>
            </w:r>
          </w:p>
        </w:tc>
        <w:tc>
          <w:tcPr>
            <w:tcW w:w="1843" w:type="dxa"/>
            <w:tcBorders>
              <w:top w:val="nil"/>
              <w:left w:val="nil"/>
              <w:bottom w:val="single" w:color="auto" w:sz="4" w:space="0"/>
              <w:right w:val="single" w:color="auto" w:sz="4" w:space="0"/>
            </w:tcBorders>
            <w:vAlign w:val="center"/>
          </w:tcPr>
          <w:p w14:paraId="62CF961C">
            <w:pPr>
              <w:widowControl/>
              <w:spacing w:line="240" w:lineRule="auto"/>
              <w:jc w:val="center"/>
              <w:rPr>
                <w:kern w:val="0"/>
                <w:sz w:val="24"/>
                <w:szCs w:val="24"/>
              </w:rPr>
            </w:pPr>
            <w:r>
              <w:rPr>
                <w:kern w:val="0"/>
                <w:sz w:val="24"/>
                <w:szCs w:val="24"/>
              </w:rPr>
              <w:t>1500</w:t>
            </w:r>
          </w:p>
        </w:tc>
        <w:tc>
          <w:tcPr>
            <w:tcW w:w="1395" w:type="dxa"/>
            <w:tcBorders>
              <w:top w:val="nil"/>
              <w:left w:val="nil"/>
              <w:bottom w:val="single" w:color="auto" w:sz="4" w:space="0"/>
              <w:right w:val="single" w:color="auto" w:sz="4" w:space="0"/>
            </w:tcBorders>
            <w:vAlign w:val="center"/>
          </w:tcPr>
          <w:p w14:paraId="4F17A7F1">
            <w:pPr>
              <w:widowControl/>
              <w:spacing w:line="240" w:lineRule="auto"/>
              <w:jc w:val="left"/>
              <w:rPr>
                <w:kern w:val="0"/>
                <w:sz w:val="24"/>
                <w:szCs w:val="24"/>
              </w:rPr>
            </w:pPr>
            <w:r>
              <w:rPr>
                <w:kern w:val="0"/>
                <w:sz w:val="24"/>
                <w:szCs w:val="24"/>
              </w:rPr>
              <w:t>宁化县人民政府</w:t>
            </w:r>
          </w:p>
        </w:tc>
      </w:tr>
      <w:tr w14:paraId="215F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40" w:type="dxa"/>
            <w:tcBorders>
              <w:top w:val="nil"/>
              <w:left w:val="single" w:color="auto" w:sz="4" w:space="0"/>
              <w:bottom w:val="single" w:color="auto" w:sz="4" w:space="0"/>
              <w:right w:val="single" w:color="auto" w:sz="4" w:space="0"/>
            </w:tcBorders>
            <w:vAlign w:val="center"/>
          </w:tcPr>
          <w:p w14:paraId="39E496F6">
            <w:pPr>
              <w:widowControl/>
              <w:spacing w:line="240" w:lineRule="auto"/>
              <w:jc w:val="center"/>
              <w:rPr>
                <w:kern w:val="0"/>
                <w:sz w:val="24"/>
                <w:szCs w:val="24"/>
              </w:rPr>
            </w:pPr>
            <w:r>
              <w:rPr>
                <w:rFonts w:hint="eastAsia"/>
                <w:kern w:val="0"/>
                <w:sz w:val="24"/>
                <w:szCs w:val="24"/>
              </w:rPr>
              <w:t>6</w:t>
            </w:r>
          </w:p>
        </w:tc>
        <w:tc>
          <w:tcPr>
            <w:tcW w:w="2221" w:type="dxa"/>
            <w:tcBorders>
              <w:top w:val="nil"/>
              <w:left w:val="nil"/>
              <w:bottom w:val="single" w:color="auto" w:sz="4" w:space="0"/>
              <w:right w:val="single" w:color="auto" w:sz="4" w:space="0"/>
            </w:tcBorders>
            <w:vAlign w:val="center"/>
          </w:tcPr>
          <w:p w14:paraId="60FDA8F3">
            <w:pPr>
              <w:widowControl/>
              <w:spacing w:line="240" w:lineRule="auto"/>
              <w:jc w:val="left"/>
              <w:rPr>
                <w:kern w:val="0"/>
                <w:sz w:val="24"/>
                <w:szCs w:val="24"/>
              </w:rPr>
            </w:pPr>
            <w:r>
              <w:rPr>
                <w:kern w:val="0"/>
                <w:sz w:val="24"/>
                <w:szCs w:val="24"/>
              </w:rPr>
              <w:t>三明国新新能源有限公司园区集中式光伏发电项目</w:t>
            </w:r>
          </w:p>
        </w:tc>
        <w:tc>
          <w:tcPr>
            <w:tcW w:w="4677" w:type="dxa"/>
            <w:tcBorders>
              <w:top w:val="nil"/>
              <w:left w:val="nil"/>
              <w:bottom w:val="single" w:color="auto" w:sz="4" w:space="0"/>
              <w:right w:val="single" w:color="auto" w:sz="4" w:space="0"/>
            </w:tcBorders>
            <w:vAlign w:val="center"/>
          </w:tcPr>
          <w:p w14:paraId="058EFF3D">
            <w:pPr>
              <w:widowControl/>
              <w:spacing w:line="240" w:lineRule="auto"/>
              <w:jc w:val="left"/>
              <w:rPr>
                <w:kern w:val="0"/>
                <w:sz w:val="24"/>
                <w:szCs w:val="24"/>
              </w:rPr>
            </w:pPr>
            <w:r>
              <w:rPr>
                <w:kern w:val="0"/>
                <w:sz w:val="24"/>
                <w:szCs w:val="24"/>
              </w:rPr>
              <w:t>建设10mw地面光伏电站和10万m2屋顶安装太阳能光伏组件，总装机20mwp，年均发电量2505kw小时</w:t>
            </w:r>
          </w:p>
        </w:tc>
        <w:tc>
          <w:tcPr>
            <w:tcW w:w="1256" w:type="dxa"/>
            <w:tcBorders>
              <w:top w:val="nil"/>
              <w:left w:val="nil"/>
              <w:bottom w:val="single" w:color="auto" w:sz="4" w:space="0"/>
              <w:right w:val="single" w:color="auto" w:sz="4" w:space="0"/>
            </w:tcBorders>
            <w:vAlign w:val="center"/>
          </w:tcPr>
          <w:p w14:paraId="3365291B">
            <w:pPr>
              <w:widowControl/>
              <w:spacing w:line="240" w:lineRule="auto"/>
              <w:jc w:val="center"/>
              <w:rPr>
                <w:kern w:val="0"/>
                <w:sz w:val="24"/>
                <w:szCs w:val="24"/>
              </w:rPr>
            </w:pPr>
            <w:r>
              <w:rPr>
                <w:kern w:val="0"/>
                <w:sz w:val="24"/>
                <w:szCs w:val="24"/>
              </w:rPr>
              <w:t>2017-2020</w:t>
            </w:r>
          </w:p>
        </w:tc>
        <w:tc>
          <w:tcPr>
            <w:tcW w:w="1460" w:type="dxa"/>
            <w:tcBorders>
              <w:top w:val="nil"/>
              <w:left w:val="nil"/>
              <w:bottom w:val="single" w:color="auto" w:sz="4" w:space="0"/>
              <w:right w:val="single" w:color="auto" w:sz="4" w:space="0"/>
            </w:tcBorders>
            <w:vAlign w:val="center"/>
          </w:tcPr>
          <w:p w14:paraId="491A83D9">
            <w:pPr>
              <w:widowControl/>
              <w:spacing w:line="240" w:lineRule="auto"/>
              <w:jc w:val="center"/>
              <w:rPr>
                <w:kern w:val="0"/>
                <w:sz w:val="24"/>
                <w:szCs w:val="24"/>
              </w:rPr>
            </w:pPr>
            <w:r>
              <w:rPr>
                <w:kern w:val="0"/>
                <w:sz w:val="24"/>
                <w:szCs w:val="24"/>
              </w:rPr>
              <w:t>25000</w:t>
            </w:r>
          </w:p>
        </w:tc>
        <w:tc>
          <w:tcPr>
            <w:tcW w:w="1843" w:type="dxa"/>
            <w:tcBorders>
              <w:top w:val="nil"/>
              <w:left w:val="nil"/>
              <w:bottom w:val="single" w:color="auto" w:sz="4" w:space="0"/>
              <w:right w:val="single" w:color="auto" w:sz="4" w:space="0"/>
            </w:tcBorders>
            <w:vAlign w:val="center"/>
          </w:tcPr>
          <w:p w14:paraId="02B7342E">
            <w:pPr>
              <w:widowControl/>
              <w:spacing w:line="240" w:lineRule="auto"/>
              <w:jc w:val="center"/>
              <w:rPr>
                <w:kern w:val="0"/>
                <w:sz w:val="24"/>
                <w:szCs w:val="24"/>
              </w:rPr>
            </w:pPr>
            <w:r>
              <w:rPr>
                <w:kern w:val="0"/>
                <w:sz w:val="24"/>
                <w:szCs w:val="24"/>
              </w:rPr>
              <w:t>24000</w:t>
            </w:r>
          </w:p>
        </w:tc>
        <w:tc>
          <w:tcPr>
            <w:tcW w:w="1395" w:type="dxa"/>
            <w:tcBorders>
              <w:top w:val="nil"/>
              <w:left w:val="nil"/>
              <w:bottom w:val="single" w:color="auto" w:sz="4" w:space="0"/>
              <w:right w:val="single" w:color="auto" w:sz="4" w:space="0"/>
            </w:tcBorders>
            <w:vAlign w:val="center"/>
          </w:tcPr>
          <w:p w14:paraId="4130394D">
            <w:pPr>
              <w:widowControl/>
              <w:spacing w:line="240" w:lineRule="auto"/>
              <w:jc w:val="left"/>
              <w:rPr>
                <w:kern w:val="0"/>
                <w:sz w:val="24"/>
                <w:szCs w:val="24"/>
              </w:rPr>
            </w:pPr>
            <w:r>
              <w:rPr>
                <w:kern w:val="0"/>
                <w:sz w:val="24"/>
                <w:szCs w:val="24"/>
              </w:rPr>
              <w:t>宁化县人民政府</w:t>
            </w:r>
          </w:p>
        </w:tc>
      </w:tr>
      <w:tr w14:paraId="411C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040" w:type="dxa"/>
            <w:tcBorders>
              <w:top w:val="nil"/>
              <w:left w:val="single" w:color="auto" w:sz="4" w:space="0"/>
              <w:bottom w:val="single" w:color="auto" w:sz="4" w:space="0"/>
              <w:right w:val="single" w:color="auto" w:sz="4" w:space="0"/>
            </w:tcBorders>
            <w:vAlign w:val="center"/>
          </w:tcPr>
          <w:p w14:paraId="3D9860B8">
            <w:pPr>
              <w:widowControl/>
              <w:spacing w:line="240" w:lineRule="auto"/>
              <w:jc w:val="center"/>
              <w:rPr>
                <w:kern w:val="0"/>
                <w:sz w:val="24"/>
                <w:szCs w:val="24"/>
              </w:rPr>
            </w:pPr>
            <w:r>
              <w:rPr>
                <w:rFonts w:hint="eastAsia"/>
                <w:kern w:val="0"/>
                <w:sz w:val="24"/>
                <w:szCs w:val="24"/>
              </w:rPr>
              <w:t>7</w:t>
            </w:r>
          </w:p>
        </w:tc>
        <w:tc>
          <w:tcPr>
            <w:tcW w:w="2221" w:type="dxa"/>
            <w:tcBorders>
              <w:top w:val="nil"/>
              <w:left w:val="nil"/>
              <w:bottom w:val="single" w:color="auto" w:sz="4" w:space="0"/>
              <w:right w:val="single" w:color="auto" w:sz="4" w:space="0"/>
            </w:tcBorders>
            <w:vAlign w:val="center"/>
          </w:tcPr>
          <w:p w14:paraId="0003C874">
            <w:pPr>
              <w:widowControl/>
              <w:spacing w:line="240" w:lineRule="auto"/>
              <w:jc w:val="left"/>
              <w:rPr>
                <w:kern w:val="0"/>
                <w:sz w:val="24"/>
                <w:szCs w:val="24"/>
              </w:rPr>
            </w:pPr>
            <w:r>
              <w:rPr>
                <w:kern w:val="0"/>
                <w:sz w:val="24"/>
                <w:szCs w:val="24"/>
              </w:rPr>
              <w:t>明溪致格新能源锂电池研发生产基地建设项目</w:t>
            </w:r>
          </w:p>
        </w:tc>
        <w:tc>
          <w:tcPr>
            <w:tcW w:w="4677" w:type="dxa"/>
            <w:tcBorders>
              <w:top w:val="nil"/>
              <w:left w:val="nil"/>
              <w:bottom w:val="single" w:color="auto" w:sz="4" w:space="0"/>
              <w:right w:val="single" w:color="auto" w:sz="4" w:space="0"/>
            </w:tcBorders>
            <w:vAlign w:val="center"/>
          </w:tcPr>
          <w:p w14:paraId="3A88D26D">
            <w:pPr>
              <w:widowControl/>
              <w:spacing w:line="240" w:lineRule="auto"/>
              <w:jc w:val="left"/>
              <w:rPr>
                <w:kern w:val="0"/>
                <w:sz w:val="24"/>
                <w:szCs w:val="24"/>
              </w:rPr>
            </w:pPr>
            <w:r>
              <w:rPr>
                <w:kern w:val="0"/>
                <w:sz w:val="24"/>
                <w:szCs w:val="24"/>
              </w:rPr>
              <w:t>总建筑面积20000平方米，建设锂电池自动化生产线1条，配套相关附属设施，年产锂电池0.7GW小时</w:t>
            </w:r>
          </w:p>
        </w:tc>
        <w:tc>
          <w:tcPr>
            <w:tcW w:w="1256" w:type="dxa"/>
            <w:tcBorders>
              <w:top w:val="nil"/>
              <w:left w:val="nil"/>
              <w:bottom w:val="single" w:color="auto" w:sz="4" w:space="0"/>
              <w:right w:val="single" w:color="auto" w:sz="4" w:space="0"/>
            </w:tcBorders>
            <w:vAlign w:val="center"/>
          </w:tcPr>
          <w:p w14:paraId="10F498AD">
            <w:pPr>
              <w:widowControl/>
              <w:spacing w:line="240" w:lineRule="auto"/>
              <w:jc w:val="center"/>
              <w:rPr>
                <w:kern w:val="0"/>
                <w:sz w:val="24"/>
                <w:szCs w:val="24"/>
              </w:rPr>
            </w:pPr>
            <w:r>
              <w:rPr>
                <w:kern w:val="0"/>
                <w:sz w:val="24"/>
                <w:szCs w:val="24"/>
              </w:rPr>
              <w:t>2017-2020</w:t>
            </w:r>
          </w:p>
        </w:tc>
        <w:tc>
          <w:tcPr>
            <w:tcW w:w="1460" w:type="dxa"/>
            <w:tcBorders>
              <w:top w:val="nil"/>
              <w:left w:val="nil"/>
              <w:bottom w:val="single" w:color="auto" w:sz="4" w:space="0"/>
              <w:right w:val="single" w:color="auto" w:sz="4" w:space="0"/>
            </w:tcBorders>
            <w:vAlign w:val="center"/>
          </w:tcPr>
          <w:p w14:paraId="6C55D426">
            <w:pPr>
              <w:widowControl/>
              <w:spacing w:line="240" w:lineRule="auto"/>
              <w:jc w:val="center"/>
              <w:rPr>
                <w:kern w:val="0"/>
                <w:sz w:val="24"/>
                <w:szCs w:val="24"/>
              </w:rPr>
            </w:pPr>
            <w:r>
              <w:rPr>
                <w:kern w:val="0"/>
                <w:sz w:val="24"/>
                <w:szCs w:val="24"/>
              </w:rPr>
              <w:t>50000</w:t>
            </w:r>
          </w:p>
        </w:tc>
        <w:tc>
          <w:tcPr>
            <w:tcW w:w="1843" w:type="dxa"/>
            <w:tcBorders>
              <w:top w:val="nil"/>
              <w:left w:val="nil"/>
              <w:bottom w:val="single" w:color="auto" w:sz="4" w:space="0"/>
              <w:right w:val="single" w:color="auto" w:sz="4" w:space="0"/>
            </w:tcBorders>
            <w:vAlign w:val="center"/>
          </w:tcPr>
          <w:p w14:paraId="739F997A">
            <w:pPr>
              <w:widowControl/>
              <w:spacing w:line="240" w:lineRule="auto"/>
              <w:jc w:val="center"/>
              <w:rPr>
                <w:kern w:val="0"/>
                <w:sz w:val="24"/>
                <w:szCs w:val="24"/>
              </w:rPr>
            </w:pPr>
            <w:r>
              <w:rPr>
                <w:kern w:val="0"/>
                <w:sz w:val="24"/>
                <w:szCs w:val="24"/>
              </w:rPr>
              <w:t>40500</w:t>
            </w:r>
          </w:p>
        </w:tc>
        <w:tc>
          <w:tcPr>
            <w:tcW w:w="1395" w:type="dxa"/>
            <w:tcBorders>
              <w:top w:val="nil"/>
              <w:left w:val="nil"/>
              <w:bottom w:val="single" w:color="auto" w:sz="4" w:space="0"/>
              <w:right w:val="single" w:color="auto" w:sz="4" w:space="0"/>
            </w:tcBorders>
            <w:vAlign w:val="center"/>
          </w:tcPr>
          <w:p w14:paraId="691BEA73">
            <w:pPr>
              <w:widowControl/>
              <w:spacing w:line="240" w:lineRule="auto"/>
              <w:jc w:val="left"/>
              <w:rPr>
                <w:kern w:val="0"/>
                <w:sz w:val="24"/>
                <w:szCs w:val="24"/>
              </w:rPr>
            </w:pPr>
            <w:r>
              <w:rPr>
                <w:kern w:val="0"/>
                <w:sz w:val="24"/>
                <w:szCs w:val="24"/>
              </w:rPr>
              <w:t>明溪县人民政府</w:t>
            </w:r>
          </w:p>
        </w:tc>
      </w:tr>
      <w:tr w14:paraId="7EEB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040" w:type="dxa"/>
            <w:tcBorders>
              <w:top w:val="nil"/>
              <w:left w:val="single" w:color="auto" w:sz="4" w:space="0"/>
              <w:bottom w:val="single" w:color="auto" w:sz="4" w:space="0"/>
              <w:right w:val="single" w:color="auto" w:sz="4" w:space="0"/>
            </w:tcBorders>
            <w:vAlign w:val="center"/>
          </w:tcPr>
          <w:p w14:paraId="34FA2D9C">
            <w:pPr>
              <w:widowControl/>
              <w:spacing w:line="240" w:lineRule="auto"/>
              <w:jc w:val="center"/>
              <w:rPr>
                <w:kern w:val="0"/>
                <w:sz w:val="24"/>
                <w:szCs w:val="24"/>
              </w:rPr>
            </w:pPr>
            <w:r>
              <w:rPr>
                <w:kern w:val="0"/>
                <w:sz w:val="24"/>
                <w:szCs w:val="24"/>
              </w:rPr>
              <w:t>8</w:t>
            </w:r>
          </w:p>
        </w:tc>
        <w:tc>
          <w:tcPr>
            <w:tcW w:w="2221" w:type="dxa"/>
            <w:tcBorders>
              <w:top w:val="nil"/>
              <w:left w:val="nil"/>
              <w:bottom w:val="single" w:color="auto" w:sz="4" w:space="0"/>
              <w:right w:val="single" w:color="auto" w:sz="4" w:space="0"/>
            </w:tcBorders>
            <w:vAlign w:val="center"/>
          </w:tcPr>
          <w:p w14:paraId="2E413DAD">
            <w:pPr>
              <w:widowControl/>
              <w:spacing w:line="240" w:lineRule="auto"/>
              <w:jc w:val="left"/>
              <w:rPr>
                <w:kern w:val="0"/>
                <w:sz w:val="24"/>
                <w:szCs w:val="24"/>
              </w:rPr>
            </w:pPr>
            <w:r>
              <w:rPr>
                <w:kern w:val="0"/>
                <w:sz w:val="24"/>
                <w:szCs w:val="24"/>
              </w:rPr>
              <w:t>大田红狮水泥有限公司水泥窑协同处置16万吨/年工业废物项目</w:t>
            </w:r>
          </w:p>
        </w:tc>
        <w:tc>
          <w:tcPr>
            <w:tcW w:w="4677" w:type="dxa"/>
            <w:tcBorders>
              <w:top w:val="nil"/>
              <w:left w:val="nil"/>
              <w:bottom w:val="single" w:color="auto" w:sz="4" w:space="0"/>
              <w:right w:val="single" w:color="auto" w:sz="4" w:space="0"/>
            </w:tcBorders>
            <w:vAlign w:val="center"/>
          </w:tcPr>
          <w:p w14:paraId="311C51AB">
            <w:pPr>
              <w:widowControl/>
              <w:spacing w:line="240" w:lineRule="auto"/>
              <w:jc w:val="left"/>
              <w:rPr>
                <w:kern w:val="0"/>
                <w:sz w:val="24"/>
                <w:szCs w:val="24"/>
              </w:rPr>
            </w:pPr>
            <w:r>
              <w:rPr>
                <w:kern w:val="0"/>
                <w:sz w:val="24"/>
                <w:szCs w:val="24"/>
              </w:rPr>
              <w:t>本项目拟在大田红狮厂区内建设厂房面积1050平方米，利用现有的日产4500吨/日熟料生产线上独立建设一套年处置16万吨/年工业废物处理系统，有进厂接受系统、预处理系统、中央控制系统及部分生产附属设施。工业废物作为水泥生产原（燃）料进行处置，无任何残渣，避免了填埋和焚烧等处理方式对环境的二次污染等</w:t>
            </w:r>
          </w:p>
        </w:tc>
        <w:tc>
          <w:tcPr>
            <w:tcW w:w="1256" w:type="dxa"/>
            <w:tcBorders>
              <w:top w:val="nil"/>
              <w:left w:val="nil"/>
              <w:bottom w:val="single" w:color="auto" w:sz="4" w:space="0"/>
              <w:right w:val="single" w:color="auto" w:sz="4" w:space="0"/>
            </w:tcBorders>
            <w:vAlign w:val="center"/>
          </w:tcPr>
          <w:p w14:paraId="1F608458">
            <w:pPr>
              <w:widowControl/>
              <w:spacing w:line="240" w:lineRule="auto"/>
              <w:jc w:val="center"/>
              <w:rPr>
                <w:kern w:val="0"/>
                <w:sz w:val="24"/>
                <w:szCs w:val="24"/>
              </w:rPr>
            </w:pPr>
            <w:r>
              <w:rPr>
                <w:kern w:val="0"/>
                <w:sz w:val="24"/>
                <w:szCs w:val="24"/>
              </w:rPr>
              <w:t>2015-2018</w:t>
            </w:r>
          </w:p>
        </w:tc>
        <w:tc>
          <w:tcPr>
            <w:tcW w:w="1460" w:type="dxa"/>
            <w:tcBorders>
              <w:top w:val="nil"/>
              <w:left w:val="nil"/>
              <w:bottom w:val="single" w:color="auto" w:sz="4" w:space="0"/>
              <w:right w:val="single" w:color="auto" w:sz="4" w:space="0"/>
            </w:tcBorders>
            <w:vAlign w:val="center"/>
          </w:tcPr>
          <w:p w14:paraId="229EF3E9">
            <w:pPr>
              <w:widowControl/>
              <w:spacing w:line="240" w:lineRule="auto"/>
              <w:jc w:val="center"/>
              <w:rPr>
                <w:kern w:val="0"/>
                <w:sz w:val="24"/>
                <w:szCs w:val="24"/>
              </w:rPr>
            </w:pPr>
            <w:r>
              <w:rPr>
                <w:kern w:val="0"/>
                <w:sz w:val="24"/>
                <w:szCs w:val="24"/>
              </w:rPr>
              <w:t>17000</w:t>
            </w:r>
          </w:p>
        </w:tc>
        <w:tc>
          <w:tcPr>
            <w:tcW w:w="1843" w:type="dxa"/>
            <w:tcBorders>
              <w:top w:val="nil"/>
              <w:left w:val="nil"/>
              <w:bottom w:val="single" w:color="auto" w:sz="4" w:space="0"/>
              <w:right w:val="single" w:color="auto" w:sz="4" w:space="0"/>
            </w:tcBorders>
            <w:vAlign w:val="center"/>
          </w:tcPr>
          <w:p w14:paraId="50C820C9">
            <w:pPr>
              <w:widowControl/>
              <w:spacing w:line="240" w:lineRule="auto"/>
              <w:jc w:val="center"/>
              <w:rPr>
                <w:kern w:val="0"/>
                <w:sz w:val="24"/>
                <w:szCs w:val="24"/>
              </w:rPr>
            </w:pPr>
            <w:r>
              <w:rPr>
                <w:kern w:val="0"/>
                <w:sz w:val="24"/>
                <w:szCs w:val="24"/>
              </w:rPr>
              <w:t>6000</w:t>
            </w:r>
          </w:p>
        </w:tc>
        <w:tc>
          <w:tcPr>
            <w:tcW w:w="1395" w:type="dxa"/>
            <w:tcBorders>
              <w:top w:val="nil"/>
              <w:left w:val="nil"/>
              <w:bottom w:val="single" w:color="auto" w:sz="4" w:space="0"/>
              <w:right w:val="single" w:color="auto" w:sz="4" w:space="0"/>
            </w:tcBorders>
            <w:vAlign w:val="center"/>
          </w:tcPr>
          <w:p w14:paraId="274F1276">
            <w:pPr>
              <w:widowControl/>
              <w:spacing w:line="240" w:lineRule="auto"/>
              <w:jc w:val="left"/>
              <w:rPr>
                <w:kern w:val="0"/>
                <w:sz w:val="24"/>
                <w:szCs w:val="24"/>
              </w:rPr>
            </w:pPr>
            <w:r>
              <w:rPr>
                <w:kern w:val="0"/>
                <w:sz w:val="24"/>
                <w:szCs w:val="24"/>
              </w:rPr>
              <w:t>大田县人民政府</w:t>
            </w:r>
          </w:p>
        </w:tc>
      </w:tr>
      <w:tr w14:paraId="57D9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040" w:type="dxa"/>
            <w:tcBorders>
              <w:top w:val="nil"/>
              <w:left w:val="single" w:color="auto" w:sz="4" w:space="0"/>
              <w:bottom w:val="single" w:color="auto" w:sz="4" w:space="0"/>
              <w:right w:val="single" w:color="auto" w:sz="4" w:space="0"/>
            </w:tcBorders>
            <w:vAlign w:val="center"/>
          </w:tcPr>
          <w:p w14:paraId="00813239">
            <w:pPr>
              <w:widowControl/>
              <w:spacing w:line="240" w:lineRule="auto"/>
              <w:jc w:val="center"/>
              <w:rPr>
                <w:kern w:val="0"/>
                <w:sz w:val="24"/>
                <w:szCs w:val="24"/>
              </w:rPr>
            </w:pPr>
            <w:r>
              <w:rPr>
                <w:kern w:val="0"/>
                <w:sz w:val="24"/>
                <w:szCs w:val="24"/>
              </w:rPr>
              <w:t>9</w:t>
            </w:r>
          </w:p>
        </w:tc>
        <w:tc>
          <w:tcPr>
            <w:tcW w:w="2221" w:type="dxa"/>
            <w:tcBorders>
              <w:top w:val="nil"/>
              <w:left w:val="nil"/>
              <w:bottom w:val="single" w:color="auto" w:sz="4" w:space="0"/>
              <w:right w:val="single" w:color="auto" w:sz="4" w:space="0"/>
            </w:tcBorders>
            <w:vAlign w:val="center"/>
          </w:tcPr>
          <w:p w14:paraId="75DC51A2">
            <w:pPr>
              <w:widowControl/>
              <w:spacing w:line="240" w:lineRule="auto"/>
              <w:jc w:val="left"/>
              <w:rPr>
                <w:kern w:val="0"/>
                <w:sz w:val="24"/>
                <w:szCs w:val="24"/>
              </w:rPr>
            </w:pPr>
            <w:r>
              <w:rPr>
                <w:kern w:val="0"/>
                <w:sz w:val="24"/>
                <w:szCs w:val="24"/>
              </w:rPr>
              <w:t>清流水泥窑协同处置固体项目</w:t>
            </w:r>
          </w:p>
        </w:tc>
        <w:tc>
          <w:tcPr>
            <w:tcW w:w="4677" w:type="dxa"/>
            <w:tcBorders>
              <w:top w:val="nil"/>
              <w:left w:val="nil"/>
              <w:bottom w:val="single" w:color="auto" w:sz="4" w:space="0"/>
              <w:right w:val="single" w:color="auto" w:sz="4" w:space="0"/>
            </w:tcBorders>
            <w:vAlign w:val="center"/>
          </w:tcPr>
          <w:p w14:paraId="5002071D">
            <w:pPr>
              <w:widowControl/>
              <w:spacing w:line="240" w:lineRule="auto"/>
              <w:jc w:val="left"/>
              <w:rPr>
                <w:kern w:val="0"/>
                <w:sz w:val="24"/>
                <w:szCs w:val="24"/>
              </w:rPr>
            </w:pPr>
            <w:r>
              <w:rPr>
                <w:kern w:val="0"/>
                <w:sz w:val="24"/>
                <w:szCs w:val="24"/>
              </w:rPr>
              <w:t>利用水泥窑协同处置固体废物16万吨/年生产线，建设10万吨/年固体废物处置生产线</w:t>
            </w:r>
          </w:p>
        </w:tc>
        <w:tc>
          <w:tcPr>
            <w:tcW w:w="1256" w:type="dxa"/>
            <w:tcBorders>
              <w:top w:val="nil"/>
              <w:left w:val="nil"/>
              <w:bottom w:val="single" w:color="auto" w:sz="4" w:space="0"/>
              <w:right w:val="single" w:color="auto" w:sz="4" w:space="0"/>
            </w:tcBorders>
            <w:vAlign w:val="center"/>
          </w:tcPr>
          <w:p w14:paraId="47F62B41">
            <w:pPr>
              <w:widowControl/>
              <w:spacing w:line="240" w:lineRule="auto"/>
              <w:jc w:val="center"/>
              <w:rPr>
                <w:kern w:val="0"/>
                <w:sz w:val="24"/>
                <w:szCs w:val="24"/>
              </w:rPr>
            </w:pPr>
            <w:r>
              <w:rPr>
                <w:kern w:val="0"/>
                <w:sz w:val="24"/>
                <w:szCs w:val="24"/>
              </w:rPr>
              <w:t>2018</w:t>
            </w:r>
          </w:p>
        </w:tc>
        <w:tc>
          <w:tcPr>
            <w:tcW w:w="1460" w:type="dxa"/>
            <w:tcBorders>
              <w:top w:val="nil"/>
              <w:left w:val="nil"/>
              <w:bottom w:val="single" w:color="auto" w:sz="4" w:space="0"/>
              <w:right w:val="single" w:color="auto" w:sz="4" w:space="0"/>
            </w:tcBorders>
            <w:vAlign w:val="center"/>
          </w:tcPr>
          <w:p w14:paraId="2D85C86B">
            <w:pPr>
              <w:widowControl/>
              <w:spacing w:line="240" w:lineRule="auto"/>
              <w:jc w:val="center"/>
              <w:rPr>
                <w:kern w:val="0"/>
                <w:sz w:val="24"/>
                <w:szCs w:val="24"/>
              </w:rPr>
            </w:pPr>
            <w:r>
              <w:rPr>
                <w:kern w:val="0"/>
                <w:sz w:val="24"/>
                <w:szCs w:val="24"/>
              </w:rPr>
              <w:t>13200</w:t>
            </w:r>
          </w:p>
        </w:tc>
        <w:tc>
          <w:tcPr>
            <w:tcW w:w="1843" w:type="dxa"/>
            <w:tcBorders>
              <w:top w:val="nil"/>
              <w:left w:val="nil"/>
              <w:bottom w:val="single" w:color="auto" w:sz="4" w:space="0"/>
              <w:right w:val="single" w:color="auto" w:sz="4" w:space="0"/>
            </w:tcBorders>
            <w:vAlign w:val="center"/>
          </w:tcPr>
          <w:p w14:paraId="36E27B75">
            <w:pPr>
              <w:widowControl/>
              <w:spacing w:line="240" w:lineRule="auto"/>
              <w:jc w:val="center"/>
              <w:rPr>
                <w:kern w:val="0"/>
                <w:sz w:val="24"/>
                <w:szCs w:val="24"/>
              </w:rPr>
            </w:pPr>
            <w:r>
              <w:rPr>
                <w:kern w:val="0"/>
                <w:sz w:val="24"/>
                <w:szCs w:val="24"/>
              </w:rPr>
              <w:t>13200</w:t>
            </w:r>
          </w:p>
        </w:tc>
        <w:tc>
          <w:tcPr>
            <w:tcW w:w="1395" w:type="dxa"/>
            <w:tcBorders>
              <w:top w:val="nil"/>
              <w:left w:val="nil"/>
              <w:bottom w:val="single" w:color="auto" w:sz="4" w:space="0"/>
              <w:right w:val="single" w:color="auto" w:sz="4" w:space="0"/>
            </w:tcBorders>
            <w:vAlign w:val="center"/>
          </w:tcPr>
          <w:p w14:paraId="487AF555">
            <w:pPr>
              <w:widowControl/>
              <w:spacing w:line="240" w:lineRule="auto"/>
              <w:jc w:val="left"/>
              <w:rPr>
                <w:kern w:val="0"/>
                <w:sz w:val="24"/>
                <w:szCs w:val="24"/>
              </w:rPr>
            </w:pPr>
            <w:r>
              <w:rPr>
                <w:kern w:val="0"/>
                <w:sz w:val="24"/>
                <w:szCs w:val="24"/>
              </w:rPr>
              <w:t>清流县人民政府</w:t>
            </w:r>
          </w:p>
        </w:tc>
      </w:tr>
      <w:tr w14:paraId="21AD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040" w:type="dxa"/>
            <w:tcBorders>
              <w:top w:val="nil"/>
              <w:left w:val="single" w:color="auto" w:sz="4" w:space="0"/>
              <w:bottom w:val="single" w:color="auto" w:sz="4" w:space="0"/>
              <w:right w:val="single" w:color="auto" w:sz="4" w:space="0"/>
            </w:tcBorders>
            <w:vAlign w:val="center"/>
          </w:tcPr>
          <w:p w14:paraId="25F93F58">
            <w:pPr>
              <w:widowControl/>
              <w:spacing w:line="240" w:lineRule="auto"/>
              <w:jc w:val="center"/>
              <w:rPr>
                <w:kern w:val="0"/>
                <w:sz w:val="24"/>
                <w:szCs w:val="24"/>
              </w:rPr>
            </w:pPr>
            <w:r>
              <w:rPr>
                <w:rFonts w:hint="eastAsia"/>
                <w:kern w:val="0"/>
                <w:sz w:val="24"/>
                <w:szCs w:val="24"/>
              </w:rPr>
              <w:t>10</w:t>
            </w:r>
          </w:p>
        </w:tc>
        <w:tc>
          <w:tcPr>
            <w:tcW w:w="2221" w:type="dxa"/>
            <w:tcBorders>
              <w:top w:val="nil"/>
              <w:left w:val="nil"/>
              <w:bottom w:val="single" w:color="auto" w:sz="4" w:space="0"/>
              <w:right w:val="single" w:color="auto" w:sz="4" w:space="0"/>
            </w:tcBorders>
            <w:vAlign w:val="center"/>
          </w:tcPr>
          <w:p w14:paraId="2717A522">
            <w:pPr>
              <w:widowControl/>
              <w:spacing w:line="240" w:lineRule="auto"/>
              <w:jc w:val="left"/>
              <w:rPr>
                <w:kern w:val="0"/>
                <w:sz w:val="24"/>
                <w:szCs w:val="24"/>
              </w:rPr>
            </w:pPr>
            <w:r>
              <w:rPr>
                <w:kern w:val="0"/>
                <w:sz w:val="24"/>
                <w:szCs w:val="24"/>
              </w:rPr>
              <w:t>三钢节能减排系统改造（含煤炭绿色转化）工程</w:t>
            </w:r>
          </w:p>
        </w:tc>
        <w:tc>
          <w:tcPr>
            <w:tcW w:w="4677" w:type="dxa"/>
            <w:tcBorders>
              <w:top w:val="nil"/>
              <w:left w:val="nil"/>
              <w:bottom w:val="single" w:color="auto" w:sz="4" w:space="0"/>
              <w:right w:val="single" w:color="auto" w:sz="4" w:space="0"/>
            </w:tcBorders>
            <w:vAlign w:val="center"/>
          </w:tcPr>
          <w:p w14:paraId="73ABA5BE">
            <w:pPr>
              <w:widowControl/>
              <w:spacing w:line="240" w:lineRule="auto"/>
              <w:jc w:val="left"/>
              <w:rPr>
                <w:kern w:val="0"/>
                <w:sz w:val="24"/>
                <w:szCs w:val="24"/>
              </w:rPr>
            </w:pPr>
            <w:r>
              <w:rPr>
                <w:kern w:val="0"/>
                <w:sz w:val="24"/>
                <w:szCs w:val="24"/>
              </w:rPr>
              <w:t>项目在三钢厂区内淘汰1#焦炉，建设一座103万吨全能量回收清洁环保型制焦工程及相关辅助生产设施，及全能量回收清洁环保型制焦工程配套干熄焦系统</w:t>
            </w:r>
          </w:p>
        </w:tc>
        <w:tc>
          <w:tcPr>
            <w:tcW w:w="1256" w:type="dxa"/>
            <w:tcBorders>
              <w:top w:val="nil"/>
              <w:left w:val="nil"/>
              <w:bottom w:val="single" w:color="auto" w:sz="4" w:space="0"/>
              <w:right w:val="single" w:color="auto" w:sz="4" w:space="0"/>
            </w:tcBorders>
            <w:vAlign w:val="center"/>
          </w:tcPr>
          <w:p w14:paraId="6C20DEB7">
            <w:pPr>
              <w:widowControl/>
              <w:spacing w:line="240" w:lineRule="auto"/>
              <w:jc w:val="center"/>
              <w:rPr>
                <w:kern w:val="0"/>
                <w:sz w:val="24"/>
                <w:szCs w:val="24"/>
              </w:rPr>
            </w:pPr>
            <w:r>
              <w:rPr>
                <w:kern w:val="0"/>
                <w:sz w:val="24"/>
                <w:szCs w:val="24"/>
              </w:rPr>
              <w:t>2017-2020</w:t>
            </w:r>
          </w:p>
        </w:tc>
        <w:tc>
          <w:tcPr>
            <w:tcW w:w="1460" w:type="dxa"/>
            <w:tcBorders>
              <w:top w:val="nil"/>
              <w:left w:val="nil"/>
              <w:bottom w:val="single" w:color="auto" w:sz="4" w:space="0"/>
              <w:right w:val="single" w:color="auto" w:sz="4" w:space="0"/>
            </w:tcBorders>
            <w:vAlign w:val="center"/>
          </w:tcPr>
          <w:p w14:paraId="5B306D2D">
            <w:pPr>
              <w:widowControl/>
              <w:spacing w:line="240" w:lineRule="auto"/>
              <w:jc w:val="center"/>
              <w:rPr>
                <w:kern w:val="0"/>
                <w:sz w:val="24"/>
                <w:szCs w:val="24"/>
              </w:rPr>
            </w:pPr>
            <w:r>
              <w:rPr>
                <w:kern w:val="0"/>
                <w:sz w:val="24"/>
                <w:szCs w:val="24"/>
              </w:rPr>
              <w:t>100000</w:t>
            </w:r>
          </w:p>
        </w:tc>
        <w:tc>
          <w:tcPr>
            <w:tcW w:w="1843" w:type="dxa"/>
            <w:tcBorders>
              <w:top w:val="nil"/>
              <w:left w:val="nil"/>
              <w:bottom w:val="single" w:color="auto" w:sz="4" w:space="0"/>
              <w:right w:val="single" w:color="auto" w:sz="4" w:space="0"/>
            </w:tcBorders>
            <w:vAlign w:val="center"/>
          </w:tcPr>
          <w:p w14:paraId="3827E1AB">
            <w:pPr>
              <w:widowControl/>
              <w:spacing w:line="240" w:lineRule="auto"/>
              <w:jc w:val="center"/>
              <w:rPr>
                <w:kern w:val="0"/>
                <w:sz w:val="24"/>
                <w:szCs w:val="24"/>
              </w:rPr>
            </w:pPr>
            <w:r>
              <w:rPr>
                <w:kern w:val="0"/>
                <w:sz w:val="24"/>
                <w:szCs w:val="24"/>
              </w:rPr>
              <w:t>70000</w:t>
            </w:r>
          </w:p>
        </w:tc>
        <w:tc>
          <w:tcPr>
            <w:tcW w:w="1395" w:type="dxa"/>
            <w:tcBorders>
              <w:top w:val="nil"/>
              <w:left w:val="nil"/>
              <w:bottom w:val="single" w:color="auto" w:sz="4" w:space="0"/>
              <w:right w:val="single" w:color="auto" w:sz="4" w:space="0"/>
            </w:tcBorders>
            <w:vAlign w:val="center"/>
          </w:tcPr>
          <w:p w14:paraId="1751FE34">
            <w:pPr>
              <w:widowControl/>
              <w:spacing w:line="240" w:lineRule="auto"/>
              <w:jc w:val="left"/>
              <w:rPr>
                <w:kern w:val="0"/>
                <w:sz w:val="24"/>
                <w:szCs w:val="24"/>
              </w:rPr>
            </w:pPr>
            <w:r>
              <w:rPr>
                <w:kern w:val="0"/>
                <w:sz w:val="24"/>
                <w:szCs w:val="24"/>
              </w:rPr>
              <w:t>梅列区人民政府</w:t>
            </w:r>
          </w:p>
        </w:tc>
      </w:tr>
      <w:tr w14:paraId="08D2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1040" w:type="dxa"/>
            <w:tcBorders>
              <w:top w:val="nil"/>
              <w:left w:val="single" w:color="auto" w:sz="4" w:space="0"/>
              <w:bottom w:val="single" w:color="auto" w:sz="4" w:space="0"/>
              <w:right w:val="single" w:color="auto" w:sz="4" w:space="0"/>
            </w:tcBorders>
            <w:vAlign w:val="center"/>
          </w:tcPr>
          <w:p w14:paraId="02A4A3FC">
            <w:pPr>
              <w:widowControl/>
              <w:spacing w:line="240" w:lineRule="auto"/>
              <w:jc w:val="center"/>
              <w:rPr>
                <w:kern w:val="0"/>
                <w:sz w:val="24"/>
                <w:szCs w:val="24"/>
              </w:rPr>
            </w:pPr>
            <w:r>
              <w:rPr>
                <w:rFonts w:hint="eastAsia"/>
                <w:kern w:val="0"/>
                <w:sz w:val="24"/>
                <w:szCs w:val="24"/>
              </w:rPr>
              <w:t>11</w:t>
            </w:r>
          </w:p>
        </w:tc>
        <w:tc>
          <w:tcPr>
            <w:tcW w:w="2221" w:type="dxa"/>
            <w:tcBorders>
              <w:top w:val="nil"/>
              <w:left w:val="nil"/>
              <w:bottom w:val="single" w:color="auto" w:sz="4" w:space="0"/>
              <w:right w:val="single" w:color="auto" w:sz="4" w:space="0"/>
            </w:tcBorders>
            <w:vAlign w:val="center"/>
          </w:tcPr>
          <w:p w14:paraId="4CDEC93B">
            <w:pPr>
              <w:widowControl/>
              <w:spacing w:line="240" w:lineRule="auto"/>
              <w:jc w:val="left"/>
              <w:rPr>
                <w:kern w:val="0"/>
                <w:sz w:val="24"/>
                <w:szCs w:val="24"/>
              </w:rPr>
            </w:pPr>
            <w:r>
              <w:rPr>
                <w:kern w:val="0"/>
                <w:sz w:val="24"/>
                <w:szCs w:val="24"/>
              </w:rPr>
              <w:t>福建泰达高新材料有限公司高纯硅生产余热发电</w:t>
            </w:r>
          </w:p>
        </w:tc>
        <w:tc>
          <w:tcPr>
            <w:tcW w:w="4677" w:type="dxa"/>
            <w:tcBorders>
              <w:top w:val="nil"/>
              <w:left w:val="nil"/>
              <w:bottom w:val="single" w:color="auto" w:sz="4" w:space="0"/>
              <w:right w:val="single" w:color="auto" w:sz="4" w:space="0"/>
            </w:tcBorders>
            <w:vAlign w:val="center"/>
          </w:tcPr>
          <w:p w14:paraId="10554C80">
            <w:pPr>
              <w:widowControl/>
              <w:spacing w:line="240" w:lineRule="auto"/>
              <w:jc w:val="left"/>
              <w:rPr>
                <w:kern w:val="0"/>
                <w:sz w:val="24"/>
                <w:szCs w:val="24"/>
              </w:rPr>
            </w:pPr>
            <w:r>
              <w:rPr>
                <w:kern w:val="0"/>
                <w:sz w:val="24"/>
                <w:szCs w:val="24"/>
              </w:rPr>
              <w:t>项目建设地址：将乐县经济开发区。公司原厂区，项目利用铝硅合金余热及现有场地新建3000平方米厂房，购置螺杆膨胀动力发电机组建设年发电量2000万度的规模</w:t>
            </w:r>
          </w:p>
        </w:tc>
        <w:tc>
          <w:tcPr>
            <w:tcW w:w="1256" w:type="dxa"/>
            <w:tcBorders>
              <w:top w:val="nil"/>
              <w:left w:val="nil"/>
              <w:bottom w:val="single" w:color="auto" w:sz="4" w:space="0"/>
              <w:right w:val="single" w:color="auto" w:sz="4" w:space="0"/>
            </w:tcBorders>
            <w:vAlign w:val="center"/>
          </w:tcPr>
          <w:p w14:paraId="7BF1A6C8">
            <w:pPr>
              <w:widowControl/>
              <w:spacing w:line="240" w:lineRule="auto"/>
              <w:jc w:val="center"/>
              <w:rPr>
                <w:kern w:val="0"/>
                <w:sz w:val="24"/>
                <w:szCs w:val="24"/>
              </w:rPr>
            </w:pPr>
            <w:r>
              <w:rPr>
                <w:kern w:val="0"/>
                <w:sz w:val="24"/>
                <w:szCs w:val="24"/>
              </w:rPr>
              <w:t>2018-2019</w:t>
            </w:r>
          </w:p>
        </w:tc>
        <w:tc>
          <w:tcPr>
            <w:tcW w:w="1460" w:type="dxa"/>
            <w:tcBorders>
              <w:top w:val="nil"/>
              <w:left w:val="nil"/>
              <w:bottom w:val="single" w:color="auto" w:sz="4" w:space="0"/>
              <w:right w:val="single" w:color="auto" w:sz="4" w:space="0"/>
            </w:tcBorders>
            <w:vAlign w:val="center"/>
          </w:tcPr>
          <w:p w14:paraId="25A9C1BD">
            <w:pPr>
              <w:widowControl/>
              <w:spacing w:line="240" w:lineRule="auto"/>
              <w:jc w:val="center"/>
              <w:rPr>
                <w:kern w:val="0"/>
                <w:sz w:val="24"/>
                <w:szCs w:val="24"/>
              </w:rPr>
            </w:pPr>
            <w:r>
              <w:rPr>
                <w:kern w:val="0"/>
                <w:sz w:val="24"/>
                <w:szCs w:val="24"/>
              </w:rPr>
              <w:t>11000</w:t>
            </w:r>
          </w:p>
        </w:tc>
        <w:tc>
          <w:tcPr>
            <w:tcW w:w="1843" w:type="dxa"/>
            <w:tcBorders>
              <w:top w:val="nil"/>
              <w:left w:val="nil"/>
              <w:bottom w:val="single" w:color="auto" w:sz="4" w:space="0"/>
              <w:right w:val="single" w:color="auto" w:sz="4" w:space="0"/>
            </w:tcBorders>
            <w:vAlign w:val="center"/>
          </w:tcPr>
          <w:p w14:paraId="1BD4EB28">
            <w:pPr>
              <w:widowControl/>
              <w:spacing w:line="240" w:lineRule="auto"/>
              <w:jc w:val="center"/>
              <w:rPr>
                <w:kern w:val="0"/>
                <w:sz w:val="24"/>
                <w:szCs w:val="24"/>
              </w:rPr>
            </w:pPr>
            <w:r>
              <w:rPr>
                <w:kern w:val="0"/>
                <w:sz w:val="24"/>
                <w:szCs w:val="24"/>
              </w:rPr>
              <w:t>11000</w:t>
            </w:r>
          </w:p>
        </w:tc>
        <w:tc>
          <w:tcPr>
            <w:tcW w:w="1395" w:type="dxa"/>
            <w:tcBorders>
              <w:top w:val="nil"/>
              <w:left w:val="nil"/>
              <w:bottom w:val="single" w:color="auto" w:sz="4" w:space="0"/>
              <w:right w:val="single" w:color="auto" w:sz="4" w:space="0"/>
            </w:tcBorders>
            <w:vAlign w:val="center"/>
          </w:tcPr>
          <w:p w14:paraId="6A1EA0D3">
            <w:pPr>
              <w:widowControl/>
              <w:spacing w:line="240" w:lineRule="auto"/>
              <w:jc w:val="left"/>
              <w:rPr>
                <w:kern w:val="0"/>
                <w:sz w:val="24"/>
                <w:szCs w:val="24"/>
              </w:rPr>
            </w:pPr>
            <w:r>
              <w:rPr>
                <w:kern w:val="0"/>
                <w:sz w:val="24"/>
                <w:szCs w:val="24"/>
              </w:rPr>
              <w:t>将乐县人民政府</w:t>
            </w:r>
          </w:p>
        </w:tc>
      </w:tr>
      <w:tr w14:paraId="150B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0" w:type="dxa"/>
            <w:tcBorders>
              <w:top w:val="nil"/>
              <w:left w:val="single" w:color="auto" w:sz="4" w:space="0"/>
              <w:bottom w:val="single" w:color="auto" w:sz="4" w:space="0"/>
              <w:right w:val="single" w:color="auto" w:sz="4" w:space="0"/>
            </w:tcBorders>
            <w:vAlign w:val="center"/>
          </w:tcPr>
          <w:p w14:paraId="40B61410">
            <w:pPr>
              <w:widowControl/>
              <w:spacing w:line="240" w:lineRule="auto"/>
              <w:jc w:val="center"/>
              <w:rPr>
                <w:kern w:val="0"/>
                <w:sz w:val="24"/>
                <w:szCs w:val="24"/>
              </w:rPr>
            </w:pPr>
            <w:r>
              <w:rPr>
                <w:rFonts w:hint="eastAsia"/>
                <w:kern w:val="0"/>
                <w:sz w:val="24"/>
                <w:szCs w:val="24"/>
              </w:rPr>
              <w:t>12</w:t>
            </w:r>
          </w:p>
        </w:tc>
        <w:tc>
          <w:tcPr>
            <w:tcW w:w="2221" w:type="dxa"/>
            <w:tcBorders>
              <w:top w:val="nil"/>
              <w:left w:val="nil"/>
              <w:bottom w:val="single" w:color="auto" w:sz="4" w:space="0"/>
              <w:right w:val="single" w:color="auto" w:sz="4" w:space="0"/>
            </w:tcBorders>
            <w:vAlign w:val="center"/>
          </w:tcPr>
          <w:p w14:paraId="31D8A17A">
            <w:pPr>
              <w:widowControl/>
              <w:spacing w:line="240" w:lineRule="auto"/>
              <w:jc w:val="left"/>
              <w:rPr>
                <w:kern w:val="0"/>
                <w:sz w:val="24"/>
                <w:szCs w:val="24"/>
              </w:rPr>
            </w:pPr>
            <w:r>
              <w:rPr>
                <w:kern w:val="0"/>
                <w:sz w:val="24"/>
                <w:szCs w:val="24"/>
              </w:rPr>
              <w:t>尤溪县洋中镇工业区分布式光伏发电项目（一期）</w:t>
            </w:r>
          </w:p>
        </w:tc>
        <w:tc>
          <w:tcPr>
            <w:tcW w:w="4677" w:type="dxa"/>
            <w:tcBorders>
              <w:top w:val="nil"/>
              <w:left w:val="nil"/>
              <w:bottom w:val="single" w:color="auto" w:sz="4" w:space="0"/>
              <w:right w:val="single" w:color="auto" w:sz="4" w:space="0"/>
            </w:tcBorders>
            <w:vAlign w:val="center"/>
          </w:tcPr>
          <w:p w14:paraId="6471699D">
            <w:pPr>
              <w:widowControl/>
              <w:spacing w:line="240" w:lineRule="auto"/>
              <w:jc w:val="left"/>
              <w:rPr>
                <w:kern w:val="0"/>
                <w:sz w:val="24"/>
                <w:szCs w:val="24"/>
              </w:rPr>
            </w:pPr>
            <w:r>
              <w:rPr>
                <w:kern w:val="0"/>
                <w:sz w:val="24"/>
                <w:szCs w:val="24"/>
              </w:rPr>
              <w:t>总装机容量13MW</w:t>
            </w:r>
          </w:p>
        </w:tc>
        <w:tc>
          <w:tcPr>
            <w:tcW w:w="1256" w:type="dxa"/>
            <w:tcBorders>
              <w:top w:val="nil"/>
              <w:left w:val="nil"/>
              <w:bottom w:val="single" w:color="auto" w:sz="4" w:space="0"/>
              <w:right w:val="single" w:color="auto" w:sz="4" w:space="0"/>
            </w:tcBorders>
            <w:vAlign w:val="center"/>
          </w:tcPr>
          <w:p w14:paraId="78CBFA11">
            <w:pPr>
              <w:widowControl/>
              <w:spacing w:line="240" w:lineRule="auto"/>
              <w:jc w:val="center"/>
              <w:rPr>
                <w:kern w:val="0"/>
                <w:sz w:val="24"/>
                <w:szCs w:val="24"/>
              </w:rPr>
            </w:pPr>
            <w:r>
              <w:rPr>
                <w:kern w:val="0"/>
                <w:sz w:val="24"/>
                <w:szCs w:val="24"/>
              </w:rPr>
              <w:t>2017-2021</w:t>
            </w:r>
          </w:p>
        </w:tc>
        <w:tc>
          <w:tcPr>
            <w:tcW w:w="1460" w:type="dxa"/>
            <w:tcBorders>
              <w:top w:val="nil"/>
              <w:left w:val="nil"/>
              <w:bottom w:val="single" w:color="auto" w:sz="4" w:space="0"/>
              <w:right w:val="single" w:color="auto" w:sz="4" w:space="0"/>
            </w:tcBorders>
            <w:vAlign w:val="center"/>
          </w:tcPr>
          <w:p w14:paraId="08E7170E">
            <w:pPr>
              <w:widowControl/>
              <w:spacing w:line="240" w:lineRule="auto"/>
              <w:jc w:val="center"/>
              <w:rPr>
                <w:kern w:val="0"/>
                <w:sz w:val="24"/>
                <w:szCs w:val="24"/>
              </w:rPr>
            </w:pPr>
            <w:r>
              <w:rPr>
                <w:kern w:val="0"/>
                <w:sz w:val="24"/>
                <w:szCs w:val="24"/>
              </w:rPr>
              <w:t xml:space="preserve">11500 </w:t>
            </w:r>
          </w:p>
        </w:tc>
        <w:tc>
          <w:tcPr>
            <w:tcW w:w="1843" w:type="dxa"/>
            <w:tcBorders>
              <w:top w:val="nil"/>
              <w:left w:val="nil"/>
              <w:bottom w:val="single" w:color="auto" w:sz="4" w:space="0"/>
              <w:right w:val="single" w:color="auto" w:sz="4" w:space="0"/>
            </w:tcBorders>
            <w:vAlign w:val="center"/>
          </w:tcPr>
          <w:p w14:paraId="22065316">
            <w:pPr>
              <w:widowControl/>
              <w:spacing w:line="240" w:lineRule="auto"/>
              <w:jc w:val="center"/>
              <w:rPr>
                <w:kern w:val="0"/>
                <w:sz w:val="24"/>
                <w:szCs w:val="24"/>
              </w:rPr>
            </w:pPr>
            <w:r>
              <w:rPr>
                <w:kern w:val="0"/>
                <w:sz w:val="24"/>
                <w:szCs w:val="24"/>
              </w:rPr>
              <w:t>4400</w:t>
            </w:r>
          </w:p>
        </w:tc>
        <w:tc>
          <w:tcPr>
            <w:tcW w:w="1395" w:type="dxa"/>
            <w:tcBorders>
              <w:top w:val="nil"/>
              <w:left w:val="nil"/>
              <w:bottom w:val="single" w:color="auto" w:sz="4" w:space="0"/>
              <w:right w:val="single" w:color="auto" w:sz="4" w:space="0"/>
            </w:tcBorders>
            <w:vAlign w:val="center"/>
          </w:tcPr>
          <w:p w14:paraId="741526ED">
            <w:pPr>
              <w:widowControl/>
              <w:spacing w:line="240" w:lineRule="auto"/>
              <w:jc w:val="left"/>
              <w:rPr>
                <w:kern w:val="0"/>
                <w:sz w:val="24"/>
                <w:szCs w:val="24"/>
              </w:rPr>
            </w:pPr>
            <w:r>
              <w:rPr>
                <w:kern w:val="0"/>
                <w:sz w:val="24"/>
                <w:szCs w:val="24"/>
              </w:rPr>
              <w:t>尤溪县人民政府</w:t>
            </w:r>
          </w:p>
        </w:tc>
      </w:tr>
      <w:tr w14:paraId="2380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vAlign w:val="center"/>
          </w:tcPr>
          <w:p w14:paraId="3AE2BED4">
            <w:pPr>
              <w:widowControl/>
              <w:spacing w:line="240" w:lineRule="auto"/>
              <w:jc w:val="left"/>
              <w:rPr>
                <w:b/>
                <w:bCs/>
                <w:color w:val="000000"/>
                <w:kern w:val="0"/>
                <w:sz w:val="24"/>
                <w:szCs w:val="24"/>
              </w:rPr>
            </w:pPr>
            <w:r>
              <w:rPr>
                <w:b/>
                <w:bCs/>
                <w:color w:val="000000"/>
                <w:kern w:val="0"/>
                <w:sz w:val="24"/>
                <w:szCs w:val="24"/>
              </w:rPr>
              <w:t>二</w:t>
            </w:r>
          </w:p>
        </w:tc>
        <w:tc>
          <w:tcPr>
            <w:tcW w:w="6898" w:type="dxa"/>
            <w:gridSpan w:val="2"/>
            <w:tcBorders>
              <w:top w:val="single" w:color="auto" w:sz="4" w:space="0"/>
              <w:left w:val="nil"/>
              <w:bottom w:val="single" w:color="auto" w:sz="4" w:space="0"/>
              <w:right w:val="single" w:color="auto" w:sz="4" w:space="0"/>
            </w:tcBorders>
            <w:vAlign w:val="center"/>
          </w:tcPr>
          <w:p w14:paraId="42206E80">
            <w:pPr>
              <w:widowControl/>
              <w:spacing w:line="240" w:lineRule="auto"/>
              <w:jc w:val="left"/>
              <w:rPr>
                <w:b/>
                <w:bCs/>
                <w:color w:val="000000"/>
                <w:kern w:val="0"/>
                <w:sz w:val="24"/>
                <w:szCs w:val="24"/>
              </w:rPr>
            </w:pPr>
            <w:r>
              <w:rPr>
                <w:b/>
                <w:bCs/>
                <w:color w:val="000000"/>
                <w:kern w:val="0"/>
                <w:sz w:val="24"/>
                <w:szCs w:val="24"/>
              </w:rPr>
              <w:t>加快推进绿色城镇化</w:t>
            </w:r>
          </w:p>
        </w:tc>
        <w:tc>
          <w:tcPr>
            <w:tcW w:w="1256" w:type="dxa"/>
            <w:tcBorders>
              <w:top w:val="nil"/>
              <w:left w:val="nil"/>
              <w:bottom w:val="single" w:color="auto" w:sz="4" w:space="0"/>
              <w:right w:val="single" w:color="auto" w:sz="4" w:space="0"/>
            </w:tcBorders>
            <w:vAlign w:val="center"/>
          </w:tcPr>
          <w:p w14:paraId="2C371AB9">
            <w:pPr>
              <w:widowControl/>
              <w:spacing w:line="240" w:lineRule="auto"/>
              <w:jc w:val="left"/>
              <w:rPr>
                <w:color w:val="000000"/>
                <w:kern w:val="0"/>
                <w:sz w:val="24"/>
                <w:szCs w:val="24"/>
              </w:rPr>
            </w:pPr>
            <w:r>
              <w:rPr>
                <w:color w:val="000000"/>
                <w:kern w:val="0"/>
                <w:sz w:val="24"/>
                <w:szCs w:val="24"/>
              </w:rPr>
              <w:t>　</w:t>
            </w:r>
          </w:p>
        </w:tc>
        <w:tc>
          <w:tcPr>
            <w:tcW w:w="1460" w:type="dxa"/>
            <w:tcBorders>
              <w:top w:val="nil"/>
              <w:left w:val="nil"/>
              <w:bottom w:val="single" w:color="auto" w:sz="4" w:space="0"/>
              <w:right w:val="single" w:color="auto" w:sz="4" w:space="0"/>
            </w:tcBorders>
            <w:vAlign w:val="center"/>
          </w:tcPr>
          <w:p w14:paraId="751FF6E9">
            <w:pPr>
              <w:widowControl/>
              <w:spacing w:line="240" w:lineRule="auto"/>
              <w:jc w:val="center"/>
              <w:rPr>
                <w:rFonts w:ascii="宋体" w:hAnsi="宋体" w:eastAsia="宋体" w:cs="宋体"/>
                <w:color w:val="000000"/>
                <w:sz w:val="22"/>
                <w:szCs w:val="22"/>
              </w:rPr>
            </w:pPr>
            <w:r>
              <w:rPr>
                <w:rFonts w:hint="eastAsia"/>
                <w:kern w:val="0"/>
                <w:sz w:val="24"/>
                <w:szCs w:val="24"/>
              </w:rPr>
              <w:t>4401142</w:t>
            </w:r>
          </w:p>
        </w:tc>
        <w:tc>
          <w:tcPr>
            <w:tcW w:w="1843" w:type="dxa"/>
            <w:tcBorders>
              <w:top w:val="nil"/>
              <w:left w:val="nil"/>
              <w:bottom w:val="single" w:color="auto" w:sz="4" w:space="0"/>
              <w:right w:val="single" w:color="auto" w:sz="4" w:space="0"/>
            </w:tcBorders>
            <w:vAlign w:val="center"/>
          </w:tcPr>
          <w:p w14:paraId="6EBAB5C8">
            <w:pPr>
              <w:widowControl/>
              <w:spacing w:line="240" w:lineRule="auto"/>
              <w:jc w:val="center"/>
              <w:rPr>
                <w:kern w:val="0"/>
                <w:sz w:val="24"/>
                <w:szCs w:val="24"/>
              </w:rPr>
            </w:pPr>
            <w:r>
              <w:rPr>
                <w:rFonts w:hint="eastAsia"/>
                <w:kern w:val="0"/>
                <w:sz w:val="24"/>
                <w:szCs w:val="24"/>
              </w:rPr>
              <w:t>287042</w:t>
            </w:r>
          </w:p>
        </w:tc>
        <w:tc>
          <w:tcPr>
            <w:tcW w:w="1395" w:type="dxa"/>
            <w:tcBorders>
              <w:top w:val="nil"/>
              <w:left w:val="nil"/>
              <w:bottom w:val="single" w:color="auto" w:sz="4" w:space="0"/>
              <w:right w:val="single" w:color="auto" w:sz="4" w:space="0"/>
            </w:tcBorders>
            <w:vAlign w:val="center"/>
          </w:tcPr>
          <w:p w14:paraId="3F0240E2">
            <w:pPr>
              <w:widowControl/>
              <w:spacing w:line="240" w:lineRule="auto"/>
              <w:jc w:val="left"/>
              <w:rPr>
                <w:color w:val="000000"/>
                <w:kern w:val="0"/>
                <w:sz w:val="24"/>
                <w:szCs w:val="24"/>
              </w:rPr>
            </w:pPr>
            <w:r>
              <w:rPr>
                <w:color w:val="000000"/>
                <w:kern w:val="0"/>
                <w:sz w:val="24"/>
                <w:szCs w:val="24"/>
              </w:rPr>
              <w:t>　</w:t>
            </w:r>
          </w:p>
        </w:tc>
      </w:tr>
      <w:tr w14:paraId="2907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040" w:type="dxa"/>
            <w:tcBorders>
              <w:top w:val="nil"/>
              <w:left w:val="single" w:color="auto" w:sz="4" w:space="0"/>
              <w:bottom w:val="single" w:color="auto" w:sz="4" w:space="0"/>
              <w:right w:val="single" w:color="auto" w:sz="4" w:space="0"/>
            </w:tcBorders>
            <w:vAlign w:val="center"/>
          </w:tcPr>
          <w:p w14:paraId="3EE1B09E">
            <w:pPr>
              <w:widowControl/>
              <w:spacing w:line="240" w:lineRule="auto"/>
              <w:jc w:val="center"/>
              <w:rPr>
                <w:kern w:val="0"/>
                <w:sz w:val="24"/>
                <w:szCs w:val="24"/>
              </w:rPr>
            </w:pPr>
            <w:r>
              <w:rPr>
                <w:rFonts w:hint="eastAsia"/>
                <w:kern w:val="0"/>
                <w:sz w:val="24"/>
                <w:szCs w:val="24"/>
              </w:rPr>
              <w:t>13</w:t>
            </w:r>
          </w:p>
        </w:tc>
        <w:tc>
          <w:tcPr>
            <w:tcW w:w="2221" w:type="dxa"/>
            <w:tcBorders>
              <w:top w:val="nil"/>
              <w:left w:val="nil"/>
              <w:bottom w:val="single" w:color="auto" w:sz="4" w:space="0"/>
              <w:right w:val="single" w:color="auto" w:sz="4" w:space="0"/>
            </w:tcBorders>
            <w:vAlign w:val="center"/>
          </w:tcPr>
          <w:p w14:paraId="307291AE">
            <w:pPr>
              <w:widowControl/>
              <w:spacing w:line="240" w:lineRule="auto"/>
              <w:jc w:val="left"/>
              <w:rPr>
                <w:kern w:val="0"/>
                <w:sz w:val="24"/>
                <w:szCs w:val="24"/>
              </w:rPr>
            </w:pPr>
            <w:r>
              <w:rPr>
                <w:kern w:val="0"/>
                <w:sz w:val="24"/>
                <w:szCs w:val="24"/>
              </w:rPr>
              <w:t>永安市公交提升工程</w:t>
            </w:r>
          </w:p>
        </w:tc>
        <w:tc>
          <w:tcPr>
            <w:tcW w:w="4677" w:type="dxa"/>
            <w:tcBorders>
              <w:top w:val="nil"/>
              <w:left w:val="nil"/>
              <w:bottom w:val="single" w:color="auto" w:sz="4" w:space="0"/>
              <w:right w:val="single" w:color="auto" w:sz="4" w:space="0"/>
            </w:tcBorders>
            <w:vAlign w:val="center"/>
          </w:tcPr>
          <w:p w14:paraId="27A8FB9F">
            <w:pPr>
              <w:widowControl/>
              <w:spacing w:line="240" w:lineRule="auto"/>
              <w:jc w:val="left"/>
              <w:rPr>
                <w:kern w:val="0"/>
                <w:sz w:val="24"/>
                <w:szCs w:val="24"/>
              </w:rPr>
            </w:pPr>
            <w:r>
              <w:rPr>
                <w:kern w:val="0"/>
                <w:sz w:val="24"/>
                <w:szCs w:val="24"/>
              </w:rPr>
              <w:t>公交原址扩建，建设停车场、维修车间及办证、监控、点钞等其他办公场所；采购新能源汽车，继续推进自助微公交项目；建设北互通、高铁南站公交首末站，新增部分公交站点</w:t>
            </w:r>
          </w:p>
        </w:tc>
        <w:tc>
          <w:tcPr>
            <w:tcW w:w="1256" w:type="dxa"/>
            <w:tcBorders>
              <w:top w:val="nil"/>
              <w:left w:val="nil"/>
              <w:bottom w:val="single" w:color="auto" w:sz="4" w:space="0"/>
              <w:right w:val="single" w:color="auto" w:sz="4" w:space="0"/>
            </w:tcBorders>
            <w:vAlign w:val="center"/>
          </w:tcPr>
          <w:p w14:paraId="012A92DB">
            <w:pPr>
              <w:widowControl/>
              <w:spacing w:line="240" w:lineRule="auto"/>
              <w:jc w:val="center"/>
              <w:rPr>
                <w:kern w:val="0"/>
                <w:sz w:val="24"/>
                <w:szCs w:val="24"/>
              </w:rPr>
            </w:pPr>
            <w:r>
              <w:rPr>
                <w:kern w:val="0"/>
                <w:sz w:val="24"/>
                <w:szCs w:val="24"/>
              </w:rPr>
              <w:t>2017-2018</w:t>
            </w:r>
          </w:p>
        </w:tc>
        <w:tc>
          <w:tcPr>
            <w:tcW w:w="1460" w:type="dxa"/>
            <w:tcBorders>
              <w:top w:val="nil"/>
              <w:left w:val="nil"/>
              <w:bottom w:val="single" w:color="auto" w:sz="4" w:space="0"/>
              <w:right w:val="single" w:color="auto" w:sz="4" w:space="0"/>
            </w:tcBorders>
            <w:vAlign w:val="center"/>
          </w:tcPr>
          <w:p w14:paraId="45946261">
            <w:pPr>
              <w:widowControl/>
              <w:spacing w:line="240" w:lineRule="auto"/>
              <w:jc w:val="center"/>
              <w:rPr>
                <w:kern w:val="0"/>
                <w:sz w:val="24"/>
                <w:szCs w:val="24"/>
              </w:rPr>
            </w:pPr>
            <w:r>
              <w:rPr>
                <w:kern w:val="0"/>
                <w:sz w:val="24"/>
                <w:szCs w:val="24"/>
              </w:rPr>
              <w:t xml:space="preserve">11000 </w:t>
            </w:r>
          </w:p>
        </w:tc>
        <w:tc>
          <w:tcPr>
            <w:tcW w:w="1843" w:type="dxa"/>
            <w:tcBorders>
              <w:top w:val="nil"/>
              <w:left w:val="nil"/>
              <w:bottom w:val="single" w:color="auto" w:sz="4" w:space="0"/>
              <w:right w:val="single" w:color="auto" w:sz="4" w:space="0"/>
            </w:tcBorders>
            <w:vAlign w:val="center"/>
          </w:tcPr>
          <w:p w14:paraId="2544393B">
            <w:pPr>
              <w:widowControl/>
              <w:spacing w:line="240" w:lineRule="auto"/>
              <w:jc w:val="center"/>
              <w:rPr>
                <w:kern w:val="0"/>
                <w:sz w:val="24"/>
                <w:szCs w:val="24"/>
              </w:rPr>
            </w:pPr>
            <w:r>
              <w:rPr>
                <w:kern w:val="0"/>
                <w:sz w:val="24"/>
                <w:szCs w:val="24"/>
              </w:rPr>
              <w:t xml:space="preserve">5000 </w:t>
            </w:r>
          </w:p>
        </w:tc>
        <w:tc>
          <w:tcPr>
            <w:tcW w:w="1395" w:type="dxa"/>
            <w:tcBorders>
              <w:top w:val="nil"/>
              <w:left w:val="nil"/>
              <w:bottom w:val="single" w:color="auto" w:sz="4" w:space="0"/>
              <w:right w:val="single" w:color="auto" w:sz="4" w:space="0"/>
            </w:tcBorders>
            <w:vAlign w:val="center"/>
          </w:tcPr>
          <w:p w14:paraId="62E86D8F">
            <w:pPr>
              <w:widowControl/>
              <w:spacing w:line="240" w:lineRule="auto"/>
              <w:jc w:val="left"/>
              <w:rPr>
                <w:kern w:val="0"/>
                <w:sz w:val="24"/>
                <w:szCs w:val="24"/>
              </w:rPr>
            </w:pPr>
            <w:r>
              <w:rPr>
                <w:kern w:val="0"/>
                <w:sz w:val="24"/>
                <w:szCs w:val="24"/>
              </w:rPr>
              <w:t>永安市人民政府</w:t>
            </w:r>
          </w:p>
        </w:tc>
      </w:tr>
      <w:tr w14:paraId="77C8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1040" w:type="dxa"/>
            <w:tcBorders>
              <w:top w:val="nil"/>
              <w:left w:val="single" w:color="auto" w:sz="4" w:space="0"/>
              <w:bottom w:val="single" w:color="auto" w:sz="4" w:space="0"/>
              <w:right w:val="single" w:color="auto" w:sz="4" w:space="0"/>
            </w:tcBorders>
            <w:vAlign w:val="center"/>
          </w:tcPr>
          <w:p w14:paraId="3F7D9BB0">
            <w:pPr>
              <w:widowControl/>
              <w:spacing w:line="240" w:lineRule="auto"/>
              <w:jc w:val="center"/>
              <w:rPr>
                <w:kern w:val="0"/>
                <w:sz w:val="24"/>
                <w:szCs w:val="24"/>
              </w:rPr>
            </w:pPr>
            <w:r>
              <w:rPr>
                <w:rFonts w:hint="eastAsia"/>
                <w:kern w:val="0"/>
                <w:sz w:val="24"/>
                <w:szCs w:val="24"/>
              </w:rPr>
              <w:t>14</w:t>
            </w:r>
          </w:p>
        </w:tc>
        <w:tc>
          <w:tcPr>
            <w:tcW w:w="2221" w:type="dxa"/>
            <w:tcBorders>
              <w:top w:val="nil"/>
              <w:left w:val="nil"/>
              <w:bottom w:val="single" w:color="auto" w:sz="4" w:space="0"/>
              <w:right w:val="single" w:color="auto" w:sz="4" w:space="0"/>
            </w:tcBorders>
            <w:vAlign w:val="center"/>
          </w:tcPr>
          <w:p w14:paraId="4A10DD8D">
            <w:pPr>
              <w:widowControl/>
              <w:spacing w:line="240" w:lineRule="auto"/>
              <w:jc w:val="left"/>
              <w:rPr>
                <w:kern w:val="0"/>
                <w:sz w:val="24"/>
                <w:szCs w:val="24"/>
              </w:rPr>
            </w:pPr>
            <w:r>
              <w:rPr>
                <w:kern w:val="0"/>
                <w:sz w:val="24"/>
                <w:szCs w:val="24"/>
              </w:rPr>
              <w:t>泰宁县城市交通综合枢纽建设项目</w:t>
            </w:r>
          </w:p>
        </w:tc>
        <w:tc>
          <w:tcPr>
            <w:tcW w:w="4677" w:type="dxa"/>
            <w:tcBorders>
              <w:top w:val="nil"/>
              <w:left w:val="nil"/>
              <w:bottom w:val="single" w:color="auto" w:sz="4" w:space="0"/>
              <w:right w:val="single" w:color="auto" w:sz="4" w:space="0"/>
            </w:tcBorders>
            <w:vAlign w:val="center"/>
          </w:tcPr>
          <w:p w14:paraId="4B45396C">
            <w:pPr>
              <w:widowControl/>
              <w:spacing w:line="240" w:lineRule="auto"/>
              <w:jc w:val="left"/>
              <w:rPr>
                <w:kern w:val="0"/>
                <w:sz w:val="24"/>
                <w:szCs w:val="24"/>
              </w:rPr>
            </w:pPr>
            <w:r>
              <w:rPr>
                <w:kern w:val="0"/>
                <w:sz w:val="24"/>
                <w:szCs w:val="24"/>
              </w:rPr>
              <w:t>总建筑面积1万平方米,主要建设城市公交总站1座，汽车服务中心1座，公交首末站1座，并建设1.3万平方米的停车场</w:t>
            </w:r>
          </w:p>
        </w:tc>
        <w:tc>
          <w:tcPr>
            <w:tcW w:w="1256" w:type="dxa"/>
            <w:tcBorders>
              <w:top w:val="nil"/>
              <w:left w:val="nil"/>
              <w:bottom w:val="single" w:color="auto" w:sz="4" w:space="0"/>
              <w:right w:val="single" w:color="auto" w:sz="4" w:space="0"/>
            </w:tcBorders>
            <w:vAlign w:val="center"/>
          </w:tcPr>
          <w:p w14:paraId="479BE1D4">
            <w:pPr>
              <w:widowControl/>
              <w:spacing w:line="240" w:lineRule="auto"/>
              <w:jc w:val="center"/>
              <w:rPr>
                <w:kern w:val="0"/>
                <w:sz w:val="24"/>
                <w:szCs w:val="24"/>
              </w:rPr>
            </w:pPr>
            <w:r>
              <w:rPr>
                <w:kern w:val="0"/>
                <w:sz w:val="24"/>
                <w:szCs w:val="24"/>
              </w:rPr>
              <w:t>2017-2020</w:t>
            </w:r>
          </w:p>
        </w:tc>
        <w:tc>
          <w:tcPr>
            <w:tcW w:w="1460" w:type="dxa"/>
            <w:tcBorders>
              <w:top w:val="nil"/>
              <w:left w:val="nil"/>
              <w:bottom w:val="single" w:color="auto" w:sz="4" w:space="0"/>
              <w:right w:val="single" w:color="auto" w:sz="4" w:space="0"/>
            </w:tcBorders>
            <w:vAlign w:val="center"/>
          </w:tcPr>
          <w:p w14:paraId="5991985B">
            <w:pPr>
              <w:widowControl/>
              <w:spacing w:line="240" w:lineRule="auto"/>
              <w:jc w:val="center"/>
              <w:rPr>
                <w:kern w:val="0"/>
                <w:sz w:val="24"/>
                <w:szCs w:val="24"/>
              </w:rPr>
            </w:pPr>
            <w:r>
              <w:rPr>
                <w:kern w:val="0"/>
                <w:sz w:val="24"/>
                <w:szCs w:val="24"/>
              </w:rPr>
              <w:t xml:space="preserve">15200 </w:t>
            </w:r>
          </w:p>
        </w:tc>
        <w:tc>
          <w:tcPr>
            <w:tcW w:w="1843" w:type="dxa"/>
            <w:tcBorders>
              <w:top w:val="nil"/>
              <w:left w:val="nil"/>
              <w:bottom w:val="single" w:color="auto" w:sz="4" w:space="0"/>
              <w:right w:val="single" w:color="auto" w:sz="4" w:space="0"/>
            </w:tcBorders>
            <w:vAlign w:val="center"/>
          </w:tcPr>
          <w:p w14:paraId="3CE97556">
            <w:pPr>
              <w:widowControl/>
              <w:spacing w:line="240" w:lineRule="auto"/>
              <w:jc w:val="center"/>
              <w:rPr>
                <w:kern w:val="0"/>
                <w:sz w:val="24"/>
                <w:szCs w:val="24"/>
              </w:rPr>
            </w:pPr>
            <w:r>
              <w:rPr>
                <w:kern w:val="0"/>
                <w:sz w:val="24"/>
                <w:szCs w:val="24"/>
              </w:rPr>
              <w:t xml:space="preserve">13700 </w:t>
            </w:r>
          </w:p>
        </w:tc>
        <w:tc>
          <w:tcPr>
            <w:tcW w:w="1395" w:type="dxa"/>
            <w:tcBorders>
              <w:top w:val="nil"/>
              <w:left w:val="nil"/>
              <w:bottom w:val="single" w:color="auto" w:sz="4" w:space="0"/>
              <w:right w:val="single" w:color="auto" w:sz="4" w:space="0"/>
            </w:tcBorders>
            <w:vAlign w:val="center"/>
          </w:tcPr>
          <w:p w14:paraId="124B0587">
            <w:pPr>
              <w:widowControl/>
              <w:spacing w:line="240" w:lineRule="auto"/>
              <w:jc w:val="left"/>
              <w:rPr>
                <w:kern w:val="0"/>
                <w:sz w:val="24"/>
                <w:szCs w:val="24"/>
              </w:rPr>
            </w:pPr>
            <w:r>
              <w:rPr>
                <w:kern w:val="0"/>
                <w:sz w:val="24"/>
                <w:szCs w:val="24"/>
              </w:rPr>
              <w:t>泰宁县人民政府</w:t>
            </w:r>
          </w:p>
        </w:tc>
      </w:tr>
      <w:tr w14:paraId="67AE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40" w:type="dxa"/>
            <w:tcBorders>
              <w:top w:val="nil"/>
              <w:left w:val="single" w:color="auto" w:sz="4" w:space="0"/>
              <w:bottom w:val="single" w:color="auto" w:sz="4" w:space="0"/>
              <w:right w:val="single" w:color="auto" w:sz="4" w:space="0"/>
            </w:tcBorders>
            <w:vAlign w:val="center"/>
          </w:tcPr>
          <w:p w14:paraId="0D9E00FB">
            <w:pPr>
              <w:widowControl/>
              <w:spacing w:line="240" w:lineRule="auto"/>
              <w:jc w:val="center"/>
              <w:rPr>
                <w:kern w:val="0"/>
                <w:sz w:val="24"/>
                <w:szCs w:val="24"/>
              </w:rPr>
            </w:pPr>
            <w:r>
              <w:rPr>
                <w:rFonts w:hint="eastAsia"/>
                <w:kern w:val="0"/>
                <w:sz w:val="24"/>
                <w:szCs w:val="24"/>
              </w:rPr>
              <w:t>15</w:t>
            </w:r>
          </w:p>
        </w:tc>
        <w:tc>
          <w:tcPr>
            <w:tcW w:w="2221" w:type="dxa"/>
            <w:tcBorders>
              <w:top w:val="nil"/>
              <w:left w:val="nil"/>
              <w:bottom w:val="single" w:color="auto" w:sz="4" w:space="0"/>
              <w:right w:val="single" w:color="auto" w:sz="4" w:space="0"/>
            </w:tcBorders>
            <w:vAlign w:val="center"/>
          </w:tcPr>
          <w:p w14:paraId="47134DA8">
            <w:pPr>
              <w:widowControl/>
              <w:spacing w:line="240" w:lineRule="auto"/>
              <w:jc w:val="left"/>
              <w:rPr>
                <w:kern w:val="0"/>
                <w:sz w:val="24"/>
                <w:szCs w:val="24"/>
              </w:rPr>
            </w:pPr>
            <w:r>
              <w:rPr>
                <w:kern w:val="0"/>
                <w:sz w:val="24"/>
                <w:szCs w:val="24"/>
              </w:rPr>
              <w:t>福建明溪湿地公园建设项目</w:t>
            </w:r>
          </w:p>
        </w:tc>
        <w:tc>
          <w:tcPr>
            <w:tcW w:w="4677" w:type="dxa"/>
            <w:tcBorders>
              <w:top w:val="nil"/>
              <w:left w:val="nil"/>
              <w:bottom w:val="single" w:color="auto" w:sz="4" w:space="0"/>
              <w:right w:val="single" w:color="auto" w:sz="4" w:space="0"/>
            </w:tcBorders>
            <w:vAlign w:val="center"/>
          </w:tcPr>
          <w:p w14:paraId="52881E13">
            <w:pPr>
              <w:widowControl/>
              <w:spacing w:line="240" w:lineRule="auto"/>
              <w:jc w:val="left"/>
              <w:rPr>
                <w:kern w:val="0"/>
                <w:sz w:val="24"/>
                <w:szCs w:val="24"/>
              </w:rPr>
            </w:pPr>
            <w:r>
              <w:rPr>
                <w:kern w:val="0"/>
                <w:sz w:val="24"/>
                <w:szCs w:val="24"/>
              </w:rPr>
              <w:t>建设集保护和休闲观光的湿地公园1.7公顷</w:t>
            </w:r>
          </w:p>
        </w:tc>
        <w:tc>
          <w:tcPr>
            <w:tcW w:w="1256" w:type="dxa"/>
            <w:tcBorders>
              <w:top w:val="nil"/>
              <w:left w:val="nil"/>
              <w:bottom w:val="single" w:color="auto" w:sz="4" w:space="0"/>
              <w:right w:val="single" w:color="auto" w:sz="4" w:space="0"/>
            </w:tcBorders>
            <w:vAlign w:val="center"/>
          </w:tcPr>
          <w:p w14:paraId="6912A6D6">
            <w:pPr>
              <w:widowControl/>
              <w:spacing w:line="240" w:lineRule="auto"/>
              <w:jc w:val="center"/>
              <w:rPr>
                <w:kern w:val="0"/>
                <w:sz w:val="24"/>
                <w:szCs w:val="24"/>
              </w:rPr>
            </w:pPr>
            <w:r>
              <w:rPr>
                <w:kern w:val="0"/>
                <w:sz w:val="24"/>
                <w:szCs w:val="24"/>
              </w:rPr>
              <w:t>2018-2020</w:t>
            </w:r>
          </w:p>
        </w:tc>
        <w:tc>
          <w:tcPr>
            <w:tcW w:w="1460" w:type="dxa"/>
            <w:tcBorders>
              <w:top w:val="nil"/>
              <w:left w:val="nil"/>
              <w:bottom w:val="single" w:color="auto" w:sz="4" w:space="0"/>
              <w:right w:val="single" w:color="auto" w:sz="4" w:space="0"/>
            </w:tcBorders>
            <w:vAlign w:val="center"/>
          </w:tcPr>
          <w:p w14:paraId="74F655FF">
            <w:pPr>
              <w:widowControl/>
              <w:spacing w:line="240" w:lineRule="auto"/>
              <w:jc w:val="center"/>
              <w:rPr>
                <w:kern w:val="0"/>
                <w:sz w:val="24"/>
                <w:szCs w:val="24"/>
              </w:rPr>
            </w:pPr>
            <w:r>
              <w:rPr>
                <w:kern w:val="0"/>
                <w:sz w:val="24"/>
                <w:szCs w:val="24"/>
              </w:rPr>
              <w:t xml:space="preserve">15000 </w:t>
            </w:r>
          </w:p>
        </w:tc>
        <w:tc>
          <w:tcPr>
            <w:tcW w:w="1843" w:type="dxa"/>
            <w:tcBorders>
              <w:top w:val="nil"/>
              <w:left w:val="nil"/>
              <w:bottom w:val="single" w:color="auto" w:sz="4" w:space="0"/>
              <w:right w:val="single" w:color="auto" w:sz="4" w:space="0"/>
            </w:tcBorders>
            <w:vAlign w:val="center"/>
          </w:tcPr>
          <w:p w14:paraId="00060A27">
            <w:pPr>
              <w:widowControl/>
              <w:spacing w:line="240" w:lineRule="auto"/>
              <w:jc w:val="center"/>
              <w:rPr>
                <w:kern w:val="0"/>
                <w:sz w:val="24"/>
                <w:szCs w:val="24"/>
              </w:rPr>
            </w:pPr>
            <w:r>
              <w:rPr>
                <w:kern w:val="0"/>
                <w:sz w:val="24"/>
                <w:szCs w:val="24"/>
              </w:rPr>
              <w:t xml:space="preserve">15000 </w:t>
            </w:r>
          </w:p>
        </w:tc>
        <w:tc>
          <w:tcPr>
            <w:tcW w:w="1395" w:type="dxa"/>
            <w:tcBorders>
              <w:top w:val="nil"/>
              <w:left w:val="nil"/>
              <w:bottom w:val="single" w:color="auto" w:sz="4" w:space="0"/>
              <w:right w:val="single" w:color="auto" w:sz="4" w:space="0"/>
            </w:tcBorders>
            <w:vAlign w:val="center"/>
          </w:tcPr>
          <w:p w14:paraId="65658E98">
            <w:pPr>
              <w:widowControl/>
              <w:spacing w:line="240" w:lineRule="auto"/>
              <w:jc w:val="left"/>
              <w:rPr>
                <w:kern w:val="0"/>
                <w:sz w:val="24"/>
                <w:szCs w:val="24"/>
              </w:rPr>
            </w:pPr>
            <w:r>
              <w:rPr>
                <w:kern w:val="0"/>
                <w:sz w:val="24"/>
                <w:szCs w:val="24"/>
              </w:rPr>
              <w:t>明溪县人民政府</w:t>
            </w:r>
          </w:p>
        </w:tc>
      </w:tr>
      <w:tr w14:paraId="3212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040" w:type="dxa"/>
            <w:tcBorders>
              <w:top w:val="nil"/>
              <w:left w:val="single" w:color="auto" w:sz="4" w:space="0"/>
              <w:bottom w:val="single" w:color="auto" w:sz="4" w:space="0"/>
              <w:right w:val="single" w:color="auto" w:sz="4" w:space="0"/>
            </w:tcBorders>
            <w:vAlign w:val="center"/>
          </w:tcPr>
          <w:p w14:paraId="7347D1CC">
            <w:pPr>
              <w:widowControl/>
              <w:spacing w:line="240" w:lineRule="auto"/>
              <w:jc w:val="center"/>
              <w:rPr>
                <w:kern w:val="0"/>
                <w:sz w:val="24"/>
                <w:szCs w:val="24"/>
              </w:rPr>
            </w:pPr>
            <w:r>
              <w:rPr>
                <w:rFonts w:hint="eastAsia"/>
                <w:kern w:val="0"/>
                <w:sz w:val="24"/>
                <w:szCs w:val="24"/>
              </w:rPr>
              <w:t>16</w:t>
            </w:r>
          </w:p>
        </w:tc>
        <w:tc>
          <w:tcPr>
            <w:tcW w:w="2221" w:type="dxa"/>
            <w:tcBorders>
              <w:top w:val="nil"/>
              <w:left w:val="nil"/>
              <w:bottom w:val="single" w:color="auto" w:sz="4" w:space="0"/>
              <w:right w:val="single" w:color="auto" w:sz="4" w:space="0"/>
            </w:tcBorders>
            <w:vAlign w:val="center"/>
          </w:tcPr>
          <w:p w14:paraId="0E154EE5">
            <w:pPr>
              <w:widowControl/>
              <w:spacing w:line="240" w:lineRule="auto"/>
              <w:jc w:val="left"/>
              <w:rPr>
                <w:kern w:val="0"/>
                <w:sz w:val="24"/>
                <w:szCs w:val="24"/>
              </w:rPr>
            </w:pPr>
            <w:r>
              <w:rPr>
                <w:kern w:val="0"/>
                <w:sz w:val="24"/>
                <w:szCs w:val="24"/>
              </w:rPr>
              <w:t>明溪生活垃圾分类减量化资源化利用项目</w:t>
            </w:r>
          </w:p>
        </w:tc>
        <w:tc>
          <w:tcPr>
            <w:tcW w:w="4677" w:type="dxa"/>
            <w:tcBorders>
              <w:top w:val="nil"/>
              <w:left w:val="nil"/>
              <w:bottom w:val="single" w:color="auto" w:sz="4" w:space="0"/>
              <w:right w:val="single" w:color="auto" w:sz="4" w:space="0"/>
            </w:tcBorders>
            <w:vAlign w:val="center"/>
          </w:tcPr>
          <w:p w14:paraId="4DF7E4E9">
            <w:pPr>
              <w:widowControl/>
              <w:spacing w:line="240" w:lineRule="auto"/>
              <w:jc w:val="left"/>
              <w:rPr>
                <w:kern w:val="0"/>
                <w:sz w:val="24"/>
                <w:szCs w:val="24"/>
              </w:rPr>
            </w:pPr>
            <w:r>
              <w:rPr>
                <w:kern w:val="0"/>
                <w:sz w:val="24"/>
                <w:szCs w:val="24"/>
              </w:rPr>
              <w:t>总建筑面积3500平方米，建设垃圾转运系统、阳光堆肥房，采购垃圾分类收运处置设备，日减量化资源化农村生活垃圾1.5万吨</w:t>
            </w:r>
          </w:p>
        </w:tc>
        <w:tc>
          <w:tcPr>
            <w:tcW w:w="1256" w:type="dxa"/>
            <w:tcBorders>
              <w:top w:val="nil"/>
              <w:left w:val="nil"/>
              <w:bottom w:val="single" w:color="auto" w:sz="4" w:space="0"/>
              <w:right w:val="single" w:color="auto" w:sz="4" w:space="0"/>
            </w:tcBorders>
            <w:vAlign w:val="center"/>
          </w:tcPr>
          <w:p w14:paraId="0B758338">
            <w:pPr>
              <w:widowControl/>
              <w:spacing w:line="240" w:lineRule="auto"/>
              <w:jc w:val="center"/>
              <w:rPr>
                <w:kern w:val="0"/>
                <w:sz w:val="24"/>
                <w:szCs w:val="24"/>
              </w:rPr>
            </w:pPr>
            <w:r>
              <w:rPr>
                <w:kern w:val="0"/>
                <w:sz w:val="24"/>
                <w:szCs w:val="24"/>
              </w:rPr>
              <w:t>2018-2020</w:t>
            </w:r>
          </w:p>
        </w:tc>
        <w:tc>
          <w:tcPr>
            <w:tcW w:w="1460" w:type="dxa"/>
            <w:tcBorders>
              <w:top w:val="nil"/>
              <w:left w:val="nil"/>
              <w:bottom w:val="single" w:color="auto" w:sz="4" w:space="0"/>
              <w:right w:val="single" w:color="auto" w:sz="4" w:space="0"/>
            </w:tcBorders>
            <w:vAlign w:val="center"/>
          </w:tcPr>
          <w:p w14:paraId="281D57E3">
            <w:pPr>
              <w:widowControl/>
              <w:spacing w:line="240" w:lineRule="auto"/>
              <w:jc w:val="center"/>
              <w:rPr>
                <w:kern w:val="0"/>
                <w:sz w:val="24"/>
                <w:szCs w:val="24"/>
              </w:rPr>
            </w:pPr>
            <w:r>
              <w:rPr>
                <w:kern w:val="0"/>
                <w:sz w:val="24"/>
                <w:szCs w:val="24"/>
              </w:rPr>
              <w:t xml:space="preserve">14000 </w:t>
            </w:r>
          </w:p>
        </w:tc>
        <w:tc>
          <w:tcPr>
            <w:tcW w:w="1843" w:type="dxa"/>
            <w:tcBorders>
              <w:top w:val="nil"/>
              <w:left w:val="nil"/>
              <w:bottom w:val="single" w:color="auto" w:sz="4" w:space="0"/>
              <w:right w:val="single" w:color="auto" w:sz="4" w:space="0"/>
            </w:tcBorders>
            <w:vAlign w:val="center"/>
          </w:tcPr>
          <w:p w14:paraId="328E632E">
            <w:pPr>
              <w:widowControl/>
              <w:spacing w:line="240" w:lineRule="auto"/>
              <w:jc w:val="center"/>
              <w:rPr>
                <w:kern w:val="0"/>
                <w:sz w:val="24"/>
                <w:szCs w:val="24"/>
              </w:rPr>
            </w:pPr>
            <w:r>
              <w:rPr>
                <w:kern w:val="0"/>
                <w:sz w:val="24"/>
                <w:szCs w:val="24"/>
              </w:rPr>
              <w:t xml:space="preserve">14000 </w:t>
            </w:r>
          </w:p>
        </w:tc>
        <w:tc>
          <w:tcPr>
            <w:tcW w:w="1395" w:type="dxa"/>
            <w:tcBorders>
              <w:top w:val="nil"/>
              <w:left w:val="nil"/>
              <w:bottom w:val="single" w:color="auto" w:sz="4" w:space="0"/>
              <w:right w:val="single" w:color="auto" w:sz="4" w:space="0"/>
            </w:tcBorders>
            <w:vAlign w:val="center"/>
          </w:tcPr>
          <w:p w14:paraId="1E7EFC81">
            <w:pPr>
              <w:widowControl/>
              <w:spacing w:line="240" w:lineRule="auto"/>
              <w:jc w:val="left"/>
              <w:rPr>
                <w:kern w:val="0"/>
                <w:sz w:val="24"/>
                <w:szCs w:val="24"/>
              </w:rPr>
            </w:pPr>
            <w:r>
              <w:rPr>
                <w:kern w:val="0"/>
                <w:sz w:val="24"/>
                <w:szCs w:val="24"/>
              </w:rPr>
              <w:t>明溪县人民政府</w:t>
            </w:r>
          </w:p>
        </w:tc>
      </w:tr>
      <w:tr w14:paraId="015A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040" w:type="dxa"/>
            <w:tcBorders>
              <w:top w:val="nil"/>
              <w:left w:val="single" w:color="auto" w:sz="4" w:space="0"/>
              <w:bottom w:val="single" w:color="auto" w:sz="4" w:space="0"/>
              <w:right w:val="single" w:color="auto" w:sz="4" w:space="0"/>
            </w:tcBorders>
            <w:vAlign w:val="center"/>
          </w:tcPr>
          <w:p w14:paraId="7439BF80">
            <w:pPr>
              <w:widowControl/>
              <w:spacing w:line="240" w:lineRule="auto"/>
              <w:jc w:val="center"/>
              <w:rPr>
                <w:kern w:val="0"/>
                <w:sz w:val="24"/>
                <w:szCs w:val="24"/>
              </w:rPr>
            </w:pPr>
            <w:r>
              <w:rPr>
                <w:rFonts w:hint="eastAsia"/>
                <w:kern w:val="0"/>
                <w:sz w:val="24"/>
                <w:szCs w:val="24"/>
              </w:rPr>
              <w:t>17</w:t>
            </w:r>
          </w:p>
        </w:tc>
        <w:tc>
          <w:tcPr>
            <w:tcW w:w="2221" w:type="dxa"/>
            <w:tcBorders>
              <w:top w:val="nil"/>
              <w:left w:val="nil"/>
              <w:bottom w:val="single" w:color="auto" w:sz="4" w:space="0"/>
              <w:right w:val="single" w:color="auto" w:sz="4" w:space="0"/>
            </w:tcBorders>
            <w:vAlign w:val="center"/>
          </w:tcPr>
          <w:p w14:paraId="614DB057">
            <w:pPr>
              <w:widowControl/>
              <w:spacing w:line="240" w:lineRule="auto"/>
              <w:jc w:val="left"/>
              <w:rPr>
                <w:kern w:val="0"/>
                <w:sz w:val="24"/>
                <w:szCs w:val="24"/>
              </w:rPr>
            </w:pPr>
            <w:r>
              <w:rPr>
                <w:kern w:val="0"/>
                <w:sz w:val="24"/>
                <w:szCs w:val="24"/>
              </w:rPr>
              <w:t>清流城区至宁化交界处绿道建设项目</w:t>
            </w:r>
          </w:p>
        </w:tc>
        <w:tc>
          <w:tcPr>
            <w:tcW w:w="4677" w:type="dxa"/>
            <w:tcBorders>
              <w:top w:val="nil"/>
              <w:left w:val="nil"/>
              <w:bottom w:val="single" w:color="auto" w:sz="4" w:space="0"/>
              <w:right w:val="single" w:color="auto" w:sz="4" w:space="0"/>
            </w:tcBorders>
            <w:vAlign w:val="center"/>
          </w:tcPr>
          <w:p w14:paraId="5175CD42">
            <w:pPr>
              <w:widowControl/>
              <w:spacing w:line="240" w:lineRule="auto"/>
              <w:jc w:val="left"/>
              <w:rPr>
                <w:kern w:val="0"/>
                <w:sz w:val="24"/>
                <w:szCs w:val="24"/>
              </w:rPr>
            </w:pPr>
            <w:r>
              <w:rPr>
                <w:kern w:val="0"/>
                <w:sz w:val="24"/>
                <w:szCs w:val="24"/>
              </w:rPr>
              <w:t>全长18公里，宽度13.5米（其中：主道路面宽8.5米，自行车道宽2.5米，绿化分隔带宽2.5米），配套建设标识牌、驿站、景观绿化带等工程</w:t>
            </w:r>
          </w:p>
        </w:tc>
        <w:tc>
          <w:tcPr>
            <w:tcW w:w="1256" w:type="dxa"/>
            <w:tcBorders>
              <w:top w:val="nil"/>
              <w:left w:val="nil"/>
              <w:bottom w:val="single" w:color="auto" w:sz="4" w:space="0"/>
              <w:right w:val="single" w:color="auto" w:sz="4" w:space="0"/>
            </w:tcBorders>
            <w:vAlign w:val="center"/>
          </w:tcPr>
          <w:p w14:paraId="2E224CB7">
            <w:pPr>
              <w:widowControl/>
              <w:spacing w:line="240" w:lineRule="auto"/>
              <w:jc w:val="center"/>
              <w:rPr>
                <w:kern w:val="0"/>
                <w:sz w:val="24"/>
                <w:szCs w:val="24"/>
              </w:rPr>
            </w:pPr>
            <w:r>
              <w:rPr>
                <w:kern w:val="0"/>
                <w:sz w:val="24"/>
                <w:szCs w:val="24"/>
              </w:rPr>
              <w:t>2018-2020</w:t>
            </w:r>
          </w:p>
        </w:tc>
        <w:tc>
          <w:tcPr>
            <w:tcW w:w="1460" w:type="dxa"/>
            <w:tcBorders>
              <w:top w:val="nil"/>
              <w:left w:val="nil"/>
              <w:bottom w:val="single" w:color="auto" w:sz="4" w:space="0"/>
              <w:right w:val="single" w:color="auto" w:sz="4" w:space="0"/>
            </w:tcBorders>
            <w:vAlign w:val="center"/>
          </w:tcPr>
          <w:p w14:paraId="3A7BD4CC">
            <w:pPr>
              <w:widowControl/>
              <w:spacing w:line="240" w:lineRule="auto"/>
              <w:jc w:val="center"/>
              <w:rPr>
                <w:kern w:val="0"/>
                <w:sz w:val="24"/>
                <w:szCs w:val="24"/>
              </w:rPr>
            </w:pPr>
            <w:r>
              <w:rPr>
                <w:kern w:val="0"/>
                <w:sz w:val="24"/>
                <w:szCs w:val="24"/>
              </w:rPr>
              <w:t xml:space="preserve">20000 </w:t>
            </w:r>
          </w:p>
        </w:tc>
        <w:tc>
          <w:tcPr>
            <w:tcW w:w="1843" w:type="dxa"/>
            <w:tcBorders>
              <w:top w:val="nil"/>
              <w:left w:val="nil"/>
              <w:bottom w:val="single" w:color="auto" w:sz="4" w:space="0"/>
              <w:right w:val="single" w:color="auto" w:sz="4" w:space="0"/>
            </w:tcBorders>
            <w:vAlign w:val="center"/>
          </w:tcPr>
          <w:p w14:paraId="2475F3CD">
            <w:pPr>
              <w:widowControl/>
              <w:spacing w:line="240" w:lineRule="auto"/>
              <w:jc w:val="center"/>
              <w:rPr>
                <w:kern w:val="0"/>
                <w:sz w:val="24"/>
                <w:szCs w:val="24"/>
              </w:rPr>
            </w:pPr>
            <w:r>
              <w:rPr>
                <w:kern w:val="0"/>
                <w:sz w:val="24"/>
                <w:szCs w:val="24"/>
              </w:rPr>
              <w:t xml:space="preserve">15000 </w:t>
            </w:r>
          </w:p>
        </w:tc>
        <w:tc>
          <w:tcPr>
            <w:tcW w:w="1395" w:type="dxa"/>
            <w:tcBorders>
              <w:top w:val="nil"/>
              <w:left w:val="nil"/>
              <w:bottom w:val="single" w:color="auto" w:sz="4" w:space="0"/>
              <w:right w:val="single" w:color="auto" w:sz="4" w:space="0"/>
            </w:tcBorders>
            <w:vAlign w:val="center"/>
          </w:tcPr>
          <w:p w14:paraId="2B1FFFB4">
            <w:pPr>
              <w:widowControl/>
              <w:spacing w:line="240" w:lineRule="auto"/>
              <w:jc w:val="left"/>
              <w:rPr>
                <w:kern w:val="0"/>
                <w:sz w:val="24"/>
                <w:szCs w:val="24"/>
              </w:rPr>
            </w:pPr>
            <w:r>
              <w:rPr>
                <w:kern w:val="0"/>
                <w:sz w:val="24"/>
                <w:szCs w:val="24"/>
              </w:rPr>
              <w:t>清流县人民政府</w:t>
            </w:r>
          </w:p>
        </w:tc>
      </w:tr>
      <w:tr w14:paraId="7B5E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40" w:type="dxa"/>
            <w:tcBorders>
              <w:top w:val="nil"/>
              <w:left w:val="single" w:color="auto" w:sz="4" w:space="0"/>
              <w:bottom w:val="single" w:color="auto" w:sz="4" w:space="0"/>
              <w:right w:val="single" w:color="auto" w:sz="4" w:space="0"/>
            </w:tcBorders>
            <w:vAlign w:val="center"/>
          </w:tcPr>
          <w:p w14:paraId="64E15835">
            <w:pPr>
              <w:widowControl/>
              <w:spacing w:line="240" w:lineRule="auto"/>
              <w:jc w:val="center"/>
              <w:rPr>
                <w:kern w:val="0"/>
                <w:sz w:val="24"/>
                <w:szCs w:val="24"/>
              </w:rPr>
            </w:pPr>
            <w:r>
              <w:rPr>
                <w:rFonts w:hint="eastAsia"/>
                <w:kern w:val="0"/>
                <w:sz w:val="24"/>
                <w:szCs w:val="24"/>
              </w:rPr>
              <w:t>18</w:t>
            </w:r>
          </w:p>
        </w:tc>
        <w:tc>
          <w:tcPr>
            <w:tcW w:w="2221" w:type="dxa"/>
            <w:tcBorders>
              <w:top w:val="nil"/>
              <w:left w:val="nil"/>
              <w:bottom w:val="single" w:color="auto" w:sz="4" w:space="0"/>
              <w:right w:val="single" w:color="auto" w:sz="4" w:space="0"/>
            </w:tcBorders>
            <w:vAlign w:val="center"/>
          </w:tcPr>
          <w:p w14:paraId="07B32F8A">
            <w:pPr>
              <w:widowControl/>
              <w:spacing w:line="240" w:lineRule="auto"/>
              <w:jc w:val="left"/>
              <w:rPr>
                <w:kern w:val="0"/>
                <w:sz w:val="24"/>
                <w:szCs w:val="24"/>
              </w:rPr>
            </w:pPr>
            <w:r>
              <w:rPr>
                <w:kern w:val="0"/>
                <w:sz w:val="24"/>
                <w:szCs w:val="24"/>
              </w:rPr>
              <w:t>城区至枫元绿道建设项目</w:t>
            </w:r>
          </w:p>
        </w:tc>
        <w:tc>
          <w:tcPr>
            <w:tcW w:w="4677" w:type="dxa"/>
            <w:tcBorders>
              <w:top w:val="nil"/>
              <w:left w:val="nil"/>
              <w:bottom w:val="single" w:color="auto" w:sz="4" w:space="0"/>
              <w:right w:val="single" w:color="auto" w:sz="4" w:space="0"/>
            </w:tcBorders>
            <w:vAlign w:val="center"/>
          </w:tcPr>
          <w:p w14:paraId="22576B96">
            <w:pPr>
              <w:widowControl/>
              <w:spacing w:line="240" w:lineRule="auto"/>
              <w:jc w:val="left"/>
              <w:rPr>
                <w:kern w:val="0"/>
                <w:sz w:val="24"/>
                <w:szCs w:val="24"/>
              </w:rPr>
            </w:pPr>
            <w:r>
              <w:rPr>
                <w:kern w:val="0"/>
                <w:sz w:val="24"/>
                <w:szCs w:val="24"/>
              </w:rPr>
              <w:t>建设道路24公里，宽度3-6米，沿途设置一级、二级驿站15个</w:t>
            </w:r>
          </w:p>
        </w:tc>
        <w:tc>
          <w:tcPr>
            <w:tcW w:w="1256" w:type="dxa"/>
            <w:tcBorders>
              <w:top w:val="nil"/>
              <w:left w:val="nil"/>
              <w:bottom w:val="single" w:color="auto" w:sz="4" w:space="0"/>
              <w:right w:val="single" w:color="auto" w:sz="4" w:space="0"/>
            </w:tcBorders>
            <w:vAlign w:val="center"/>
          </w:tcPr>
          <w:p w14:paraId="046234D1">
            <w:pPr>
              <w:widowControl/>
              <w:spacing w:line="240" w:lineRule="auto"/>
              <w:jc w:val="center"/>
              <w:rPr>
                <w:kern w:val="0"/>
                <w:sz w:val="24"/>
                <w:szCs w:val="24"/>
              </w:rPr>
            </w:pPr>
            <w:r>
              <w:rPr>
                <w:kern w:val="0"/>
                <w:sz w:val="24"/>
                <w:szCs w:val="24"/>
              </w:rPr>
              <w:t>2019-2022</w:t>
            </w:r>
          </w:p>
        </w:tc>
        <w:tc>
          <w:tcPr>
            <w:tcW w:w="1460" w:type="dxa"/>
            <w:tcBorders>
              <w:top w:val="nil"/>
              <w:left w:val="nil"/>
              <w:bottom w:val="single" w:color="auto" w:sz="4" w:space="0"/>
              <w:right w:val="single" w:color="auto" w:sz="4" w:space="0"/>
            </w:tcBorders>
            <w:vAlign w:val="center"/>
          </w:tcPr>
          <w:p w14:paraId="17BE78DE">
            <w:pPr>
              <w:widowControl/>
              <w:spacing w:line="240" w:lineRule="auto"/>
              <w:jc w:val="center"/>
              <w:rPr>
                <w:kern w:val="0"/>
                <w:sz w:val="24"/>
                <w:szCs w:val="24"/>
              </w:rPr>
            </w:pPr>
            <w:r>
              <w:rPr>
                <w:kern w:val="0"/>
                <w:sz w:val="24"/>
                <w:szCs w:val="24"/>
              </w:rPr>
              <w:t xml:space="preserve">34000 </w:t>
            </w:r>
          </w:p>
        </w:tc>
        <w:tc>
          <w:tcPr>
            <w:tcW w:w="1843" w:type="dxa"/>
            <w:tcBorders>
              <w:top w:val="nil"/>
              <w:left w:val="nil"/>
              <w:bottom w:val="single" w:color="auto" w:sz="4" w:space="0"/>
              <w:right w:val="single" w:color="auto" w:sz="4" w:space="0"/>
            </w:tcBorders>
            <w:vAlign w:val="center"/>
          </w:tcPr>
          <w:p w14:paraId="0A511413">
            <w:pPr>
              <w:widowControl/>
              <w:spacing w:line="240" w:lineRule="auto"/>
              <w:jc w:val="center"/>
              <w:rPr>
                <w:kern w:val="0"/>
                <w:sz w:val="24"/>
                <w:szCs w:val="24"/>
              </w:rPr>
            </w:pPr>
            <w:r>
              <w:rPr>
                <w:kern w:val="0"/>
                <w:sz w:val="24"/>
                <w:szCs w:val="24"/>
              </w:rPr>
              <w:t xml:space="preserve">18000 </w:t>
            </w:r>
          </w:p>
        </w:tc>
        <w:tc>
          <w:tcPr>
            <w:tcW w:w="1395" w:type="dxa"/>
            <w:tcBorders>
              <w:top w:val="nil"/>
              <w:left w:val="nil"/>
              <w:bottom w:val="single" w:color="auto" w:sz="4" w:space="0"/>
              <w:right w:val="single" w:color="auto" w:sz="4" w:space="0"/>
            </w:tcBorders>
            <w:vAlign w:val="center"/>
          </w:tcPr>
          <w:p w14:paraId="460E0621">
            <w:pPr>
              <w:widowControl/>
              <w:spacing w:line="240" w:lineRule="auto"/>
              <w:jc w:val="left"/>
              <w:rPr>
                <w:kern w:val="0"/>
                <w:sz w:val="24"/>
                <w:szCs w:val="24"/>
              </w:rPr>
            </w:pPr>
            <w:r>
              <w:rPr>
                <w:kern w:val="0"/>
                <w:sz w:val="24"/>
                <w:szCs w:val="24"/>
              </w:rPr>
              <w:t>建宁县住建局</w:t>
            </w:r>
          </w:p>
        </w:tc>
      </w:tr>
      <w:tr w14:paraId="2C23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40" w:type="dxa"/>
            <w:tcBorders>
              <w:top w:val="nil"/>
              <w:left w:val="single" w:color="auto" w:sz="4" w:space="0"/>
              <w:bottom w:val="single" w:color="auto" w:sz="4" w:space="0"/>
              <w:right w:val="single" w:color="auto" w:sz="4" w:space="0"/>
            </w:tcBorders>
            <w:vAlign w:val="center"/>
          </w:tcPr>
          <w:p w14:paraId="0FE43886">
            <w:pPr>
              <w:widowControl/>
              <w:spacing w:line="240" w:lineRule="auto"/>
              <w:jc w:val="center"/>
              <w:rPr>
                <w:kern w:val="0"/>
                <w:sz w:val="24"/>
                <w:szCs w:val="24"/>
              </w:rPr>
            </w:pPr>
            <w:r>
              <w:rPr>
                <w:rFonts w:hint="eastAsia"/>
                <w:kern w:val="0"/>
                <w:sz w:val="24"/>
                <w:szCs w:val="24"/>
              </w:rPr>
              <w:t>19</w:t>
            </w:r>
          </w:p>
        </w:tc>
        <w:tc>
          <w:tcPr>
            <w:tcW w:w="2221" w:type="dxa"/>
            <w:tcBorders>
              <w:top w:val="nil"/>
              <w:left w:val="nil"/>
              <w:bottom w:val="single" w:color="auto" w:sz="4" w:space="0"/>
              <w:right w:val="single" w:color="auto" w:sz="4" w:space="0"/>
            </w:tcBorders>
            <w:vAlign w:val="center"/>
          </w:tcPr>
          <w:p w14:paraId="7D7B24C0">
            <w:pPr>
              <w:widowControl/>
              <w:spacing w:line="240" w:lineRule="auto"/>
              <w:jc w:val="left"/>
              <w:rPr>
                <w:kern w:val="0"/>
                <w:sz w:val="24"/>
                <w:szCs w:val="24"/>
              </w:rPr>
            </w:pPr>
            <w:r>
              <w:rPr>
                <w:kern w:val="0"/>
                <w:sz w:val="24"/>
                <w:szCs w:val="24"/>
              </w:rPr>
              <w:t>泰宁朱溪小流域生态修复与可持续发展建设项目</w:t>
            </w:r>
          </w:p>
        </w:tc>
        <w:tc>
          <w:tcPr>
            <w:tcW w:w="4677" w:type="dxa"/>
            <w:tcBorders>
              <w:top w:val="nil"/>
              <w:left w:val="nil"/>
              <w:bottom w:val="single" w:color="auto" w:sz="4" w:space="0"/>
              <w:right w:val="single" w:color="auto" w:sz="4" w:space="0"/>
            </w:tcBorders>
            <w:vAlign w:val="center"/>
          </w:tcPr>
          <w:p w14:paraId="037C1669">
            <w:pPr>
              <w:widowControl/>
              <w:spacing w:line="240" w:lineRule="auto"/>
              <w:jc w:val="left"/>
              <w:rPr>
                <w:kern w:val="0"/>
                <w:sz w:val="24"/>
                <w:szCs w:val="24"/>
              </w:rPr>
            </w:pPr>
            <w:r>
              <w:rPr>
                <w:kern w:val="0"/>
                <w:sz w:val="24"/>
                <w:szCs w:val="24"/>
              </w:rPr>
              <w:t>朱溪流域主干及支流生态修复20公里，护岸治理及绿化16公里；森林生态系统修复、农田生态系统改良、人居生态系统改善等</w:t>
            </w:r>
          </w:p>
        </w:tc>
        <w:tc>
          <w:tcPr>
            <w:tcW w:w="1256" w:type="dxa"/>
            <w:tcBorders>
              <w:top w:val="nil"/>
              <w:left w:val="nil"/>
              <w:bottom w:val="single" w:color="auto" w:sz="4" w:space="0"/>
              <w:right w:val="single" w:color="auto" w:sz="4" w:space="0"/>
            </w:tcBorders>
            <w:vAlign w:val="center"/>
          </w:tcPr>
          <w:p w14:paraId="16C93DFB">
            <w:pPr>
              <w:widowControl/>
              <w:spacing w:line="240" w:lineRule="auto"/>
              <w:jc w:val="center"/>
              <w:rPr>
                <w:kern w:val="0"/>
                <w:sz w:val="24"/>
                <w:szCs w:val="24"/>
              </w:rPr>
            </w:pPr>
            <w:r>
              <w:rPr>
                <w:kern w:val="0"/>
                <w:sz w:val="24"/>
                <w:szCs w:val="24"/>
              </w:rPr>
              <w:t>2018-2020</w:t>
            </w:r>
          </w:p>
        </w:tc>
        <w:tc>
          <w:tcPr>
            <w:tcW w:w="1460" w:type="dxa"/>
            <w:tcBorders>
              <w:top w:val="nil"/>
              <w:left w:val="nil"/>
              <w:bottom w:val="single" w:color="auto" w:sz="4" w:space="0"/>
              <w:right w:val="single" w:color="auto" w:sz="4" w:space="0"/>
            </w:tcBorders>
            <w:vAlign w:val="center"/>
          </w:tcPr>
          <w:p w14:paraId="58F43AA3">
            <w:pPr>
              <w:widowControl/>
              <w:spacing w:line="240" w:lineRule="auto"/>
              <w:jc w:val="center"/>
              <w:rPr>
                <w:kern w:val="0"/>
                <w:sz w:val="24"/>
                <w:szCs w:val="24"/>
              </w:rPr>
            </w:pPr>
            <w:r>
              <w:rPr>
                <w:kern w:val="0"/>
                <w:sz w:val="24"/>
                <w:szCs w:val="24"/>
              </w:rPr>
              <w:t xml:space="preserve">21000 </w:t>
            </w:r>
          </w:p>
        </w:tc>
        <w:tc>
          <w:tcPr>
            <w:tcW w:w="1843" w:type="dxa"/>
            <w:tcBorders>
              <w:top w:val="nil"/>
              <w:left w:val="nil"/>
              <w:bottom w:val="single" w:color="auto" w:sz="4" w:space="0"/>
              <w:right w:val="single" w:color="auto" w:sz="4" w:space="0"/>
            </w:tcBorders>
            <w:vAlign w:val="center"/>
          </w:tcPr>
          <w:p w14:paraId="5D78C3E1">
            <w:pPr>
              <w:widowControl/>
              <w:spacing w:line="240" w:lineRule="auto"/>
              <w:jc w:val="center"/>
              <w:rPr>
                <w:kern w:val="0"/>
                <w:sz w:val="24"/>
                <w:szCs w:val="24"/>
              </w:rPr>
            </w:pPr>
            <w:r>
              <w:rPr>
                <w:kern w:val="0"/>
                <w:sz w:val="24"/>
                <w:szCs w:val="24"/>
              </w:rPr>
              <w:t xml:space="preserve">21000 </w:t>
            </w:r>
          </w:p>
        </w:tc>
        <w:tc>
          <w:tcPr>
            <w:tcW w:w="1395" w:type="dxa"/>
            <w:tcBorders>
              <w:top w:val="nil"/>
              <w:left w:val="nil"/>
              <w:bottom w:val="single" w:color="auto" w:sz="4" w:space="0"/>
              <w:right w:val="single" w:color="auto" w:sz="4" w:space="0"/>
            </w:tcBorders>
            <w:vAlign w:val="center"/>
          </w:tcPr>
          <w:p w14:paraId="0B741904">
            <w:pPr>
              <w:widowControl/>
              <w:spacing w:line="240" w:lineRule="auto"/>
              <w:jc w:val="left"/>
              <w:rPr>
                <w:kern w:val="0"/>
                <w:sz w:val="24"/>
                <w:szCs w:val="24"/>
              </w:rPr>
            </w:pPr>
            <w:r>
              <w:rPr>
                <w:kern w:val="0"/>
                <w:sz w:val="24"/>
                <w:szCs w:val="24"/>
              </w:rPr>
              <w:t>泰宁县人民政府</w:t>
            </w:r>
          </w:p>
        </w:tc>
      </w:tr>
      <w:tr w14:paraId="4D18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0" w:type="dxa"/>
            <w:tcBorders>
              <w:top w:val="nil"/>
              <w:left w:val="single" w:color="auto" w:sz="4" w:space="0"/>
              <w:bottom w:val="single" w:color="auto" w:sz="4" w:space="0"/>
              <w:right w:val="single" w:color="auto" w:sz="4" w:space="0"/>
            </w:tcBorders>
            <w:vAlign w:val="center"/>
          </w:tcPr>
          <w:p w14:paraId="2AA9C4B6">
            <w:pPr>
              <w:widowControl/>
              <w:spacing w:line="240" w:lineRule="auto"/>
              <w:jc w:val="center"/>
              <w:rPr>
                <w:kern w:val="0"/>
                <w:sz w:val="24"/>
                <w:szCs w:val="24"/>
              </w:rPr>
            </w:pPr>
            <w:r>
              <w:rPr>
                <w:rFonts w:hint="eastAsia"/>
                <w:kern w:val="0"/>
                <w:sz w:val="24"/>
                <w:szCs w:val="24"/>
              </w:rPr>
              <w:t>20</w:t>
            </w:r>
          </w:p>
        </w:tc>
        <w:tc>
          <w:tcPr>
            <w:tcW w:w="2221" w:type="dxa"/>
            <w:tcBorders>
              <w:top w:val="nil"/>
              <w:left w:val="nil"/>
              <w:bottom w:val="single" w:color="auto" w:sz="4" w:space="0"/>
              <w:right w:val="single" w:color="auto" w:sz="4" w:space="0"/>
            </w:tcBorders>
            <w:vAlign w:val="center"/>
          </w:tcPr>
          <w:p w14:paraId="710D319E">
            <w:pPr>
              <w:widowControl/>
              <w:spacing w:line="240" w:lineRule="auto"/>
              <w:jc w:val="left"/>
              <w:rPr>
                <w:kern w:val="0"/>
                <w:sz w:val="24"/>
                <w:szCs w:val="24"/>
              </w:rPr>
            </w:pPr>
            <w:r>
              <w:rPr>
                <w:kern w:val="0"/>
                <w:sz w:val="24"/>
                <w:szCs w:val="24"/>
              </w:rPr>
              <w:t>清流嵩口镇区防洪堤及人行绿道休闲步道建设项目</w:t>
            </w:r>
          </w:p>
        </w:tc>
        <w:tc>
          <w:tcPr>
            <w:tcW w:w="4677" w:type="dxa"/>
            <w:tcBorders>
              <w:top w:val="nil"/>
              <w:left w:val="nil"/>
              <w:bottom w:val="single" w:color="auto" w:sz="4" w:space="0"/>
              <w:right w:val="single" w:color="auto" w:sz="4" w:space="0"/>
            </w:tcBorders>
            <w:vAlign w:val="center"/>
          </w:tcPr>
          <w:p w14:paraId="48739A4B">
            <w:pPr>
              <w:widowControl/>
              <w:spacing w:line="240" w:lineRule="auto"/>
              <w:jc w:val="left"/>
              <w:rPr>
                <w:kern w:val="0"/>
                <w:sz w:val="24"/>
                <w:szCs w:val="24"/>
              </w:rPr>
            </w:pPr>
            <w:r>
              <w:rPr>
                <w:kern w:val="0"/>
                <w:sz w:val="24"/>
                <w:szCs w:val="24"/>
              </w:rPr>
              <w:t>建设防洪堤9公里，步道4.34公里等</w:t>
            </w:r>
          </w:p>
        </w:tc>
        <w:tc>
          <w:tcPr>
            <w:tcW w:w="1256" w:type="dxa"/>
            <w:tcBorders>
              <w:top w:val="nil"/>
              <w:left w:val="nil"/>
              <w:bottom w:val="single" w:color="auto" w:sz="4" w:space="0"/>
              <w:right w:val="single" w:color="auto" w:sz="4" w:space="0"/>
            </w:tcBorders>
            <w:vAlign w:val="center"/>
          </w:tcPr>
          <w:p w14:paraId="23880D0F">
            <w:pPr>
              <w:widowControl/>
              <w:spacing w:line="240" w:lineRule="auto"/>
              <w:jc w:val="center"/>
              <w:rPr>
                <w:kern w:val="0"/>
                <w:sz w:val="24"/>
                <w:szCs w:val="24"/>
              </w:rPr>
            </w:pPr>
            <w:r>
              <w:rPr>
                <w:kern w:val="0"/>
                <w:sz w:val="24"/>
                <w:szCs w:val="24"/>
              </w:rPr>
              <w:t>2018-2022</w:t>
            </w:r>
          </w:p>
        </w:tc>
        <w:tc>
          <w:tcPr>
            <w:tcW w:w="1460" w:type="dxa"/>
            <w:tcBorders>
              <w:top w:val="nil"/>
              <w:left w:val="nil"/>
              <w:bottom w:val="single" w:color="auto" w:sz="4" w:space="0"/>
              <w:right w:val="single" w:color="auto" w:sz="4" w:space="0"/>
            </w:tcBorders>
            <w:vAlign w:val="center"/>
          </w:tcPr>
          <w:p w14:paraId="42F236B8">
            <w:pPr>
              <w:widowControl/>
              <w:spacing w:line="240" w:lineRule="auto"/>
              <w:jc w:val="center"/>
              <w:rPr>
                <w:kern w:val="0"/>
                <w:sz w:val="24"/>
                <w:szCs w:val="24"/>
              </w:rPr>
            </w:pPr>
            <w:r>
              <w:rPr>
                <w:kern w:val="0"/>
                <w:sz w:val="24"/>
                <w:szCs w:val="24"/>
              </w:rPr>
              <w:t xml:space="preserve">10000 </w:t>
            </w:r>
          </w:p>
        </w:tc>
        <w:tc>
          <w:tcPr>
            <w:tcW w:w="1843" w:type="dxa"/>
            <w:tcBorders>
              <w:top w:val="nil"/>
              <w:left w:val="nil"/>
              <w:bottom w:val="single" w:color="auto" w:sz="4" w:space="0"/>
              <w:right w:val="single" w:color="auto" w:sz="4" w:space="0"/>
            </w:tcBorders>
            <w:vAlign w:val="center"/>
          </w:tcPr>
          <w:p w14:paraId="50531FBA">
            <w:pPr>
              <w:widowControl/>
              <w:spacing w:line="240" w:lineRule="auto"/>
              <w:jc w:val="center"/>
              <w:rPr>
                <w:kern w:val="0"/>
                <w:sz w:val="24"/>
                <w:szCs w:val="24"/>
              </w:rPr>
            </w:pPr>
            <w:r>
              <w:rPr>
                <w:kern w:val="0"/>
                <w:sz w:val="24"/>
                <w:szCs w:val="24"/>
              </w:rPr>
              <w:t xml:space="preserve">8500 </w:t>
            </w:r>
          </w:p>
        </w:tc>
        <w:tc>
          <w:tcPr>
            <w:tcW w:w="1395" w:type="dxa"/>
            <w:tcBorders>
              <w:top w:val="nil"/>
              <w:left w:val="nil"/>
              <w:bottom w:val="single" w:color="auto" w:sz="4" w:space="0"/>
              <w:right w:val="single" w:color="auto" w:sz="4" w:space="0"/>
            </w:tcBorders>
            <w:vAlign w:val="center"/>
          </w:tcPr>
          <w:p w14:paraId="742C430E">
            <w:pPr>
              <w:widowControl/>
              <w:spacing w:line="240" w:lineRule="auto"/>
              <w:jc w:val="left"/>
              <w:rPr>
                <w:kern w:val="0"/>
                <w:sz w:val="24"/>
                <w:szCs w:val="24"/>
              </w:rPr>
            </w:pPr>
            <w:r>
              <w:rPr>
                <w:kern w:val="0"/>
                <w:sz w:val="24"/>
                <w:szCs w:val="24"/>
              </w:rPr>
              <w:t>清流县人民政府</w:t>
            </w:r>
          </w:p>
        </w:tc>
      </w:tr>
      <w:tr w14:paraId="00F0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8" w:hRule="atLeast"/>
        </w:trPr>
        <w:tc>
          <w:tcPr>
            <w:tcW w:w="1040" w:type="dxa"/>
            <w:tcBorders>
              <w:top w:val="nil"/>
              <w:left w:val="single" w:color="auto" w:sz="4" w:space="0"/>
              <w:bottom w:val="single" w:color="auto" w:sz="4" w:space="0"/>
              <w:right w:val="single" w:color="auto" w:sz="4" w:space="0"/>
            </w:tcBorders>
            <w:vAlign w:val="center"/>
          </w:tcPr>
          <w:p w14:paraId="4022AEBD">
            <w:pPr>
              <w:widowControl/>
              <w:spacing w:line="240" w:lineRule="auto"/>
              <w:jc w:val="center"/>
              <w:rPr>
                <w:kern w:val="0"/>
                <w:sz w:val="24"/>
                <w:szCs w:val="24"/>
              </w:rPr>
            </w:pPr>
            <w:r>
              <w:rPr>
                <w:rFonts w:hint="eastAsia"/>
                <w:kern w:val="0"/>
                <w:sz w:val="24"/>
                <w:szCs w:val="24"/>
              </w:rPr>
              <w:t>21</w:t>
            </w:r>
          </w:p>
        </w:tc>
        <w:tc>
          <w:tcPr>
            <w:tcW w:w="2221" w:type="dxa"/>
            <w:tcBorders>
              <w:top w:val="nil"/>
              <w:left w:val="nil"/>
              <w:bottom w:val="single" w:color="auto" w:sz="4" w:space="0"/>
              <w:right w:val="single" w:color="auto" w:sz="4" w:space="0"/>
            </w:tcBorders>
            <w:vAlign w:val="center"/>
          </w:tcPr>
          <w:p w14:paraId="59D7BA2E">
            <w:pPr>
              <w:widowControl/>
              <w:spacing w:line="240" w:lineRule="auto"/>
              <w:jc w:val="left"/>
              <w:rPr>
                <w:kern w:val="0"/>
                <w:sz w:val="24"/>
                <w:szCs w:val="24"/>
              </w:rPr>
            </w:pPr>
            <w:r>
              <w:rPr>
                <w:kern w:val="0"/>
                <w:sz w:val="24"/>
                <w:szCs w:val="24"/>
              </w:rPr>
              <w:t>建宁县市民休闲健身慢道提升工程项目</w:t>
            </w:r>
          </w:p>
        </w:tc>
        <w:tc>
          <w:tcPr>
            <w:tcW w:w="4677" w:type="dxa"/>
            <w:tcBorders>
              <w:top w:val="nil"/>
              <w:left w:val="nil"/>
              <w:bottom w:val="single" w:color="auto" w:sz="4" w:space="0"/>
              <w:right w:val="single" w:color="auto" w:sz="4" w:space="0"/>
            </w:tcBorders>
            <w:vAlign w:val="center"/>
          </w:tcPr>
          <w:p w14:paraId="11F78AC7">
            <w:pPr>
              <w:widowControl/>
              <w:spacing w:line="240" w:lineRule="auto"/>
              <w:jc w:val="left"/>
              <w:rPr>
                <w:kern w:val="0"/>
                <w:sz w:val="24"/>
                <w:szCs w:val="24"/>
              </w:rPr>
            </w:pPr>
            <w:r>
              <w:rPr>
                <w:kern w:val="0"/>
                <w:sz w:val="24"/>
                <w:szCs w:val="24"/>
              </w:rPr>
              <w:t>建宁县城区以濉溪河为中心，北至溪口大桥，南至水南大桥，对濉溪河沿线步道、防洪提、绿化景观、两侧道路进行景观提升形成一条具有当地特色的城市综合景观带；建设地下管线工程，供水、雨污管网新建或改建</w:t>
            </w:r>
          </w:p>
        </w:tc>
        <w:tc>
          <w:tcPr>
            <w:tcW w:w="1256" w:type="dxa"/>
            <w:tcBorders>
              <w:top w:val="nil"/>
              <w:left w:val="nil"/>
              <w:bottom w:val="single" w:color="auto" w:sz="4" w:space="0"/>
              <w:right w:val="single" w:color="auto" w:sz="4" w:space="0"/>
            </w:tcBorders>
            <w:vAlign w:val="center"/>
          </w:tcPr>
          <w:p w14:paraId="0EFB9B90">
            <w:pPr>
              <w:widowControl/>
              <w:spacing w:line="240" w:lineRule="auto"/>
              <w:jc w:val="center"/>
              <w:rPr>
                <w:kern w:val="0"/>
                <w:sz w:val="24"/>
                <w:szCs w:val="24"/>
              </w:rPr>
            </w:pPr>
            <w:r>
              <w:rPr>
                <w:kern w:val="0"/>
                <w:sz w:val="24"/>
                <w:szCs w:val="24"/>
              </w:rPr>
              <w:t>2017-2019</w:t>
            </w:r>
          </w:p>
        </w:tc>
        <w:tc>
          <w:tcPr>
            <w:tcW w:w="1460" w:type="dxa"/>
            <w:tcBorders>
              <w:top w:val="nil"/>
              <w:left w:val="nil"/>
              <w:bottom w:val="single" w:color="auto" w:sz="4" w:space="0"/>
              <w:right w:val="single" w:color="auto" w:sz="4" w:space="0"/>
            </w:tcBorders>
            <w:vAlign w:val="center"/>
          </w:tcPr>
          <w:p w14:paraId="0C6F644E">
            <w:pPr>
              <w:widowControl/>
              <w:spacing w:line="240" w:lineRule="auto"/>
              <w:jc w:val="center"/>
              <w:rPr>
                <w:kern w:val="0"/>
                <w:sz w:val="24"/>
                <w:szCs w:val="24"/>
              </w:rPr>
            </w:pPr>
            <w:r>
              <w:rPr>
                <w:kern w:val="0"/>
                <w:sz w:val="24"/>
                <w:szCs w:val="24"/>
              </w:rPr>
              <w:t xml:space="preserve">10000 </w:t>
            </w:r>
          </w:p>
        </w:tc>
        <w:tc>
          <w:tcPr>
            <w:tcW w:w="1843" w:type="dxa"/>
            <w:tcBorders>
              <w:top w:val="nil"/>
              <w:left w:val="nil"/>
              <w:bottom w:val="single" w:color="auto" w:sz="4" w:space="0"/>
              <w:right w:val="single" w:color="auto" w:sz="4" w:space="0"/>
            </w:tcBorders>
            <w:vAlign w:val="center"/>
          </w:tcPr>
          <w:p w14:paraId="5FE80D09">
            <w:pPr>
              <w:widowControl/>
              <w:spacing w:line="240" w:lineRule="auto"/>
              <w:jc w:val="center"/>
              <w:rPr>
                <w:kern w:val="0"/>
                <w:sz w:val="24"/>
                <w:szCs w:val="24"/>
              </w:rPr>
            </w:pPr>
            <w:r>
              <w:rPr>
                <w:kern w:val="0"/>
                <w:sz w:val="24"/>
                <w:szCs w:val="24"/>
              </w:rPr>
              <w:t xml:space="preserve">5000 </w:t>
            </w:r>
          </w:p>
        </w:tc>
        <w:tc>
          <w:tcPr>
            <w:tcW w:w="1395" w:type="dxa"/>
            <w:tcBorders>
              <w:top w:val="nil"/>
              <w:left w:val="nil"/>
              <w:bottom w:val="single" w:color="auto" w:sz="4" w:space="0"/>
              <w:right w:val="single" w:color="auto" w:sz="4" w:space="0"/>
            </w:tcBorders>
            <w:vAlign w:val="center"/>
          </w:tcPr>
          <w:p w14:paraId="7ECB842D">
            <w:pPr>
              <w:widowControl/>
              <w:spacing w:line="240" w:lineRule="auto"/>
              <w:jc w:val="left"/>
              <w:rPr>
                <w:kern w:val="0"/>
                <w:sz w:val="24"/>
                <w:szCs w:val="24"/>
              </w:rPr>
            </w:pPr>
            <w:r>
              <w:rPr>
                <w:kern w:val="0"/>
                <w:sz w:val="24"/>
                <w:szCs w:val="24"/>
              </w:rPr>
              <w:t>建宁县人民政府</w:t>
            </w:r>
          </w:p>
        </w:tc>
      </w:tr>
      <w:tr w14:paraId="3FA9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0" w:type="dxa"/>
            <w:tcBorders>
              <w:top w:val="nil"/>
              <w:left w:val="single" w:color="auto" w:sz="4" w:space="0"/>
              <w:bottom w:val="single" w:color="auto" w:sz="4" w:space="0"/>
              <w:right w:val="single" w:color="auto" w:sz="4" w:space="0"/>
            </w:tcBorders>
            <w:vAlign w:val="center"/>
          </w:tcPr>
          <w:p w14:paraId="092B73AA">
            <w:pPr>
              <w:widowControl/>
              <w:spacing w:line="240" w:lineRule="auto"/>
              <w:jc w:val="center"/>
              <w:rPr>
                <w:kern w:val="0"/>
                <w:sz w:val="24"/>
                <w:szCs w:val="24"/>
              </w:rPr>
            </w:pPr>
            <w:r>
              <w:rPr>
                <w:rFonts w:hint="eastAsia"/>
                <w:kern w:val="0"/>
                <w:sz w:val="24"/>
                <w:szCs w:val="24"/>
              </w:rPr>
              <w:t>22</w:t>
            </w:r>
          </w:p>
        </w:tc>
        <w:tc>
          <w:tcPr>
            <w:tcW w:w="2221" w:type="dxa"/>
            <w:tcBorders>
              <w:top w:val="nil"/>
              <w:left w:val="nil"/>
              <w:bottom w:val="single" w:color="auto" w:sz="4" w:space="0"/>
              <w:right w:val="single" w:color="auto" w:sz="4" w:space="0"/>
            </w:tcBorders>
            <w:vAlign w:val="center"/>
          </w:tcPr>
          <w:p w14:paraId="27E96A93">
            <w:pPr>
              <w:widowControl/>
              <w:spacing w:line="240" w:lineRule="auto"/>
              <w:jc w:val="left"/>
              <w:rPr>
                <w:kern w:val="0"/>
                <w:sz w:val="24"/>
                <w:szCs w:val="24"/>
              </w:rPr>
            </w:pPr>
            <w:r>
              <w:rPr>
                <w:kern w:val="0"/>
                <w:sz w:val="24"/>
                <w:szCs w:val="24"/>
              </w:rPr>
              <w:t>三峡新能源永安贡川风电场项目</w:t>
            </w:r>
          </w:p>
        </w:tc>
        <w:tc>
          <w:tcPr>
            <w:tcW w:w="4677" w:type="dxa"/>
            <w:tcBorders>
              <w:top w:val="nil"/>
              <w:left w:val="nil"/>
              <w:bottom w:val="single" w:color="auto" w:sz="4" w:space="0"/>
              <w:right w:val="single" w:color="auto" w:sz="4" w:space="0"/>
            </w:tcBorders>
            <w:vAlign w:val="center"/>
          </w:tcPr>
          <w:p w14:paraId="08319EBD">
            <w:pPr>
              <w:widowControl/>
              <w:spacing w:line="240" w:lineRule="auto"/>
              <w:jc w:val="left"/>
              <w:rPr>
                <w:kern w:val="0"/>
                <w:sz w:val="24"/>
                <w:szCs w:val="24"/>
              </w:rPr>
            </w:pPr>
            <w:r>
              <w:rPr>
                <w:kern w:val="0"/>
                <w:sz w:val="24"/>
                <w:szCs w:val="24"/>
              </w:rPr>
              <w:t>规划总容量48MW，装设24台2.0MW的风力发电机组</w:t>
            </w:r>
          </w:p>
        </w:tc>
        <w:tc>
          <w:tcPr>
            <w:tcW w:w="1256" w:type="dxa"/>
            <w:tcBorders>
              <w:top w:val="nil"/>
              <w:left w:val="nil"/>
              <w:bottom w:val="single" w:color="auto" w:sz="4" w:space="0"/>
              <w:right w:val="single" w:color="auto" w:sz="4" w:space="0"/>
            </w:tcBorders>
            <w:vAlign w:val="center"/>
          </w:tcPr>
          <w:p w14:paraId="5E7CEF2D">
            <w:pPr>
              <w:widowControl/>
              <w:spacing w:line="240" w:lineRule="auto"/>
              <w:jc w:val="center"/>
              <w:rPr>
                <w:kern w:val="0"/>
                <w:sz w:val="24"/>
                <w:szCs w:val="24"/>
              </w:rPr>
            </w:pPr>
            <w:r>
              <w:rPr>
                <w:kern w:val="0"/>
                <w:sz w:val="24"/>
                <w:szCs w:val="24"/>
              </w:rPr>
              <w:t>2018-2019</w:t>
            </w:r>
          </w:p>
        </w:tc>
        <w:tc>
          <w:tcPr>
            <w:tcW w:w="1460" w:type="dxa"/>
            <w:tcBorders>
              <w:top w:val="nil"/>
              <w:left w:val="nil"/>
              <w:bottom w:val="single" w:color="auto" w:sz="4" w:space="0"/>
              <w:right w:val="single" w:color="auto" w:sz="4" w:space="0"/>
            </w:tcBorders>
            <w:vAlign w:val="center"/>
          </w:tcPr>
          <w:p w14:paraId="4636D434">
            <w:pPr>
              <w:widowControl/>
              <w:spacing w:line="240" w:lineRule="auto"/>
              <w:jc w:val="center"/>
              <w:rPr>
                <w:kern w:val="0"/>
                <w:sz w:val="24"/>
                <w:szCs w:val="24"/>
              </w:rPr>
            </w:pPr>
            <w:r>
              <w:rPr>
                <w:kern w:val="0"/>
                <w:sz w:val="24"/>
                <w:szCs w:val="24"/>
              </w:rPr>
              <w:t xml:space="preserve">47000 </w:t>
            </w:r>
          </w:p>
        </w:tc>
        <w:tc>
          <w:tcPr>
            <w:tcW w:w="1843" w:type="dxa"/>
            <w:tcBorders>
              <w:top w:val="nil"/>
              <w:left w:val="nil"/>
              <w:bottom w:val="single" w:color="auto" w:sz="4" w:space="0"/>
              <w:right w:val="single" w:color="auto" w:sz="4" w:space="0"/>
            </w:tcBorders>
            <w:vAlign w:val="center"/>
          </w:tcPr>
          <w:p w14:paraId="59C617F7">
            <w:pPr>
              <w:widowControl/>
              <w:spacing w:line="240" w:lineRule="auto"/>
              <w:jc w:val="center"/>
              <w:rPr>
                <w:kern w:val="0"/>
                <w:sz w:val="24"/>
                <w:szCs w:val="24"/>
              </w:rPr>
            </w:pPr>
            <w:r>
              <w:rPr>
                <w:kern w:val="0"/>
                <w:sz w:val="24"/>
                <w:szCs w:val="24"/>
              </w:rPr>
              <w:t xml:space="preserve">47000 </w:t>
            </w:r>
          </w:p>
        </w:tc>
        <w:tc>
          <w:tcPr>
            <w:tcW w:w="1395" w:type="dxa"/>
            <w:tcBorders>
              <w:top w:val="nil"/>
              <w:left w:val="nil"/>
              <w:bottom w:val="single" w:color="auto" w:sz="4" w:space="0"/>
              <w:right w:val="single" w:color="auto" w:sz="4" w:space="0"/>
            </w:tcBorders>
            <w:vAlign w:val="center"/>
          </w:tcPr>
          <w:p w14:paraId="0EA4A3AE">
            <w:pPr>
              <w:widowControl/>
              <w:spacing w:line="240" w:lineRule="auto"/>
              <w:jc w:val="left"/>
              <w:rPr>
                <w:kern w:val="0"/>
                <w:sz w:val="24"/>
                <w:szCs w:val="24"/>
              </w:rPr>
            </w:pPr>
            <w:r>
              <w:rPr>
                <w:kern w:val="0"/>
                <w:sz w:val="24"/>
                <w:szCs w:val="24"/>
              </w:rPr>
              <w:t>永安市人民政府</w:t>
            </w:r>
          </w:p>
        </w:tc>
      </w:tr>
      <w:tr w14:paraId="2C26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1040" w:type="dxa"/>
            <w:tcBorders>
              <w:top w:val="nil"/>
              <w:left w:val="single" w:color="auto" w:sz="4" w:space="0"/>
              <w:bottom w:val="single" w:color="auto" w:sz="4" w:space="0"/>
              <w:right w:val="single" w:color="auto" w:sz="4" w:space="0"/>
            </w:tcBorders>
            <w:vAlign w:val="center"/>
          </w:tcPr>
          <w:p w14:paraId="7840A7E6">
            <w:pPr>
              <w:widowControl/>
              <w:spacing w:line="240" w:lineRule="auto"/>
              <w:jc w:val="center"/>
              <w:rPr>
                <w:kern w:val="0"/>
                <w:sz w:val="24"/>
                <w:szCs w:val="24"/>
              </w:rPr>
            </w:pPr>
            <w:r>
              <w:rPr>
                <w:rFonts w:hint="eastAsia"/>
                <w:kern w:val="0"/>
                <w:sz w:val="24"/>
                <w:szCs w:val="24"/>
              </w:rPr>
              <w:t>23</w:t>
            </w:r>
          </w:p>
        </w:tc>
        <w:tc>
          <w:tcPr>
            <w:tcW w:w="2221" w:type="dxa"/>
            <w:tcBorders>
              <w:top w:val="nil"/>
              <w:left w:val="nil"/>
              <w:bottom w:val="single" w:color="auto" w:sz="4" w:space="0"/>
              <w:right w:val="single" w:color="auto" w:sz="4" w:space="0"/>
            </w:tcBorders>
            <w:vAlign w:val="center"/>
          </w:tcPr>
          <w:p w14:paraId="3DCB93E9">
            <w:pPr>
              <w:widowControl/>
              <w:spacing w:line="240" w:lineRule="auto"/>
              <w:jc w:val="left"/>
              <w:rPr>
                <w:kern w:val="0"/>
                <w:sz w:val="24"/>
                <w:szCs w:val="24"/>
              </w:rPr>
            </w:pPr>
            <w:r>
              <w:rPr>
                <w:kern w:val="0"/>
                <w:sz w:val="24"/>
                <w:szCs w:val="24"/>
              </w:rPr>
              <w:t>泰宁天然气管道建设项目</w:t>
            </w:r>
          </w:p>
        </w:tc>
        <w:tc>
          <w:tcPr>
            <w:tcW w:w="4677" w:type="dxa"/>
            <w:tcBorders>
              <w:top w:val="nil"/>
              <w:left w:val="nil"/>
              <w:bottom w:val="single" w:color="auto" w:sz="4" w:space="0"/>
              <w:right w:val="single" w:color="auto" w:sz="4" w:space="0"/>
            </w:tcBorders>
            <w:vAlign w:val="center"/>
          </w:tcPr>
          <w:p w14:paraId="30C30FA1">
            <w:pPr>
              <w:widowControl/>
              <w:spacing w:line="240" w:lineRule="auto"/>
              <w:jc w:val="left"/>
              <w:rPr>
                <w:kern w:val="0"/>
                <w:sz w:val="24"/>
                <w:szCs w:val="24"/>
              </w:rPr>
            </w:pPr>
            <w:r>
              <w:rPr>
                <w:kern w:val="0"/>
                <w:sz w:val="24"/>
                <w:szCs w:val="24"/>
              </w:rPr>
              <w:t>项目计划分三期建设，其中一期建设门站一座、加气站一座、管理站及中压燃气管网，具备10000户居民供气能力；二期建成县城规划区域内的输配管网系统；三期建成泰宁县长输管线及卸气门站，实施重点乡镇的气化工程</w:t>
            </w:r>
          </w:p>
        </w:tc>
        <w:tc>
          <w:tcPr>
            <w:tcW w:w="1256" w:type="dxa"/>
            <w:tcBorders>
              <w:top w:val="nil"/>
              <w:left w:val="nil"/>
              <w:bottom w:val="single" w:color="auto" w:sz="4" w:space="0"/>
              <w:right w:val="single" w:color="auto" w:sz="4" w:space="0"/>
            </w:tcBorders>
            <w:vAlign w:val="center"/>
          </w:tcPr>
          <w:p w14:paraId="203FE386">
            <w:pPr>
              <w:widowControl/>
              <w:spacing w:line="240" w:lineRule="auto"/>
              <w:jc w:val="center"/>
              <w:rPr>
                <w:kern w:val="0"/>
                <w:sz w:val="24"/>
                <w:szCs w:val="24"/>
              </w:rPr>
            </w:pPr>
            <w:r>
              <w:rPr>
                <w:kern w:val="0"/>
                <w:sz w:val="24"/>
                <w:szCs w:val="24"/>
              </w:rPr>
              <w:t>2016-2019</w:t>
            </w:r>
          </w:p>
        </w:tc>
        <w:tc>
          <w:tcPr>
            <w:tcW w:w="1460" w:type="dxa"/>
            <w:tcBorders>
              <w:top w:val="nil"/>
              <w:left w:val="nil"/>
              <w:bottom w:val="single" w:color="auto" w:sz="4" w:space="0"/>
              <w:right w:val="single" w:color="auto" w:sz="4" w:space="0"/>
            </w:tcBorders>
            <w:vAlign w:val="center"/>
          </w:tcPr>
          <w:p w14:paraId="2C935C77">
            <w:pPr>
              <w:widowControl/>
              <w:spacing w:line="240" w:lineRule="auto"/>
              <w:jc w:val="center"/>
              <w:rPr>
                <w:kern w:val="0"/>
                <w:sz w:val="24"/>
                <w:szCs w:val="24"/>
              </w:rPr>
            </w:pPr>
            <w:r>
              <w:rPr>
                <w:kern w:val="0"/>
                <w:sz w:val="24"/>
                <w:szCs w:val="24"/>
              </w:rPr>
              <w:t xml:space="preserve">28000 </w:t>
            </w:r>
          </w:p>
        </w:tc>
        <w:tc>
          <w:tcPr>
            <w:tcW w:w="1843" w:type="dxa"/>
            <w:tcBorders>
              <w:top w:val="nil"/>
              <w:left w:val="nil"/>
              <w:bottom w:val="single" w:color="auto" w:sz="4" w:space="0"/>
              <w:right w:val="single" w:color="auto" w:sz="4" w:space="0"/>
            </w:tcBorders>
            <w:vAlign w:val="center"/>
          </w:tcPr>
          <w:p w14:paraId="0650F99B">
            <w:pPr>
              <w:widowControl/>
              <w:spacing w:line="240" w:lineRule="auto"/>
              <w:jc w:val="center"/>
              <w:rPr>
                <w:kern w:val="0"/>
                <w:sz w:val="24"/>
                <w:szCs w:val="24"/>
              </w:rPr>
            </w:pPr>
            <w:r>
              <w:rPr>
                <w:kern w:val="0"/>
                <w:sz w:val="24"/>
                <w:szCs w:val="24"/>
              </w:rPr>
              <w:t xml:space="preserve">16900 </w:t>
            </w:r>
          </w:p>
        </w:tc>
        <w:tc>
          <w:tcPr>
            <w:tcW w:w="1395" w:type="dxa"/>
            <w:tcBorders>
              <w:top w:val="nil"/>
              <w:left w:val="nil"/>
              <w:bottom w:val="single" w:color="auto" w:sz="4" w:space="0"/>
              <w:right w:val="single" w:color="auto" w:sz="4" w:space="0"/>
            </w:tcBorders>
            <w:vAlign w:val="center"/>
          </w:tcPr>
          <w:p w14:paraId="490DB5EC">
            <w:pPr>
              <w:widowControl/>
              <w:spacing w:line="240" w:lineRule="auto"/>
              <w:jc w:val="left"/>
              <w:rPr>
                <w:kern w:val="0"/>
                <w:sz w:val="24"/>
                <w:szCs w:val="24"/>
              </w:rPr>
            </w:pPr>
            <w:r>
              <w:rPr>
                <w:kern w:val="0"/>
                <w:sz w:val="24"/>
                <w:szCs w:val="24"/>
              </w:rPr>
              <w:t>泰宁县人民政府</w:t>
            </w:r>
          </w:p>
        </w:tc>
      </w:tr>
      <w:tr w14:paraId="6D3F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40" w:type="dxa"/>
            <w:tcBorders>
              <w:top w:val="nil"/>
              <w:left w:val="single" w:color="auto" w:sz="4" w:space="0"/>
              <w:bottom w:val="single" w:color="auto" w:sz="4" w:space="0"/>
              <w:right w:val="single" w:color="auto" w:sz="4" w:space="0"/>
            </w:tcBorders>
            <w:vAlign w:val="center"/>
          </w:tcPr>
          <w:p w14:paraId="04E927A1">
            <w:pPr>
              <w:widowControl/>
              <w:spacing w:line="240" w:lineRule="auto"/>
              <w:jc w:val="center"/>
              <w:rPr>
                <w:kern w:val="0"/>
                <w:sz w:val="24"/>
                <w:szCs w:val="24"/>
              </w:rPr>
            </w:pPr>
            <w:r>
              <w:rPr>
                <w:rFonts w:hint="eastAsia"/>
                <w:kern w:val="0"/>
                <w:sz w:val="24"/>
                <w:szCs w:val="24"/>
              </w:rPr>
              <w:t>24</w:t>
            </w:r>
          </w:p>
        </w:tc>
        <w:tc>
          <w:tcPr>
            <w:tcW w:w="2221" w:type="dxa"/>
            <w:tcBorders>
              <w:top w:val="nil"/>
              <w:left w:val="nil"/>
              <w:bottom w:val="single" w:color="auto" w:sz="4" w:space="0"/>
              <w:right w:val="single" w:color="auto" w:sz="4" w:space="0"/>
            </w:tcBorders>
            <w:vAlign w:val="center"/>
          </w:tcPr>
          <w:p w14:paraId="0AB96903">
            <w:pPr>
              <w:widowControl/>
              <w:spacing w:line="240" w:lineRule="auto"/>
              <w:jc w:val="left"/>
              <w:rPr>
                <w:kern w:val="0"/>
                <w:sz w:val="24"/>
                <w:szCs w:val="24"/>
              </w:rPr>
            </w:pPr>
            <w:r>
              <w:rPr>
                <w:kern w:val="0"/>
                <w:sz w:val="24"/>
                <w:szCs w:val="24"/>
              </w:rPr>
              <w:t>泰宁县芦庵滩水电站（池潭水电厂扩建工程)</w:t>
            </w:r>
          </w:p>
        </w:tc>
        <w:tc>
          <w:tcPr>
            <w:tcW w:w="4677" w:type="dxa"/>
            <w:tcBorders>
              <w:top w:val="nil"/>
              <w:left w:val="nil"/>
              <w:bottom w:val="single" w:color="auto" w:sz="4" w:space="0"/>
              <w:right w:val="single" w:color="auto" w:sz="4" w:space="0"/>
            </w:tcBorders>
            <w:vAlign w:val="center"/>
          </w:tcPr>
          <w:p w14:paraId="4300044C">
            <w:pPr>
              <w:widowControl/>
              <w:spacing w:line="240" w:lineRule="auto"/>
              <w:jc w:val="left"/>
              <w:rPr>
                <w:kern w:val="0"/>
                <w:sz w:val="24"/>
                <w:szCs w:val="24"/>
              </w:rPr>
            </w:pPr>
            <w:r>
              <w:rPr>
                <w:kern w:val="0"/>
                <w:sz w:val="24"/>
                <w:szCs w:val="24"/>
              </w:rPr>
              <w:t>引水系统、发电厂房、开关站，装机规模1×10万千瓦</w:t>
            </w:r>
          </w:p>
        </w:tc>
        <w:tc>
          <w:tcPr>
            <w:tcW w:w="1256" w:type="dxa"/>
            <w:tcBorders>
              <w:top w:val="nil"/>
              <w:left w:val="nil"/>
              <w:bottom w:val="single" w:color="auto" w:sz="4" w:space="0"/>
              <w:right w:val="single" w:color="auto" w:sz="4" w:space="0"/>
            </w:tcBorders>
            <w:vAlign w:val="center"/>
          </w:tcPr>
          <w:p w14:paraId="4E9D36E6">
            <w:pPr>
              <w:widowControl/>
              <w:spacing w:line="240" w:lineRule="auto"/>
              <w:jc w:val="center"/>
              <w:rPr>
                <w:kern w:val="0"/>
                <w:sz w:val="24"/>
                <w:szCs w:val="24"/>
              </w:rPr>
            </w:pPr>
            <w:r>
              <w:rPr>
                <w:kern w:val="0"/>
                <w:sz w:val="24"/>
                <w:szCs w:val="24"/>
              </w:rPr>
              <w:t>2015-2018</w:t>
            </w:r>
          </w:p>
        </w:tc>
        <w:tc>
          <w:tcPr>
            <w:tcW w:w="1460" w:type="dxa"/>
            <w:tcBorders>
              <w:top w:val="nil"/>
              <w:left w:val="nil"/>
              <w:bottom w:val="single" w:color="auto" w:sz="4" w:space="0"/>
              <w:right w:val="single" w:color="auto" w:sz="4" w:space="0"/>
            </w:tcBorders>
            <w:vAlign w:val="center"/>
          </w:tcPr>
          <w:p w14:paraId="3A29D1DB">
            <w:pPr>
              <w:widowControl/>
              <w:spacing w:line="240" w:lineRule="auto"/>
              <w:jc w:val="center"/>
              <w:rPr>
                <w:kern w:val="0"/>
                <w:sz w:val="24"/>
                <w:szCs w:val="24"/>
              </w:rPr>
            </w:pPr>
            <w:r>
              <w:rPr>
                <w:kern w:val="0"/>
                <w:sz w:val="24"/>
                <w:szCs w:val="24"/>
              </w:rPr>
              <w:t xml:space="preserve">39543 </w:t>
            </w:r>
          </w:p>
        </w:tc>
        <w:tc>
          <w:tcPr>
            <w:tcW w:w="1843" w:type="dxa"/>
            <w:tcBorders>
              <w:top w:val="nil"/>
              <w:left w:val="nil"/>
              <w:bottom w:val="single" w:color="auto" w:sz="4" w:space="0"/>
              <w:right w:val="single" w:color="auto" w:sz="4" w:space="0"/>
            </w:tcBorders>
            <w:vAlign w:val="center"/>
          </w:tcPr>
          <w:p w14:paraId="5255F1EC">
            <w:pPr>
              <w:widowControl/>
              <w:spacing w:line="240" w:lineRule="auto"/>
              <w:jc w:val="center"/>
              <w:rPr>
                <w:kern w:val="0"/>
                <w:sz w:val="24"/>
                <w:szCs w:val="24"/>
              </w:rPr>
            </w:pPr>
            <w:r>
              <w:rPr>
                <w:kern w:val="0"/>
                <w:sz w:val="24"/>
                <w:szCs w:val="24"/>
              </w:rPr>
              <w:t xml:space="preserve">11743 </w:t>
            </w:r>
          </w:p>
        </w:tc>
        <w:tc>
          <w:tcPr>
            <w:tcW w:w="1395" w:type="dxa"/>
            <w:tcBorders>
              <w:top w:val="nil"/>
              <w:left w:val="nil"/>
              <w:bottom w:val="single" w:color="auto" w:sz="4" w:space="0"/>
              <w:right w:val="single" w:color="auto" w:sz="4" w:space="0"/>
            </w:tcBorders>
            <w:vAlign w:val="center"/>
          </w:tcPr>
          <w:p w14:paraId="2A8F37F1">
            <w:pPr>
              <w:widowControl/>
              <w:spacing w:line="240" w:lineRule="auto"/>
              <w:jc w:val="left"/>
              <w:rPr>
                <w:kern w:val="0"/>
                <w:sz w:val="24"/>
                <w:szCs w:val="24"/>
              </w:rPr>
            </w:pPr>
            <w:r>
              <w:rPr>
                <w:kern w:val="0"/>
                <w:sz w:val="24"/>
                <w:szCs w:val="24"/>
              </w:rPr>
              <w:t>泰宁县人民政府</w:t>
            </w:r>
          </w:p>
        </w:tc>
      </w:tr>
      <w:tr w14:paraId="6CF9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8" w:hRule="atLeast"/>
        </w:trPr>
        <w:tc>
          <w:tcPr>
            <w:tcW w:w="1040" w:type="dxa"/>
            <w:tcBorders>
              <w:top w:val="nil"/>
              <w:left w:val="single" w:color="auto" w:sz="4" w:space="0"/>
              <w:bottom w:val="single" w:color="auto" w:sz="4" w:space="0"/>
              <w:right w:val="single" w:color="auto" w:sz="4" w:space="0"/>
            </w:tcBorders>
            <w:vAlign w:val="center"/>
          </w:tcPr>
          <w:p w14:paraId="770D2313">
            <w:pPr>
              <w:widowControl/>
              <w:spacing w:line="240" w:lineRule="auto"/>
              <w:jc w:val="center"/>
              <w:rPr>
                <w:kern w:val="0"/>
                <w:sz w:val="24"/>
                <w:szCs w:val="24"/>
              </w:rPr>
            </w:pPr>
            <w:r>
              <w:rPr>
                <w:rFonts w:hint="eastAsia"/>
                <w:kern w:val="0"/>
                <w:sz w:val="24"/>
                <w:szCs w:val="24"/>
              </w:rPr>
              <w:t>25</w:t>
            </w:r>
          </w:p>
        </w:tc>
        <w:tc>
          <w:tcPr>
            <w:tcW w:w="2221" w:type="dxa"/>
            <w:tcBorders>
              <w:top w:val="nil"/>
              <w:left w:val="nil"/>
              <w:bottom w:val="single" w:color="auto" w:sz="4" w:space="0"/>
              <w:right w:val="single" w:color="auto" w:sz="4" w:space="0"/>
            </w:tcBorders>
            <w:vAlign w:val="center"/>
          </w:tcPr>
          <w:p w14:paraId="3370CCA8">
            <w:pPr>
              <w:widowControl/>
              <w:spacing w:line="240" w:lineRule="auto"/>
              <w:jc w:val="left"/>
              <w:rPr>
                <w:kern w:val="0"/>
                <w:sz w:val="24"/>
                <w:szCs w:val="24"/>
              </w:rPr>
            </w:pPr>
            <w:r>
              <w:rPr>
                <w:kern w:val="0"/>
                <w:sz w:val="24"/>
                <w:szCs w:val="24"/>
              </w:rPr>
              <w:t>华电福新能源股份有限公司宁化鸡公岽风能发电项目</w:t>
            </w:r>
          </w:p>
        </w:tc>
        <w:tc>
          <w:tcPr>
            <w:tcW w:w="4677" w:type="dxa"/>
            <w:tcBorders>
              <w:top w:val="nil"/>
              <w:left w:val="nil"/>
              <w:bottom w:val="single" w:color="auto" w:sz="4" w:space="0"/>
              <w:right w:val="single" w:color="auto" w:sz="4" w:space="0"/>
            </w:tcBorders>
            <w:vAlign w:val="center"/>
          </w:tcPr>
          <w:p w14:paraId="713363CD">
            <w:pPr>
              <w:widowControl/>
              <w:spacing w:line="240" w:lineRule="auto"/>
              <w:jc w:val="left"/>
              <w:rPr>
                <w:kern w:val="0"/>
                <w:sz w:val="24"/>
                <w:szCs w:val="24"/>
              </w:rPr>
            </w:pPr>
            <w:r>
              <w:rPr>
                <w:kern w:val="0"/>
                <w:sz w:val="24"/>
                <w:szCs w:val="24"/>
              </w:rPr>
              <w:t>宁化鸡公岽风电场位于宁化县治平畲族乡高峰村鸡公岽一带山顶，用地面积项：21155平方米，项目建设规模为48MW(24×2MW)，建设内容主要为24台风电机组、110KV升压站一座及35KV集电线路组。本项目设计年发电量10170.5万kW·小时</w:t>
            </w:r>
          </w:p>
        </w:tc>
        <w:tc>
          <w:tcPr>
            <w:tcW w:w="1256" w:type="dxa"/>
            <w:tcBorders>
              <w:top w:val="nil"/>
              <w:left w:val="nil"/>
              <w:bottom w:val="single" w:color="auto" w:sz="4" w:space="0"/>
              <w:right w:val="single" w:color="auto" w:sz="4" w:space="0"/>
            </w:tcBorders>
            <w:vAlign w:val="center"/>
          </w:tcPr>
          <w:p w14:paraId="670E040C">
            <w:pPr>
              <w:widowControl/>
              <w:spacing w:line="240" w:lineRule="auto"/>
              <w:jc w:val="center"/>
              <w:rPr>
                <w:kern w:val="0"/>
                <w:sz w:val="24"/>
                <w:szCs w:val="24"/>
              </w:rPr>
            </w:pPr>
            <w:r>
              <w:rPr>
                <w:kern w:val="0"/>
                <w:sz w:val="24"/>
                <w:szCs w:val="24"/>
              </w:rPr>
              <w:t>2016-2018</w:t>
            </w:r>
          </w:p>
        </w:tc>
        <w:tc>
          <w:tcPr>
            <w:tcW w:w="1460" w:type="dxa"/>
            <w:tcBorders>
              <w:top w:val="nil"/>
              <w:left w:val="nil"/>
              <w:bottom w:val="single" w:color="auto" w:sz="4" w:space="0"/>
              <w:right w:val="single" w:color="auto" w:sz="4" w:space="0"/>
            </w:tcBorders>
            <w:vAlign w:val="center"/>
          </w:tcPr>
          <w:p w14:paraId="07D7D305">
            <w:pPr>
              <w:widowControl/>
              <w:spacing w:line="240" w:lineRule="auto"/>
              <w:jc w:val="center"/>
              <w:rPr>
                <w:kern w:val="0"/>
                <w:sz w:val="24"/>
                <w:szCs w:val="24"/>
              </w:rPr>
            </w:pPr>
            <w:r>
              <w:rPr>
                <w:kern w:val="0"/>
                <w:sz w:val="24"/>
                <w:szCs w:val="24"/>
              </w:rPr>
              <w:t xml:space="preserve">50000 </w:t>
            </w:r>
          </w:p>
        </w:tc>
        <w:tc>
          <w:tcPr>
            <w:tcW w:w="1843" w:type="dxa"/>
            <w:tcBorders>
              <w:top w:val="nil"/>
              <w:left w:val="nil"/>
              <w:bottom w:val="single" w:color="auto" w:sz="4" w:space="0"/>
              <w:right w:val="single" w:color="auto" w:sz="4" w:space="0"/>
            </w:tcBorders>
            <w:vAlign w:val="center"/>
          </w:tcPr>
          <w:p w14:paraId="74B12E41">
            <w:pPr>
              <w:widowControl/>
              <w:spacing w:line="240" w:lineRule="auto"/>
              <w:jc w:val="center"/>
              <w:rPr>
                <w:kern w:val="0"/>
                <w:sz w:val="24"/>
                <w:szCs w:val="24"/>
              </w:rPr>
            </w:pPr>
            <w:r>
              <w:rPr>
                <w:kern w:val="0"/>
                <w:sz w:val="24"/>
                <w:szCs w:val="24"/>
              </w:rPr>
              <w:t xml:space="preserve">10000 </w:t>
            </w:r>
          </w:p>
        </w:tc>
        <w:tc>
          <w:tcPr>
            <w:tcW w:w="1395" w:type="dxa"/>
            <w:tcBorders>
              <w:top w:val="nil"/>
              <w:left w:val="nil"/>
              <w:bottom w:val="single" w:color="auto" w:sz="4" w:space="0"/>
              <w:right w:val="single" w:color="auto" w:sz="4" w:space="0"/>
            </w:tcBorders>
            <w:vAlign w:val="center"/>
          </w:tcPr>
          <w:p w14:paraId="25D65535">
            <w:pPr>
              <w:widowControl/>
              <w:spacing w:line="240" w:lineRule="auto"/>
              <w:jc w:val="left"/>
              <w:rPr>
                <w:kern w:val="0"/>
                <w:sz w:val="24"/>
                <w:szCs w:val="24"/>
              </w:rPr>
            </w:pPr>
            <w:r>
              <w:rPr>
                <w:kern w:val="0"/>
                <w:sz w:val="24"/>
                <w:szCs w:val="24"/>
              </w:rPr>
              <w:t>宁化县人民政府</w:t>
            </w:r>
          </w:p>
        </w:tc>
      </w:tr>
      <w:tr w14:paraId="6057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40" w:type="dxa"/>
            <w:tcBorders>
              <w:top w:val="nil"/>
              <w:left w:val="single" w:color="auto" w:sz="4" w:space="0"/>
              <w:bottom w:val="single" w:color="auto" w:sz="4" w:space="0"/>
              <w:right w:val="single" w:color="auto" w:sz="4" w:space="0"/>
            </w:tcBorders>
            <w:vAlign w:val="center"/>
          </w:tcPr>
          <w:p w14:paraId="6ECB881B">
            <w:pPr>
              <w:widowControl/>
              <w:spacing w:line="240" w:lineRule="auto"/>
              <w:jc w:val="center"/>
              <w:rPr>
                <w:kern w:val="0"/>
                <w:sz w:val="24"/>
                <w:szCs w:val="24"/>
              </w:rPr>
            </w:pPr>
            <w:r>
              <w:rPr>
                <w:rFonts w:hint="eastAsia"/>
                <w:kern w:val="0"/>
                <w:sz w:val="24"/>
                <w:szCs w:val="24"/>
              </w:rPr>
              <w:t>26</w:t>
            </w:r>
          </w:p>
        </w:tc>
        <w:tc>
          <w:tcPr>
            <w:tcW w:w="2221" w:type="dxa"/>
            <w:tcBorders>
              <w:top w:val="nil"/>
              <w:left w:val="nil"/>
              <w:bottom w:val="single" w:color="auto" w:sz="4" w:space="0"/>
              <w:right w:val="single" w:color="auto" w:sz="4" w:space="0"/>
            </w:tcBorders>
            <w:vAlign w:val="center"/>
          </w:tcPr>
          <w:p w14:paraId="27CD5BB7">
            <w:pPr>
              <w:widowControl/>
              <w:spacing w:line="240" w:lineRule="auto"/>
              <w:jc w:val="left"/>
              <w:rPr>
                <w:kern w:val="0"/>
                <w:sz w:val="24"/>
                <w:szCs w:val="24"/>
              </w:rPr>
            </w:pPr>
            <w:r>
              <w:rPr>
                <w:kern w:val="0"/>
                <w:sz w:val="24"/>
                <w:szCs w:val="24"/>
              </w:rPr>
              <w:t>宁化中节能东华山风力发电项目</w:t>
            </w:r>
          </w:p>
        </w:tc>
        <w:tc>
          <w:tcPr>
            <w:tcW w:w="4677" w:type="dxa"/>
            <w:tcBorders>
              <w:top w:val="nil"/>
              <w:left w:val="nil"/>
              <w:bottom w:val="single" w:color="auto" w:sz="4" w:space="0"/>
              <w:right w:val="single" w:color="auto" w:sz="4" w:space="0"/>
            </w:tcBorders>
            <w:vAlign w:val="center"/>
          </w:tcPr>
          <w:p w14:paraId="47667839">
            <w:pPr>
              <w:widowControl/>
              <w:spacing w:line="240" w:lineRule="auto"/>
              <w:jc w:val="left"/>
              <w:rPr>
                <w:kern w:val="0"/>
                <w:sz w:val="24"/>
                <w:szCs w:val="24"/>
              </w:rPr>
            </w:pPr>
            <w:r>
              <w:rPr>
                <w:kern w:val="0"/>
                <w:sz w:val="24"/>
                <w:szCs w:val="24"/>
              </w:rPr>
              <w:t>总装机容量60MW</w:t>
            </w:r>
          </w:p>
        </w:tc>
        <w:tc>
          <w:tcPr>
            <w:tcW w:w="1256" w:type="dxa"/>
            <w:tcBorders>
              <w:top w:val="nil"/>
              <w:left w:val="nil"/>
              <w:bottom w:val="single" w:color="auto" w:sz="4" w:space="0"/>
              <w:right w:val="single" w:color="auto" w:sz="4" w:space="0"/>
            </w:tcBorders>
            <w:vAlign w:val="center"/>
          </w:tcPr>
          <w:p w14:paraId="752F2FF5">
            <w:pPr>
              <w:widowControl/>
              <w:spacing w:line="240" w:lineRule="auto"/>
              <w:jc w:val="center"/>
              <w:rPr>
                <w:kern w:val="0"/>
                <w:sz w:val="24"/>
                <w:szCs w:val="24"/>
              </w:rPr>
            </w:pPr>
            <w:r>
              <w:rPr>
                <w:kern w:val="0"/>
                <w:sz w:val="24"/>
                <w:szCs w:val="24"/>
              </w:rPr>
              <w:t>2019-2022</w:t>
            </w:r>
          </w:p>
        </w:tc>
        <w:tc>
          <w:tcPr>
            <w:tcW w:w="1460" w:type="dxa"/>
            <w:tcBorders>
              <w:top w:val="nil"/>
              <w:left w:val="nil"/>
              <w:bottom w:val="single" w:color="auto" w:sz="4" w:space="0"/>
              <w:right w:val="single" w:color="auto" w:sz="4" w:space="0"/>
            </w:tcBorders>
            <w:vAlign w:val="center"/>
          </w:tcPr>
          <w:p w14:paraId="024113E5">
            <w:pPr>
              <w:widowControl/>
              <w:spacing w:line="240" w:lineRule="auto"/>
              <w:jc w:val="center"/>
              <w:rPr>
                <w:kern w:val="0"/>
                <w:sz w:val="24"/>
                <w:szCs w:val="24"/>
              </w:rPr>
            </w:pPr>
            <w:r>
              <w:rPr>
                <w:kern w:val="0"/>
                <w:sz w:val="24"/>
                <w:szCs w:val="24"/>
              </w:rPr>
              <w:t xml:space="preserve">50000 </w:t>
            </w:r>
          </w:p>
        </w:tc>
        <w:tc>
          <w:tcPr>
            <w:tcW w:w="1843" w:type="dxa"/>
            <w:tcBorders>
              <w:top w:val="nil"/>
              <w:left w:val="nil"/>
              <w:bottom w:val="single" w:color="auto" w:sz="4" w:space="0"/>
              <w:right w:val="single" w:color="auto" w:sz="4" w:space="0"/>
            </w:tcBorders>
            <w:vAlign w:val="center"/>
          </w:tcPr>
          <w:p w14:paraId="1DAF670F">
            <w:pPr>
              <w:widowControl/>
              <w:spacing w:line="240" w:lineRule="auto"/>
              <w:jc w:val="center"/>
              <w:rPr>
                <w:kern w:val="0"/>
                <w:sz w:val="24"/>
                <w:szCs w:val="24"/>
              </w:rPr>
            </w:pPr>
            <w:r>
              <w:rPr>
                <w:kern w:val="0"/>
                <w:sz w:val="24"/>
                <w:szCs w:val="24"/>
              </w:rPr>
              <w:t xml:space="preserve">6000 </w:t>
            </w:r>
          </w:p>
        </w:tc>
        <w:tc>
          <w:tcPr>
            <w:tcW w:w="1395" w:type="dxa"/>
            <w:tcBorders>
              <w:top w:val="nil"/>
              <w:left w:val="nil"/>
              <w:bottom w:val="single" w:color="auto" w:sz="4" w:space="0"/>
              <w:right w:val="single" w:color="auto" w:sz="4" w:space="0"/>
            </w:tcBorders>
            <w:vAlign w:val="center"/>
          </w:tcPr>
          <w:p w14:paraId="3AAF6793">
            <w:pPr>
              <w:widowControl/>
              <w:spacing w:line="240" w:lineRule="auto"/>
              <w:jc w:val="left"/>
              <w:rPr>
                <w:kern w:val="0"/>
                <w:sz w:val="24"/>
                <w:szCs w:val="24"/>
              </w:rPr>
            </w:pPr>
            <w:r>
              <w:rPr>
                <w:kern w:val="0"/>
                <w:sz w:val="24"/>
                <w:szCs w:val="24"/>
              </w:rPr>
              <w:t>宁化县人民政府</w:t>
            </w:r>
          </w:p>
        </w:tc>
      </w:tr>
      <w:tr w14:paraId="6DFF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040" w:type="dxa"/>
            <w:tcBorders>
              <w:top w:val="nil"/>
              <w:left w:val="single" w:color="auto" w:sz="4" w:space="0"/>
              <w:bottom w:val="single" w:color="auto" w:sz="4" w:space="0"/>
              <w:right w:val="single" w:color="auto" w:sz="4" w:space="0"/>
            </w:tcBorders>
            <w:vAlign w:val="center"/>
          </w:tcPr>
          <w:p w14:paraId="77EC7380">
            <w:pPr>
              <w:widowControl/>
              <w:spacing w:line="240" w:lineRule="auto"/>
              <w:jc w:val="center"/>
              <w:rPr>
                <w:kern w:val="0"/>
                <w:sz w:val="24"/>
                <w:szCs w:val="24"/>
              </w:rPr>
            </w:pPr>
            <w:r>
              <w:rPr>
                <w:rFonts w:hint="eastAsia"/>
                <w:kern w:val="0"/>
                <w:sz w:val="24"/>
                <w:szCs w:val="24"/>
              </w:rPr>
              <w:t>27</w:t>
            </w:r>
          </w:p>
        </w:tc>
        <w:tc>
          <w:tcPr>
            <w:tcW w:w="2221" w:type="dxa"/>
            <w:tcBorders>
              <w:top w:val="nil"/>
              <w:left w:val="nil"/>
              <w:bottom w:val="single" w:color="auto" w:sz="4" w:space="0"/>
              <w:right w:val="single" w:color="auto" w:sz="4" w:space="0"/>
            </w:tcBorders>
            <w:vAlign w:val="center"/>
          </w:tcPr>
          <w:p w14:paraId="73D4F3DC">
            <w:pPr>
              <w:widowControl/>
              <w:spacing w:line="240" w:lineRule="auto"/>
              <w:jc w:val="left"/>
              <w:rPr>
                <w:kern w:val="0"/>
                <w:sz w:val="24"/>
                <w:szCs w:val="24"/>
              </w:rPr>
            </w:pPr>
            <w:r>
              <w:rPr>
                <w:kern w:val="0"/>
                <w:sz w:val="24"/>
                <w:szCs w:val="24"/>
              </w:rPr>
              <w:t>宁化中核风力发电项目</w:t>
            </w:r>
          </w:p>
        </w:tc>
        <w:tc>
          <w:tcPr>
            <w:tcW w:w="4677" w:type="dxa"/>
            <w:tcBorders>
              <w:top w:val="nil"/>
              <w:left w:val="nil"/>
              <w:bottom w:val="single" w:color="auto" w:sz="4" w:space="0"/>
              <w:right w:val="single" w:color="auto" w:sz="4" w:space="0"/>
            </w:tcBorders>
            <w:vAlign w:val="center"/>
          </w:tcPr>
          <w:p w14:paraId="2D1BDE87">
            <w:pPr>
              <w:widowControl/>
              <w:spacing w:line="240" w:lineRule="auto"/>
              <w:jc w:val="left"/>
              <w:rPr>
                <w:kern w:val="0"/>
                <w:sz w:val="24"/>
                <w:szCs w:val="24"/>
              </w:rPr>
            </w:pPr>
            <w:r>
              <w:rPr>
                <w:kern w:val="0"/>
                <w:sz w:val="24"/>
                <w:szCs w:val="24"/>
              </w:rPr>
              <w:t>规划总装机容量166MW，其中方田风电场规划装机容量70MW,金华山风电场规划装机容量48MW，河龙风电场48MW</w:t>
            </w:r>
          </w:p>
        </w:tc>
        <w:tc>
          <w:tcPr>
            <w:tcW w:w="1256" w:type="dxa"/>
            <w:tcBorders>
              <w:top w:val="nil"/>
              <w:left w:val="nil"/>
              <w:bottom w:val="single" w:color="auto" w:sz="4" w:space="0"/>
              <w:right w:val="single" w:color="auto" w:sz="4" w:space="0"/>
            </w:tcBorders>
            <w:vAlign w:val="center"/>
          </w:tcPr>
          <w:p w14:paraId="4935A402">
            <w:pPr>
              <w:widowControl/>
              <w:spacing w:line="240" w:lineRule="auto"/>
              <w:jc w:val="center"/>
              <w:rPr>
                <w:kern w:val="0"/>
                <w:sz w:val="24"/>
                <w:szCs w:val="24"/>
              </w:rPr>
            </w:pPr>
            <w:r>
              <w:rPr>
                <w:kern w:val="0"/>
                <w:sz w:val="24"/>
                <w:szCs w:val="24"/>
              </w:rPr>
              <w:t>2019-2023</w:t>
            </w:r>
          </w:p>
        </w:tc>
        <w:tc>
          <w:tcPr>
            <w:tcW w:w="1460" w:type="dxa"/>
            <w:tcBorders>
              <w:top w:val="nil"/>
              <w:left w:val="nil"/>
              <w:bottom w:val="single" w:color="auto" w:sz="4" w:space="0"/>
              <w:right w:val="single" w:color="auto" w:sz="4" w:space="0"/>
            </w:tcBorders>
            <w:vAlign w:val="center"/>
          </w:tcPr>
          <w:p w14:paraId="7E35941E">
            <w:pPr>
              <w:widowControl/>
              <w:spacing w:line="240" w:lineRule="auto"/>
              <w:jc w:val="center"/>
              <w:rPr>
                <w:kern w:val="0"/>
                <w:sz w:val="24"/>
                <w:szCs w:val="24"/>
              </w:rPr>
            </w:pPr>
            <w:r>
              <w:rPr>
                <w:kern w:val="0"/>
                <w:sz w:val="24"/>
                <w:szCs w:val="24"/>
              </w:rPr>
              <w:t xml:space="preserve">150000 </w:t>
            </w:r>
          </w:p>
        </w:tc>
        <w:tc>
          <w:tcPr>
            <w:tcW w:w="1843" w:type="dxa"/>
            <w:tcBorders>
              <w:top w:val="nil"/>
              <w:left w:val="nil"/>
              <w:bottom w:val="single" w:color="auto" w:sz="4" w:space="0"/>
              <w:right w:val="single" w:color="auto" w:sz="4" w:space="0"/>
            </w:tcBorders>
            <w:vAlign w:val="center"/>
          </w:tcPr>
          <w:p w14:paraId="1CFAC16C">
            <w:pPr>
              <w:widowControl/>
              <w:spacing w:line="240" w:lineRule="auto"/>
              <w:jc w:val="center"/>
              <w:rPr>
                <w:kern w:val="0"/>
                <w:sz w:val="24"/>
                <w:szCs w:val="24"/>
              </w:rPr>
            </w:pPr>
            <w:r>
              <w:rPr>
                <w:kern w:val="0"/>
                <w:sz w:val="24"/>
                <w:szCs w:val="24"/>
              </w:rPr>
              <w:t xml:space="preserve">6000 </w:t>
            </w:r>
          </w:p>
        </w:tc>
        <w:tc>
          <w:tcPr>
            <w:tcW w:w="1395" w:type="dxa"/>
            <w:tcBorders>
              <w:top w:val="nil"/>
              <w:left w:val="nil"/>
              <w:bottom w:val="single" w:color="auto" w:sz="4" w:space="0"/>
              <w:right w:val="single" w:color="auto" w:sz="4" w:space="0"/>
            </w:tcBorders>
            <w:vAlign w:val="center"/>
          </w:tcPr>
          <w:p w14:paraId="6FC5484B">
            <w:pPr>
              <w:widowControl/>
              <w:spacing w:line="240" w:lineRule="auto"/>
              <w:jc w:val="left"/>
              <w:rPr>
                <w:kern w:val="0"/>
                <w:sz w:val="24"/>
                <w:szCs w:val="24"/>
              </w:rPr>
            </w:pPr>
            <w:r>
              <w:rPr>
                <w:kern w:val="0"/>
                <w:sz w:val="24"/>
                <w:szCs w:val="24"/>
              </w:rPr>
              <w:t>宁化县人民政府</w:t>
            </w:r>
          </w:p>
        </w:tc>
      </w:tr>
      <w:tr w14:paraId="2CF6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40" w:type="dxa"/>
            <w:tcBorders>
              <w:top w:val="nil"/>
              <w:left w:val="single" w:color="auto" w:sz="4" w:space="0"/>
              <w:bottom w:val="single" w:color="auto" w:sz="4" w:space="0"/>
              <w:right w:val="single" w:color="auto" w:sz="4" w:space="0"/>
            </w:tcBorders>
            <w:vAlign w:val="center"/>
          </w:tcPr>
          <w:p w14:paraId="102421ED">
            <w:pPr>
              <w:widowControl/>
              <w:spacing w:line="240" w:lineRule="auto"/>
              <w:jc w:val="center"/>
              <w:rPr>
                <w:kern w:val="0"/>
                <w:sz w:val="24"/>
                <w:szCs w:val="24"/>
              </w:rPr>
            </w:pPr>
            <w:r>
              <w:rPr>
                <w:rFonts w:hint="eastAsia"/>
                <w:kern w:val="0"/>
                <w:sz w:val="24"/>
                <w:szCs w:val="24"/>
              </w:rPr>
              <w:t>28</w:t>
            </w:r>
          </w:p>
        </w:tc>
        <w:tc>
          <w:tcPr>
            <w:tcW w:w="2221" w:type="dxa"/>
            <w:tcBorders>
              <w:top w:val="nil"/>
              <w:left w:val="nil"/>
              <w:bottom w:val="single" w:color="auto" w:sz="4" w:space="0"/>
              <w:right w:val="single" w:color="auto" w:sz="4" w:space="0"/>
            </w:tcBorders>
            <w:vAlign w:val="center"/>
          </w:tcPr>
          <w:p w14:paraId="6664CF3F">
            <w:pPr>
              <w:widowControl/>
              <w:spacing w:line="240" w:lineRule="auto"/>
              <w:jc w:val="left"/>
              <w:rPr>
                <w:kern w:val="0"/>
                <w:sz w:val="24"/>
                <w:szCs w:val="24"/>
              </w:rPr>
            </w:pPr>
            <w:r>
              <w:rPr>
                <w:kern w:val="0"/>
                <w:sz w:val="24"/>
                <w:szCs w:val="24"/>
              </w:rPr>
              <w:t>大田县开发区燃煤集中供热项目</w:t>
            </w:r>
          </w:p>
        </w:tc>
        <w:tc>
          <w:tcPr>
            <w:tcW w:w="4677" w:type="dxa"/>
            <w:tcBorders>
              <w:top w:val="nil"/>
              <w:left w:val="nil"/>
              <w:bottom w:val="single" w:color="auto" w:sz="4" w:space="0"/>
              <w:right w:val="single" w:color="auto" w:sz="4" w:space="0"/>
            </w:tcBorders>
            <w:vAlign w:val="center"/>
          </w:tcPr>
          <w:p w14:paraId="5B30FC7D">
            <w:pPr>
              <w:widowControl/>
              <w:spacing w:line="240" w:lineRule="auto"/>
              <w:jc w:val="left"/>
              <w:rPr>
                <w:kern w:val="0"/>
                <w:sz w:val="24"/>
                <w:szCs w:val="24"/>
              </w:rPr>
            </w:pPr>
            <w:r>
              <w:rPr>
                <w:kern w:val="0"/>
                <w:sz w:val="24"/>
                <w:szCs w:val="24"/>
              </w:rPr>
              <w:t>建设2台50吨/小时蒸汽锅炉、2台75吨/小时蒸汽锅炉及管网铺设</w:t>
            </w:r>
          </w:p>
        </w:tc>
        <w:tc>
          <w:tcPr>
            <w:tcW w:w="1256" w:type="dxa"/>
            <w:tcBorders>
              <w:top w:val="nil"/>
              <w:left w:val="nil"/>
              <w:bottom w:val="single" w:color="auto" w:sz="4" w:space="0"/>
              <w:right w:val="single" w:color="auto" w:sz="4" w:space="0"/>
            </w:tcBorders>
            <w:vAlign w:val="center"/>
          </w:tcPr>
          <w:p w14:paraId="054AB895">
            <w:pPr>
              <w:widowControl/>
              <w:spacing w:line="240" w:lineRule="auto"/>
              <w:jc w:val="center"/>
              <w:rPr>
                <w:kern w:val="0"/>
                <w:sz w:val="24"/>
                <w:szCs w:val="24"/>
              </w:rPr>
            </w:pPr>
            <w:r>
              <w:rPr>
                <w:kern w:val="0"/>
                <w:sz w:val="24"/>
                <w:szCs w:val="24"/>
              </w:rPr>
              <w:t>2018-2019</w:t>
            </w:r>
          </w:p>
        </w:tc>
        <w:tc>
          <w:tcPr>
            <w:tcW w:w="1460" w:type="dxa"/>
            <w:tcBorders>
              <w:top w:val="nil"/>
              <w:left w:val="nil"/>
              <w:bottom w:val="single" w:color="auto" w:sz="4" w:space="0"/>
              <w:right w:val="single" w:color="auto" w:sz="4" w:space="0"/>
            </w:tcBorders>
            <w:vAlign w:val="center"/>
          </w:tcPr>
          <w:p w14:paraId="06AC4F2E">
            <w:pPr>
              <w:widowControl/>
              <w:spacing w:line="240" w:lineRule="auto"/>
              <w:jc w:val="center"/>
              <w:rPr>
                <w:kern w:val="0"/>
                <w:sz w:val="24"/>
                <w:szCs w:val="24"/>
              </w:rPr>
            </w:pPr>
            <w:r>
              <w:rPr>
                <w:kern w:val="0"/>
                <w:sz w:val="24"/>
                <w:szCs w:val="24"/>
              </w:rPr>
              <w:t xml:space="preserve">10000 </w:t>
            </w:r>
          </w:p>
        </w:tc>
        <w:tc>
          <w:tcPr>
            <w:tcW w:w="1843" w:type="dxa"/>
            <w:tcBorders>
              <w:top w:val="nil"/>
              <w:left w:val="nil"/>
              <w:bottom w:val="single" w:color="auto" w:sz="4" w:space="0"/>
              <w:right w:val="single" w:color="auto" w:sz="4" w:space="0"/>
            </w:tcBorders>
            <w:vAlign w:val="center"/>
          </w:tcPr>
          <w:p w14:paraId="58468DC9">
            <w:pPr>
              <w:widowControl/>
              <w:spacing w:line="240" w:lineRule="auto"/>
              <w:jc w:val="center"/>
              <w:rPr>
                <w:kern w:val="0"/>
                <w:sz w:val="24"/>
                <w:szCs w:val="24"/>
              </w:rPr>
            </w:pPr>
            <w:r>
              <w:rPr>
                <w:kern w:val="0"/>
                <w:sz w:val="24"/>
                <w:szCs w:val="24"/>
              </w:rPr>
              <w:t xml:space="preserve">10000 </w:t>
            </w:r>
          </w:p>
        </w:tc>
        <w:tc>
          <w:tcPr>
            <w:tcW w:w="1395" w:type="dxa"/>
            <w:tcBorders>
              <w:top w:val="nil"/>
              <w:left w:val="nil"/>
              <w:bottom w:val="single" w:color="auto" w:sz="4" w:space="0"/>
              <w:right w:val="single" w:color="auto" w:sz="4" w:space="0"/>
            </w:tcBorders>
            <w:vAlign w:val="center"/>
          </w:tcPr>
          <w:p w14:paraId="599C00B1">
            <w:pPr>
              <w:widowControl/>
              <w:spacing w:line="240" w:lineRule="auto"/>
              <w:jc w:val="left"/>
              <w:rPr>
                <w:kern w:val="0"/>
                <w:sz w:val="24"/>
                <w:szCs w:val="24"/>
              </w:rPr>
            </w:pPr>
            <w:r>
              <w:rPr>
                <w:kern w:val="0"/>
                <w:sz w:val="24"/>
                <w:szCs w:val="24"/>
              </w:rPr>
              <w:t>大田县人民政府</w:t>
            </w:r>
          </w:p>
        </w:tc>
      </w:tr>
      <w:tr w14:paraId="5949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40" w:type="dxa"/>
            <w:tcBorders>
              <w:top w:val="nil"/>
              <w:left w:val="single" w:color="auto" w:sz="4" w:space="0"/>
              <w:bottom w:val="single" w:color="auto" w:sz="4" w:space="0"/>
              <w:right w:val="single" w:color="auto" w:sz="4" w:space="0"/>
            </w:tcBorders>
            <w:vAlign w:val="center"/>
          </w:tcPr>
          <w:p w14:paraId="4A324BA9">
            <w:pPr>
              <w:widowControl/>
              <w:spacing w:line="240" w:lineRule="auto"/>
              <w:jc w:val="center"/>
              <w:rPr>
                <w:kern w:val="0"/>
                <w:sz w:val="24"/>
                <w:szCs w:val="24"/>
              </w:rPr>
            </w:pPr>
            <w:r>
              <w:rPr>
                <w:rFonts w:hint="eastAsia"/>
                <w:kern w:val="0"/>
                <w:sz w:val="24"/>
                <w:szCs w:val="24"/>
              </w:rPr>
              <w:t>29</w:t>
            </w:r>
          </w:p>
        </w:tc>
        <w:tc>
          <w:tcPr>
            <w:tcW w:w="2221" w:type="dxa"/>
            <w:tcBorders>
              <w:top w:val="nil"/>
              <w:left w:val="nil"/>
              <w:bottom w:val="single" w:color="auto" w:sz="4" w:space="0"/>
              <w:right w:val="single" w:color="auto" w:sz="4" w:space="0"/>
            </w:tcBorders>
            <w:vAlign w:val="center"/>
          </w:tcPr>
          <w:p w14:paraId="59B23D5E">
            <w:pPr>
              <w:widowControl/>
              <w:spacing w:line="240" w:lineRule="auto"/>
              <w:jc w:val="left"/>
              <w:rPr>
                <w:kern w:val="0"/>
                <w:sz w:val="24"/>
                <w:szCs w:val="24"/>
              </w:rPr>
            </w:pPr>
            <w:r>
              <w:rPr>
                <w:kern w:val="0"/>
                <w:sz w:val="24"/>
                <w:szCs w:val="24"/>
              </w:rPr>
              <w:t>大田县汤泉地热发电项目</w:t>
            </w:r>
          </w:p>
        </w:tc>
        <w:tc>
          <w:tcPr>
            <w:tcW w:w="4677" w:type="dxa"/>
            <w:tcBorders>
              <w:top w:val="nil"/>
              <w:left w:val="nil"/>
              <w:bottom w:val="single" w:color="auto" w:sz="4" w:space="0"/>
              <w:right w:val="single" w:color="auto" w:sz="4" w:space="0"/>
            </w:tcBorders>
            <w:vAlign w:val="center"/>
          </w:tcPr>
          <w:p w14:paraId="084E4E61">
            <w:pPr>
              <w:widowControl/>
              <w:spacing w:line="240" w:lineRule="auto"/>
              <w:jc w:val="left"/>
              <w:rPr>
                <w:kern w:val="0"/>
                <w:sz w:val="24"/>
                <w:szCs w:val="24"/>
              </w:rPr>
            </w:pPr>
            <w:r>
              <w:rPr>
                <w:kern w:val="0"/>
                <w:sz w:val="24"/>
                <w:szCs w:val="24"/>
              </w:rPr>
              <w:t>建设3200平方米综合办公楼一栋，发电厂房一座及其它相关的附属设施</w:t>
            </w:r>
          </w:p>
        </w:tc>
        <w:tc>
          <w:tcPr>
            <w:tcW w:w="1256" w:type="dxa"/>
            <w:tcBorders>
              <w:top w:val="nil"/>
              <w:left w:val="nil"/>
              <w:bottom w:val="single" w:color="auto" w:sz="4" w:space="0"/>
              <w:right w:val="single" w:color="auto" w:sz="4" w:space="0"/>
            </w:tcBorders>
            <w:vAlign w:val="center"/>
          </w:tcPr>
          <w:p w14:paraId="2D67AB21">
            <w:pPr>
              <w:widowControl/>
              <w:spacing w:line="240" w:lineRule="auto"/>
              <w:jc w:val="center"/>
              <w:rPr>
                <w:kern w:val="0"/>
                <w:sz w:val="24"/>
                <w:szCs w:val="24"/>
              </w:rPr>
            </w:pPr>
            <w:r>
              <w:rPr>
                <w:kern w:val="0"/>
                <w:sz w:val="24"/>
                <w:szCs w:val="24"/>
              </w:rPr>
              <w:t>2018-2022</w:t>
            </w:r>
          </w:p>
        </w:tc>
        <w:tc>
          <w:tcPr>
            <w:tcW w:w="1460" w:type="dxa"/>
            <w:tcBorders>
              <w:top w:val="nil"/>
              <w:left w:val="nil"/>
              <w:bottom w:val="single" w:color="auto" w:sz="4" w:space="0"/>
              <w:right w:val="single" w:color="auto" w:sz="4" w:space="0"/>
            </w:tcBorders>
            <w:vAlign w:val="center"/>
          </w:tcPr>
          <w:p w14:paraId="336B7C7C">
            <w:pPr>
              <w:widowControl/>
              <w:spacing w:line="240" w:lineRule="auto"/>
              <w:jc w:val="center"/>
              <w:rPr>
                <w:kern w:val="0"/>
                <w:sz w:val="24"/>
                <w:szCs w:val="24"/>
              </w:rPr>
            </w:pPr>
            <w:r>
              <w:rPr>
                <w:kern w:val="0"/>
                <w:sz w:val="24"/>
                <w:szCs w:val="24"/>
              </w:rPr>
              <w:t xml:space="preserve">280000 </w:t>
            </w:r>
          </w:p>
        </w:tc>
        <w:tc>
          <w:tcPr>
            <w:tcW w:w="1843" w:type="dxa"/>
            <w:tcBorders>
              <w:top w:val="nil"/>
              <w:left w:val="nil"/>
              <w:bottom w:val="single" w:color="auto" w:sz="4" w:space="0"/>
              <w:right w:val="single" w:color="auto" w:sz="4" w:space="0"/>
            </w:tcBorders>
            <w:vAlign w:val="center"/>
          </w:tcPr>
          <w:p w14:paraId="5337BB06">
            <w:pPr>
              <w:widowControl/>
              <w:spacing w:line="240" w:lineRule="auto"/>
              <w:jc w:val="center"/>
              <w:rPr>
                <w:kern w:val="0"/>
                <w:sz w:val="24"/>
                <w:szCs w:val="24"/>
              </w:rPr>
            </w:pPr>
            <w:r>
              <w:rPr>
                <w:kern w:val="0"/>
                <w:sz w:val="24"/>
                <w:szCs w:val="24"/>
              </w:rPr>
              <w:t xml:space="preserve">40000 </w:t>
            </w:r>
          </w:p>
        </w:tc>
        <w:tc>
          <w:tcPr>
            <w:tcW w:w="1395" w:type="dxa"/>
            <w:tcBorders>
              <w:top w:val="nil"/>
              <w:left w:val="nil"/>
              <w:bottom w:val="single" w:color="auto" w:sz="4" w:space="0"/>
              <w:right w:val="single" w:color="auto" w:sz="4" w:space="0"/>
            </w:tcBorders>
            <w:vAlign w:val="center"/>
          </w:tcPr>
          <w:p w14:paraId="56ED50CC">
            <w:pPr>
              <w:widowControl/>
              <w:spacing w:line="240" w:lineRule="auto"/>
              <w:jc w:val="left"/>
              <w:rPr>
                <w:kern w:val="0"/>
                <w:sz w:val="24"/>
                <w:szCs w:val="24"/>
              </w:rPr>
            </w:pPr>
            <w:r>
              <w:rPr>
                <w:kern w:val="0"/>
                <w:sz w:val="24"/>
                <w:szCs w:val="24"/>
              </w:rPr>
              <w:t>大田县人民政府</w:t>
            </w:r>
          </w:p>
        </w:tc>
      </w:tr>
      <w:tr w14:paraId="5C84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040" w:type="dxa"/>
            <w:tcBorders>
              <w:top w:val="nil"/>
              <w:left w:val="single" w:color="auto" w:sz="4" w:space="0"/>
              <w:bottom w:val="single" w:color="auto" w:sz="4" w:space="0"/>
              <w:right w:val="single" w:color="auto" w:sz="4" w:space="0"/>
            </w:tcBorders>
            <w:vAlign w:val="center"/>
          </w:tcPr>
          <w:p w14:paraId="112FE6F4">
            <w:pPr>
              <w:widowControl/>
              <w:spacing w:line="240" w:lineRule="auto"/>
              <w:jc w:val="center"/>
              <w:rPr>
                <w:kern w:val="0"/>
                <w:sz w:val="24"/>
                <w:szCs w:val="24"/>
              </w:rPr>
            </w:pPr>
            <w:r>
              <w:rPr>
                <w:rFonts w:hint="eastAsia"/>
                <w:kern w:val="0"/>
                <w:sz w:val="24"/>
                <w:szCs w:val="24"/>
              </w:rPr>
              <w:t>30</w:t>
            </w:r>
          </w:p>
        </w:tc>
        <w:tc>
          <w:tcPr>
            <w:tcW w:w="2221" w:type="dxa"/>
            <w:tcBorders>
              <w:top w:val="nil"/>
              <w:left w:val="nil"/>
              <w:bottom w:val="single" w:color="auto" w:sz="4" w:space="0"/>
              <w:right w:val="single" w:color="auto" w:sz="4" w:space="0"/>
            </w:tcBorders>
            <w:vAlign w:val="center"/>
          </w:tcPr>
          <w:p w14:paraId="3405F7BA">
            <w:pPr>
              <w:widowControl/>
              <w:spacing w:line="240" w:lineRule="auto"/>
              <w:jc w:val="left"/>
              <w:rPr>
                <w:kern w:val="0"/>
                <w:sz w:val="24"/>
                <w:szCs w:val="24"/>
              </w:rPr>
            </w:pPr>
            <w:r>
              <w:rPr>
                <w:kern w:val="0"/>
                <w:sz w:val="24"/>
                <w:szCs w:val="24"/>
              </w:rPr>
              <w:t>建宁甘家隘风电场项目</w:t>
            </w:r>
          </w:p>
        </w:tc>
        <w:tc>
          <w:tcPr>
            <w:tcW w:w="4677" w:type="dxa"/>
            <w:tcBorders>
              <w:top w:val="nil"/>
              <w:left w:val="nil"/>
              <w:bottom w:val="single" w:color="auto" w:sz="4" w:space="0"/>
              <w:right w:val="single" w:color="auto" w:sz="4" w:space="0"/>
            </w:tcBorders>
            <w:vAlign w:val="center"/>
          </w:tcPr>
          <w:p w14:paraId="714991ED">
            <w:pPr>
              <w:widowControl/>
              <w:spacing w:line="240" w:lineRule="auto"/>
              <w:jc w:val="left"/>
              <w:rPr>
                <w:kern w:val="0"/>
                <w:sz w:val="24"/>
                <w:szCs w:val="24"/>
              </w:rPr>
            </w:pPr>
            <w:r>
              <w:rPr>
                <w:kern w:val="0"/>
                <w:sz w:val="24"/>
                <w:szCs w:val="24"/>
              </w:rPr>
              <w:t>新建风力发电厂120座，年产电量8000万千瓦时</w:t>
            </w:r>
          </w:p>
        </w:tc>
        <w:tc>
          <w:tcPr>
            <w:tcW w:w="1256" w:type="dxa"/>
            <w:tcBorders>
              <w:top w:val="nil"/>
              <w:left w:val="nil"/>
              <w:bottom w:val="single" w:color="auto" w:sz="4" w:space="0"/>
              <w:right w:val="single" w:color="auto" w:sz="4" w:space="0"/>
            </w:tcBorders>
            <w:vAlign w:val="center"/>
          </w:tcPr>
          <w:p w14:paraId="25346E1A">
            <w:pPr>
              <w:widowControl/>
              <w:spacing w:line="240" w:lineRule="auto"/>
              <w:jc w:val="center"/>
              <w:rPr>
                <w:kern w:val="0"/>
                <w:sz w:val="24"/>
                <w:szCs w:val="24"/>
              </w:rPr>
            </w:pPr>
            <w:r>
              <w:rPr>
                <w:kern w:val="0"/>
                <w:sz w:val="24"/>
                <w:szCs w:val="24"/>
              </w:rPr>
              <w:t>2017-2020</w:t>
            </w:r>
          </w:p>
        </w:tc>
        <w:tc>
          <w:tcPr>
            <w:tcW w:w="1460" w:type="dxa"/>
            <w:tcBorders>
              <w:top w:val="nil"/>
              <w:left w:val="nil"/>
              <w:bottom w:val="single" w:color="auto" w:sz="4" w:space="0"/>
              <w:right w:val="single" w:color="auto" w:sz="4" w:space="0"/>
            </w:tcBorders>
            <w:vAlign w:val="center"/>
          </w:tcPr>
          <w:p w14:paraId="635B75D8">
            <w:pPr>
              <w:widowControl/>
              <w:spacing w:line="240" w:lineRule="auto"/>
              <w:jc w:val="center"/>
              <w:rPr>
                <w:kern w:val="0"/>
                <w:sz w:val="24"/>
                <w:szCs w:val="24"/>
              </w:rPr>
            </w:pPr>
            <w:r>
              <w:rPr>
                <w:kern w:val="0"/>
                <w:sz w:val="24"/>
                <w:szCs w:val="24"/>
              </w:rPr>
              <w:t xml:space="preserve">53500 </w:t>
            </w:r>
          </w:p>
        </w:tc>
        <w:tc>
          <w:tcPr>
            <w:tcW w:w="1843" w:type="dxa"/>
            <w:tcBorders>
              <w:top w:val="nil"/>
              <w:left w:val="nil"/>
              <w:bottom w:val="single" w:color="auto" w:sz="4" w:space="0"/>
              <w:right w:val="single" w:color="auto" w:sz="4" w:space="0"/>
            </w:tcBorders>
            <w:vAlign w:val="center"/>
          </w:tcPr>
          <w:p w14:paraId="4349C789">
            <w:pPr>
              <w:widowControl/>
              <w:spacing w:line="240" w:lineRule="auto"/>
              <w:jc w:val="center"/>
              <w:rPr>
                <w:kern w:val="0"/>
                <w:sz w:val="24"/>
                <w:szCs w:val="24"/>
              </w:rPr>
            </w:pPr>
            <w:r>
              <w:rPr>
                <w:kern w:val="0"/>
                <w:sz w:val="24"/>
                <w:szCs w:val="24"/>
              </w:rPr>
              <w:t xml:space="preserve">20500 </w:t>
            </w:r>
          </w:p>
        </w:tc>
        <w:tc>
          <w:tcPr>
            <w:tcW w:w="1395" w:type="dxa"/>
            <w:tcBorders>
              <w:top w:val="nil"/>
              <w:left w:val="nil"/>
              <w:bottom w:val="single" w:color="auto" w:sz="4" w:space="0"/>
              <w:right w:val="single" w:color="auto" w:sz="4" w:space="0"/>
            </w:tcBorders>
            <w:vAlign w:val="center"/>
          </w:tcPr>
          <w:p w14:paraId="408BDDE1">
            <w:pPr>
              <w:widowControl/>
              <w:spacing w:line="240" w:lineRule="auto"/>
              <w:jc w:val="left"/>
              <w:rPr>
                <w:kern w:val="0"/>
                <w:sz w:val="24"/>
                <w:szCs w:val="24"/>
              </w:rPr>
            </w:pPr>
            <w:r>
              <w:rPr>
                <w:kern w:val="0"/>
                <w:sz w:val="24"/>
                <w:szCs w:val="24"/>
              </w:rPr>
              <w:t>建宁县人民政府</w:t>
            </w:r>
          </w:p>
        </w:tc>
      </w:tr>
      <w:tr w14:paraId="1BBD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40" w:type="dxa"/>
            <w:tcBorders>
              <w:top w:val="nil"/>
              <w:left w:val="single" w:color="auto" w:sz="4" w:space="0"/>
              <w:bottom w:val="single" w:color="auto" w:sz="4" w:space="0"/>
              <w:right w:val="single" w:color="auto" w:sz="4" w:space="0"/>
            </w:tcBorders>
            <w:vAlign w:val="center"/>
          </w:tcPr>
          <w:p w14:paraId="78823560">
            <w:pPr>
              <w:widowControl/>
              <w:spacing w:line="240" w:lineRule="auto"/>
              <w:jc w:val="center"/>
              <w:rPr>
                <w:kern w:val="0"/>
                <w:sz w:val="24"/>
                <w:szCs w:val="24"/>
              </w:rPr>
            </w:pPr>
            <w:r>
              <w:rPr>
                <w:rFonts w:hint="eastAsia"/>
                <w:kern w:val="0"/>
                <w:sz w:val="24"/>
                <w:szCs w:val="24"/>
              </w:rPr>
              <w:t>31</w:t>
            </w:r>
          </w:p>
        </w:tc>
        <w:tc>
          <w:tcPr>
            <w:tcW w:w="2221" w:type="dxa"/>
            <w:tcBorders>
              <w:top w:val="nil"/>
              <w:left w:val="nil"/>
              <w:bottom w:val="single" w:color="auto" w:sz="4" w:space="0"/>
              <w:right w:val="single" w:color="auto" w:sz="4" w:space="0"/>
            </w:tcBorders>
            <w:vAlign w:val="center"/>
          </w:tcPr>
          <w:p w14:paraId="16A8E983">
            <w:pPr>
              <w:widowControl/>
              <w:spacing w:line="240" w:lineRule="auto"/>
              <w:jc w:val="left"/>
              <w:rPr>
                <w:kern w:val="0"/>
                <w:sz w:val="24"/>
                <w:szCs w:val="24"/>
              </w:rPr>
            </w:pPr>
            <w:r>
              <w:rPr>
                <w:kern w:val="0"/>
                <w:sz w:val="24"/>
                <w:szCs w:val="24"/>
              </w:rPr>
              <w:t>三明核电站建设项目</w:t>
            </w:r>
          </w:p>
        </w:tc>
        <w:tc>
          <w:tcPr>
            <w:tcW w:w="4677" w:type="dxa"/>
            <w:tcBorders>
              <w:top w:val="nil"/>
              <w:left w:val="nil"/>
              <w:bottom w:val="single" w:color="auto" w:sz="4" w:space="0"/>
              <w:right w:val="single" w:color="auto" w:sz="4" w:space="0"/>
            </w:tcBorders>
            <w:vAlign w:val="center"/>
          </w:tcPr>
          <w:p w14:paraId="0888C67D">
            <w:pPr>
              <w:widowControl/>
              <w:spacing w:line="240" w:lineRule="auto"/>
              <w:jc w:val="left"/>
              <w:rPr>
                <w:kern w:val="0"/>
                <w:sz w:val="24"/>
                <w:szCs w:val="24"/>
              </w:rPr>
            </w:pPr>
            <w:r>
              <w:rPr>
                <w:kern w:val="0"/>
                <w:sz w:val="24"/>
                <w:szCs w:val="24"/>
              </w:rPr>
              <w:t>装机规模2×800MW+2×1200MW，分二期建设</w:t>
            </w:r>
          </w:p>
        </w:tc>
        <w:tc>
          <w:tcPr>
            <w:tcW w:w="1256" w:type="dxa"/>
            <w:tcBorders>
              <w:top w:val="nil"/>
              <w:left w:val="nil"/>
              <w:bottom w:val="single" w:color="auto" w:sz="4" w:space="0"/>
              <w:right w:val="single" w:color="auto" w:sz="4" w:space="0"/>
            </w:tcBorders>
            <w:vAlign w:val="center"/>
          </w:tcPr>
          <w:p w14:paraId="6E1FB7B6">
            <w:pPr>
              <w:widowControl/>
              <w:spacing w:line="240" w:lineRule="auto"/>
              <w:jc w:val="center"/>
              <w:rPr>
                <w:kern w:val="0"/>
                <w:sz w:val="24"/>
                <w:szCs w:val="24"/>
              </w:rPr>
            </w:pPr>
            <w:r>
              <w:rPr>
                <w:kern w:val="0"/>
                <w:sz w:val="24"/>
                <w:szCs w:val="24"/>
              </w:rPr>
              <w:t>2020-2028</w:t>
            </w:r>
          </w:p>
        </w:tc>
        <w:tc>
          <w:tcPr>
            <w:tcW w:w="1460" w:type="dxa"/>
            <w:tcBorders>
              <w:top w:val="nil"/>
              <w:left w:val="nil"/>
              <w:bottom w:val="single" w:color="auto" w:sz="4" w:space="0"/>
              <w:right w:val="single" w:color="auto" w:sz="4" w:space="0"/>
            </w:tcBorders>
            <w:vAlign w:val="center"/>
          </w:tcPr>
          <w:p w14:paraId="1BB552AE">
            <w:pPr>
              <w:widowControl/>
              <w:spacing w:line="240" w:lineRule="auto"/>
              <w:jc w:val="center"/>
              <w:rPr>
                <w:kern w:val="0"/>
                <w:sz w:val="24"/>
                <w:szCs w:val="24"/>
              </w:rPr>
            </w:pPr>
            <w:r>
              <w:rPr>
                <w:kern w:val="0"/>
                <w:sz w:val="24"/>
                <w:szCs w:val="24"/>
              </w:rPr>
              <w:t xml:space="preserve">3500000 </w:t>
            </w:r>
          </w:p>
        </w:tc>
        <w:tc>
          <w:tcPr>
            <w:tcW w:w="1843" w:type="dxa"/>
            <w:tcBorders>
              <w:top w:val="nil"/>
              <w:left w:val="nil"/>
              <w:bottom w:val="single" w:color="auto" w:sz="4" w:space="0"/>
              <w:right w:val="single" w:color="auto" w:sz="4" w:space="0"/>
            </w:tcBorders>
            <w:vAlign w:val="center"/>
          </w:tcPr>
          <w:p w14:paraId="054CBA4B">
            <w:pPr>
              <w:widowControl/>
              <w:spacing w:line="240" w:lineRule="auto"/>
              <w:jc w:val="center"/>
              <w:rPr>
                <w:kern w:val="0"/>
                <w:sz w:val="24"/>
                <w:szCs w:val="24"/>
              </w:rPr>
            </w:pPr>
            <w:r>
              <w:rPr>
                <w:kern w:val="0"/>
                <w:sz w:val="24"/>
                <w:szCs w:val="24"/>
              </w:rPr>
              <w:t xml:space="preserve">2000 </w:t>
            </w:r>
          </w:p>
        </w:tc>
        <w:tc>
          <w:tcPr>
            <w:tcW w:w="1395" w:type="dxa"/>
            <w:tcBorders>
              <w:top w:val="nil"/>
              <w:left w:val="nil"/>
              <w:bottom w:val="single" w:color="auto" w:sz="4" w:space="0"/>
              <w:right w:val="single" w:color="auto" w:sz="4" w:space="0"/>
            </w:tcBorders>
            <w:vAlign w:val="center"/>
          </w:tcPr>
          <w:p w14:paraId="44EC4934">
            <w:pPr>
              <w:widowControl/>
              <w:spacing w:line="240" w:lineRule="auto"/>
              <w:jc w:val="left"/>
              <w:rPr>
                <w:kern w:val="0"/>
                <w:sz w:val="24"/>
                <w:szCs w:val="24"/>
              </w:rPr>
            </w:pPr>
            <w:r>
              <w:rPr>
                <w:kern w:val="0"/>
                <w:sz w:val="24"/>
                <w:szCs w:val="24"/>
              </w:rPr>
              <w:t>将乐县人民政府</w:t>
            </w:r>
          </w:p>
        </w:tc>
      </w:tr>
      <w:tr w14:paraId="7BCA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trPr>
        <w:tc>
          <w:tcPr>
            <w:tcW w:w="1040" w:type="dxa"/>
            <w:tcBorders>
              <w:top w:val="nil"/>
              <w:left w:val="single" w:color="auto" w:sz="4" w:space="0"/>
              <w:bottom w:val="single" w:color="auto" w:sz="4" w:space="0"/>
              <w:right w:val="single" w:color="auto" w:sz="4" w:space="0"/>
            </w:tcBorders>
            <w:vAlign w:val="center"/>
          </w:tcPr>
          <w:p w14:paraId="6711206B">
            <w:pPr>
              <w:widowControl/>
              <w:spacing w:line="240" w:lineRule="auto"/>
              <w:jc w:val="center"/>
              <w:rPr>
                <w:kern w:val="0"/>
                <w:sz w:val="24"/>
                <w:szCs w:val="24"/>
              </w:rPr>
            </w:pPr>
            <w:r>
              <w:rPr>
                <w:rFonts w:hint="eastAsia"/>
                <w:kern w:val="0"/>
                <w:sz w:val="24"/>
                <w:szCs w:val="24"/>
              </w:rPr>
              <w:t>32</w:t>
            </w:r>
          </w:p>
        </w:tc>
        <w:tc>
          <w:tcPr>
            <w:tcW w:w="2221" w:type="dxa"/>
            <w:tcBorders>
              <w:top w:val="nil"/>
              <w:left w:val="nil"/>
              <w:bottom w:val="single" w:color="auto" w:sz="4" w:space="0"/>
              <w:right w:val="single" w:color="auto" w:sz="4" w:space="0"/>
            </w:tcBorders>
            <w:vAlign w:val="center"/>
          </w:tcPr>
          <w:p w14:paraId="5DA01D77">
            <w:pPr>
              <w:widowControl/>
              <w:spacing w:line="240" w:lineRule="auto"/>
              <w:jc w:val="left"/>
              <w:rPr>
                <w:kern w:val="0"/>
                <w:sz w:val="24"/>
                <w:szCs w:val="24"/>
              </w:rPr>
            </w:pPr>
            <w:r>
              <w:rPr>
                <w:kern w:val="0"/>
                <w:sz w:val="24"/>
                <w:szCs w:val="24"/>
              </w:rPr>
              <w:t>尤溪汤川风电一期建设项目</w:t>
            </w:r>
          </w:p>
        </w:tc>
        <w:tc>
          <w:tcPr>
            <w:tcW w:w="4677" w:type="dxa"/>
            <w:tcBorders>
              <w:top w:val="nil"/>
              <w:left w:val="nil"/>
              <w:bottom w:val="single" w:color="auto" w:sz="4" w:space="0"/>
              <w:right w:val="single" w:color="auto" w:sz="4" w:space="0"/>
            </w:tcBorders>
            <w:vAlign w:val="center"/>
          </w:tcPr>
          <w:p w14:paraId="25671B6B">
            <w:pPr>
              <w:widowControl/>
              <w:spacing w:line="240" w:lineRule="auto"/>
              <w:jc w:val="left"/>
              <w:rPr>
                <w:kern w:val="0"/>
                <w:sz w:val="24"/>
                <w:szCs w:val="24"/>
              </w:rPr>
            </w:pPr>
            <w:r>
              <w:rPr>
                <w:kern w:val="0"/>
                <w:sz w:val="24"/>
                <w:szCs w:val="24"/>
              </w:rPr>
              <w:t>一期项目规划用地31.9亩，计划安装24台并网型风电发电机组，单机容量2MW，建设规模48MW，设置一座110kV升压变电站，并入电力系统</w:t>
            </w:r>
          </w:p>
        </w:tc>
        <w:tc>
          <w:tcPr>
            <w:tcW w:w="1256" w:type="dxa"/>
            <w:tcBorders>
              <w:top w:val="nil"/>
              <w:left w:val="nil"/>
              <w:bottom w:val="single" w:color="auto" w:sz="4" w:space="0"/>
              <w:right w:val="single" w:color="auto" w:sz="4" w:space="0"/>
            </w:tcBorders>
            <w:vAlign w:val="center"/>
          </w:tcPr>
          <w:p w14:paraId="3C38E0ED">
            <w:pPr>
              <w:widowControl/>
              <w:spacing w:line="240" w:lineRule="auto"/>
              <w:jc w:val="center"/>
              <w:rPr>
                <w:kern w:val="0"/>
                <w:sz w:val="24"/>
                <w:szCs w:val="24"/>
              </w:rPr>
            </w:pPr>
            <w:r>
              <w:rPr>
                <w:kern w:val="0"/>
                <w:sz w:val="24"/>
                <w:szCs w:val="24"/>
              </w:rPr>
              <w:t>2017-2019</w:t>
            </w:r>
          </w:p>
        </w:tc>
        <w:tc>
          <w:tcPr>
            <w:tcW w:w="1460" w:type="dxa"/>
            <w:tcBorders>
              <w:top w:val="nil"/>
              <w:left w:val="nil"/>
              <w:bottom w:val="single" w:color="auto" w:sz="4" w:space="0"/>
              <w:right w:val="single" w:color="auto" w:sz="4" w:space="0"/>
            </w:tcBorders>
            <w:vAlign w:val="center"/>
          </w:tcPr>
          <w:p w14:paraId="70C77E15">
            <w:pPr>
              <w:widowControl/>
              <w:spacing w:line="240" w:lineRule="auto"/>
              <w:jc w:val="center"/>
              <w:rPr>
                <w:kern w:val="0"/>
                <w:sz w:val="24"/>
                <w:szCs w:val="24"/>
              </w:rPr>
            </w:pPr>
            <w:r>
              <w:rPr>
                <w:kern w:val="0"/>
                <w:sz w:val="24"/>
                <w:szCs w:val="24"/>
              </w:rPr>
              <w:t xml:space="preserve">42899 </w:t>
            </w:r>
          </w:p>
        </w:tc>
        <w:tc>
          <w:tcPr>
            <w:tcW w:w="1843" w:type="dxa"/>
            <w:tcBorders>
              <w:top w:val="nil"/>
              <w:left w:val="nil"/>
              <w:bottom w:val="single" w:color="auto" w:sz="4" w:space="0"/>
              <w:right w:val="single" w:color="auto" w:sz="4" w:space="0"/>
            </w:tcBorders>
            <w:vAlign w:val="center"/>
          </w:tcPr>
          <w:p w14:paraId="29C87ADF">
            <w:pPr>
              <w:widowControl/>
              <w:spacing w:line="240" w:lineRule="auto"/>
              <w:jc w:val="center"/>
              <w:rPr>
                <w:kern w:val="0"/>
                <w:sz w:val="24"/>
                <w:szCs w:val="24"/>
              </w:rPr>
            </w:pPr>
            <w:r>
              <w:rPr>
                <w:kern w:val="0"/>
                <w:sz w:val="24"/>
                <w:szCs w:val="24"/>
              </w:rPr>
              <w:t xml:space="preserve">1699 </w:t>
            </w:r>
          </w:p>
        </w:tc>
        <w:tc>
          <w:tcPr>
            <w:tcW w:w="1395" w:type="dxa"/>
            <w:tcBorders>
              <w:top w:val="nil"/>
              <w:left w:val="nil"/>
              <w:bottom w:val="single" w:color="auto" w:sz="4" w:space="0"/>
              <w:right w:val="single" w:color="auto" w:sz="4" w:space="0"/>
            </w:tcBorders>
            <w:vAlign w:val="center"/>
          </w:tcPr>
          <w:p w14:paraId="24E5A80B">
            <w:pPr>
              <w:widowControl/>
              <w:spacing w:line="240" w:lineRule="auto"/>
              <w:jc w:val="left"/>
              <w:rPr>
                <w:kern w:val="0"/>
                <w:sz w:val="24"/>
                <w:szCs w:val="24"/>
              </w:rPr>
            </w:pPr>
            <w:r>
              <w:rPr>
                <w:kern w:val="0"/>
                <w:sz w:val="24"/>
                <w:szCs w:val="24"/>
              </w:rPr>
              <w:t>尤溪县人民政府</w:t>
            </w:r>
          </w:p>
        </w:tc>
      </w:tr>
      <w:tr w14:paraId="361D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vAlign w:val="center"/>
          </w:tcPr>
          <w:p w14:paraId="40DD5233">
            <w:pPr>
              <w:widowControl/>
              <w:spacing w:line="240" w:lineRule="auto"/>
              <w:jc w:val="left"/>
              <w:rPr>
                <w:b/>
                <w:bCs/>
                <w:color w:val="000000"/>
                <w:kern w:val="0"/>
                <w:sz w:val="24"/>
                <w:szCs w:val="24"/>
              </w:rPr>
            </w:pPr>
            <w:r>
              <w:rPr>
                <w:b/>
                <w:bCs/>
                <w:color w:val="000000"/>
                <w:kern w:val="0"/>
                <w:sz w:val="24"/>
                <w:szCs w:val="24"/>
              </w:rPr>
              <w:t>三</w:t>
            </w:r>
          </w:p>
        </w:tc>
        <w:tc>
          <w:tcPr>
            <w:tcW w:w="6898" w:type="dxa"/>
            <w:gridSpan w:val="2"/>
            <w:tcBorders>
              <w:top w:val="single" w:color="auto" w:sz="4" w:space="0"/>
              <w:left w:val="nil"/>
              <w:bottom w:val="single" w:color="auto" w:sz="4" w:space="0"/>
              <w:right w:val="single" w:color="auto" w:sz="4" w:space="0"/>
            </w:tcBorders>
            <w:vAlign w:val="center"/>
          </w:tcPr>
          <w:p w14:paraId="4D89AB75">
            <w:pPr>
              <w:widowControl/>
              <w:spacing w:line="240" w:lineRule="auto"/>
              <w:jc w:val="left"/>
              <w:rPr>
                <w:b/>
                <w:bCs/>
                <w:color w:val="000000"/>
                <w:kern w:val="0"/>
                <w:sz w:val="24"/>
                <w:szCs w:val="24"/>
              </w:rPr>
            </w:pPr>
            <w:r>
              <w:rPr>
                <w:b/>
                <w:bCs/>
                <w:color w:val="000000"/>
                <w:kern w:val="0"/>
                <w:sz w:val="24"/>
                <w:szCs w:val="24"/>
              </w:rPr>
              <w:t>探索低碳体制机制创新</w:t>
            </w:r>
          </w:p>
        </w:tc>
        <w:tc>
          <w:tcPr>
            <w:tcW w:w="1256" w:type="dxa"/>
            <w:tcBorders>
              <w:top w:val="nil"/>
              <w:left w:val="nil"/>
              <w:bottom w:val="single" w:color="auto" w:sz="4" w:space="0"/>
              <w:right w:val="single" w:color="auto" w:sz="4" w:space="0"/>
            </w:tcBorders>
            <w:vAlign w:val="center"/>
          </w:tcPr>
          <w:p w14:paraId="13D24BCD">
            <w:pPr>
              <w:widowControl/>
              <w:spacing w:line="240" w:lineRule="auto"/>
              <w:jc w:val="left"/>
              <w:rPr>
                <w:color w:val="000000"/>
                <w:kern w:val="0"/>
                <w:sz w:val="24"/>
                <w:szCs w:val="24"/>
              </w:rPr>
            </w:pPr>
            <w:r>
              <w:rPr>
                <w:color w:val="000000"/>
                <w:kern w:val="0"/>
                <w:sz w:val="24"/>
                <w:szCs w:val="24"/>
              </w:rPr>
              <w:t>　</w:t>
            </w:r>
          </w:p>
        </w:tc>
        <w:tc>
          <w:tcPr>
            <w:tcW w:w="1460" w:type="dxa"/>
            <w:tcBorders>
              <w:top w:val="nil"/>
              <w:left w:val="nil"/>
              <w:bottom w:val="single" w:color="auto" w:sz="4" w:space="0"/>
              <w:right w:val="single" w:color="auto" w:sz="4" w:space="0"/>
            </w:tcBorders>
            <w:vAlign w:val="center"/>
          </w:tcPr>
          <w:p w14:paraId="2F495757">
            <w:pPr>
              <w:widowControl/>
              <w:spacing w:line="240" w:lineRule="auto"/>
              <w:jc w:val="center"/>
              <w:rPr>
                <w:kern w:val="0"/>
                <w:sz w:val="24"/>
                <w:szCs w:val="24"/>
              </w:rPr>
            </w:pPr>
            <w:r>
              <w:rPr>
                <w:kern w:val="0"/>
                <w:sz w:val="24"/>
                <w:szCs w:val="24"/>
              </w:rPr>
              <w:t>250</w:t>
            </w:r>
          </w:p>
        </w:tc>
        <w:tc>
          <w:tcPr>
            <w:tcW w:w="1843" w:type="dxa"/>
            <w:tcBorders>
              <w:top w:val="nil"/>
              <w:left w:val="nil"/>
              <w:bottom w:val="single" w:color="auto" w:sz="4" w:space="0"/>
              <w:right w:val="single" w:color="auto" w:sz="4" w:space="0"/>
            </w:tcBorders>
            <w:vAlign w:val="center"/>
          </w:tcPr>
          <w:p w14:paraId="53B1092B">
            <w:pPr>
              <w:widowControl/>
              <w:spacing w:line="240" w:lineRule="auto"/>
              <w:jc w:val="center"/>
              <w:rPr>
                <w:color w:val="000000"/>
                <w:kern w:val="0"/>
                <w:sz w:val="24"/>
                <w:szCs w:val="24"/>
              </w:rPr>
            </w:pPr>
            <w:r>
              <w:rPr>
                <w:color w:val="000000"/>
                <w:kern w:val="0"/>
                <w:sz w:val="24"/>
                <w:szCs w:val="24"/>
              </w:rPr>
              <w:t>250</w:t>
            </w:r>
          </w:p>
        </w:tc>
        <w:tc>
          <w:tcPr>
            <w:tcW w:w="1395" w:type="dxa"/>
            <w:tcBorders>
              <w:top w:val="nil"/>
              <w:left w:val="nil"/>
              <w:bottom w:val="single" w:color="auto" w:sz="4" w:space="0"/>
              <w:right w:val="single" w:color="auto" w:sz="4" w:space="0"/>
            </w:tcBorders>
            <w:vAlign w:val="center"/>
          </w:tcPr>
          <w:p w14:paraId="2D83EF7C">
            <w:pPr>
              <w:widowControl/>
              <w:spacing w:line="240" w:lineRule="auto"/>
              <w:jc w:val="left"/>
              <w:rPr>
                <w:color w:val="000000"/>
                <w:kern w:val="0"/>
                <w:sz w:val="24"/>
                <w:szCs w:val="24"/>
              </w:rPr>
            </w:pPr>
            <w:r>
              <w:rPr>
                <w:color w:val="000000"/>
                <w:kern w:val="0"/>
                <w:sz w:val="24"/>
                <w:szCs w:val="24"/>
              </w:rPr>
              <w:t>　</w:t>
            </w:r>
          </w:p>
        </w:tc>
      </w:tr>
      <w:tr w14:paraId="2F18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040" w:type="dxa"/>
            <w:tcBorders>
              <w:top w:val="nil"/>
              <w:left w:val="single" w:color="auto" w:sz="4" w:space="0"/>
              <w:bottom w:val="single" w:color="auto" w:sz="4" w:space="0"/>
              <w:right w:val="single" w:color="auto" w:sz="4" w:space="0"/>
            </w:tcBorders>
            <w:vAlign w:val="center"/>
          </w:tcPr>
          <w:p w14:paraId="6DDDC939">
            <w:pPr>
              <w:widowControl/>
              <w:spacing w:line="240" w:lineRule="auto"/>
              <w:jc w:val="center"/>
              <w:rPr>
                <w:color w:val="000000"/>
                <w:kern w:val="0"/>
                <w:sz w:val="24"/>
                <w:szCs w:val="24"/>
              </w:rPr>
            </w:pPr>
            <w:r>
              <w:rPr>
                <w:rFonts w:hint="eastAsia"/>
                <w:color w:val="000000"/>
                <w:kern w:val="0"/>
                <w:sz w:val="24"/>
                <w:szCs w:val="24"/>
              </w:rPr>
              <w:t>33</w:t>
            </w:r>
          </w:p>
        </w:tc>
        <w:tc>
          <w:tcPr>
            <w:tcW w:w="2221" w:type="dxa"/>
            <w:tcBorders>
              <w:top w:val="nil"/>
              <w:left w:val="nil"/>
              <w:bottom w:val="single" w:color="auto" w:sz="4" w:space="0"/>
              <w:right w:val="single" w:color="auto" w:sz="4" w:space="0"/>
            </w:tcBorders>
            <w:vAlign w:val="center"/>
          </w:tcPr>
          <w:p w14:paraId="6988C7C1">
            <w:pPr>
              <w:widowControl/>
              <w:spacing w:line="240" w:lineRule="auto"/>
              <w:jc w:val="left"/>
              <w:rPr>
                <w:color w:val="000000"/>
                <w:kern w:val="0"/>
                <w:sz w:val="24"/>
                <w:szCs w:val="24"/>
              </w:rPr>
            </w:pPr>
            <w:r>
              <w:rPr>
                <w:color w:val="000000"/>
                <w:kern w:val="0"/>
                <w:sz w:val="24"/>
                <w:szCs w:val="24"/>
              </w:rPr>
              <w:t>碳数据管理机制建设工程</w:t>
            </w:r>
          </w:p>
        </w:tc>
        <w:tc>
          <w:tcPr>
            <w:tcW w:w="4677" w:type="dxa"/>
            <w:tcBorders>
              <w:top w:val="nil"/>
              <w:left w:val="nil"/>
              <w:bottom w:val="single" w:color="auto" w:sz="4" w:space="0"/>
              <w:right w:val="single" w:color="auto" w:sz="4" w:space="0"/>
            </w:tcBorders>
            <w:vAlign w:val="center"/>
          </w:tcPr>
          <w:p w14:paraId="723A1B2F">
            <w:pPr>
              <w:widowControl/>
              <w:spacing w:line="240" w:lineRule="auto"/>
              <w:jc w:val="left"/>
              <w:rPr>
                <w:color w:val="000000"/>
                <w:kern w:val="0"/>
                <w:sz w:val="24"/>
                <w:szCs w:val="24"/>
              </w:rPr>
            </w:pPr>
            <w:r>
              <w:rPr>
                <w:color w:val="000000"/>
                <w:kern w:val="0"/>
                <w:sz w:val="24"/>
                <w:szCs w:val="24"/>
              </w:rPr>
              <w:t>建立碳排放统计核算制度，编制温室气体清单，建立重点排放源调查与数据监测制度，开展基础能力建设</w:t>
            </w:r>
          </w:p>
        </w:tc>
        <w:tc>
          <w:tcPr>
            <w:tcW w:w="1256" w:type="dxa"/>
            <w:tcBorders>
              <w:top w:val="nil"/>
              <w:left w:val="nil"/>
              <w:bottom w:val="single" w:color="auto" w:sz="4" w:space="0"/>
              <w:right w:val="single" w:color="auto" w:sz="4" w:space="0"/>
            </w:tcBorders>
            <w:vAlign w:val="center"/>
          </w:tcPr>
          <w:p w14:paraId="6793C680">
            <w:pPr>
              <w:widowControl/>
              <w:spacing w:line="240" w:lineRule="auto"/>
              <w:jc w:val="left"/>
              <w:rPr>
                <w:color w:val="000000"/>
                <w:kern w:val="0"/>
                <w:sz w:val="24"/>
                <w:szCs w:val="24"/>
              </w:rPr>
            </w:pPr>
            <w:r>
              <w:rPr>
                <w:color w:val="000000"/>
                <w:kern w:val="0"/>
                <w:sz w:val="24"/>
                <w:szCs w:val="24"/>
              </w:rPr>
              <w:t>2018-2020</w:t>
            </w:r>
          </w:p>
        </w:tc>
        <w:tc>
          <w:tcPr>
            <w:tcW w:w="1460" w:type="dxa"/>
            <w:tcBorders>
              <w:top w:val="nil"/>
              <w:left w:val="nil"/>
              <w:bottom w:val="single" w:color="auto" w:sz="4" w:space="0"/>
              <w:right w:val="single" w:color="auto" w:sz="4" w:space="0"/>
            </w:tcBorders>
            <w:vAlign w:val="center"/>
          </w:tcPr>
          <w:p w14:paraId="3AB88A96">
            <w:pPr>
              <w:widowControl/>
              <w:spacing w:line="240" w:lineRule="auto"/>
              <w:jc w:val="center"/>
              <w:rPr>
                <w:kern w:val="0"/>
                <w:sz w:val="24"/>
                <w:szCs w:val="24"/>
              </w:rPr>
            </w:pPr>
            <w:r>
              <w:rPr>
                <w:kern w:val="0"/>
                <w:sz w:val="24"/>
                <w:szCs w:val="24"/>
              </w:rPr>
              <w:t>250</w:t>
            </w:r>
          </w:p>
        </w:tc>
        <w:tc>
          <w:tcPr>
            <w:tcW w:w="1843" w:type="dxa"/>
            <w:tcBorders>
              <w:top w:val="nil"/>
              <w:left w:val="nil"/>
              <w:bottom w:val="single" w:color="auto" w:sz="4" w:space="0"/>
              <w:right w:val="single" w:color="auto" w:sz="4" w:space="0"/>
            </w:tcBorders>
            <w:vAlign w:val="center"/>
          </w:tcPr>
          <w:p w14:paraId="67C9BE20">
            <w:pPr>
              <w:widowControl/>
              <w:spacing w:line="240" w:lineRule="auto"/>
              <w:jc w:val="center"/>
              <w:rPr>
                <w:color w:val="000000"/>
                <w:kern w:val="0"/>
                <w:sz w:val="24"/>
                <w:szCs w:val="24"/>
              </w:rPr>
            </w:pPr>
            <w:r>
              <w:rPr>
                <w:color w:val="000000"/>
                <w:kern w:val="0"/>
                <w:sz w:val="24"/>
                <w:szCs w:val="24"/>
              </w:rPr>
              <w:t>250</w:t>
            </w:r>
          </w:p>
        </w:tc>
        <w:tc>
          <w:tcPr>
            <w:tcW w:w="1395" w:type="dxa"/>
            <w:tcBorders>
              <w:top w:val="nil"/>
              <w:left w:val="nil"/>
              <w:bottom w:val="single" w:color="auto" w:sz="4" w:space="0"/>
              <w:right w:val="single" w:color="auto" w:sz="4" w:space="0"/>
            </w:tcBorders>
            <w:vAlign w:val="center"/>
          </w:tcPr>
          <w:p w14:paraId="10652B9A">
            <w:pPr>
              <w:widowControl/>
              <w:spacing w:line="240" w:lineRule="auto"/>
              <w:jc w:val="left"/>
              <w:rPr>
                <w:kern w:val="0"/>
                <w:sz w:val="24"/>
                <w:szCs w:val="24"/>
              </w:rPr>
            </w:pPr>
            <w:r>
              <w:rPr>
                <w:kern w:val="0"/>
                <w:sz w:val="24"/>
                <w:szCs w:val="24"/>
              </w:rPr>
              <w:t>市</w:t>
            </w:r>
            <w:r>
              <w:rPr>
                <w:rFonts w:hint="eastAsia"/>
                <w:kern w:val="0"/>
                <w:sz w:val="24"/>
                <w:szCs w:val="24"/>
              </w:rPr>
              <w:t>生态环境局</w:t>
            </w:r>
          </w:p>
        </w:tc>
      </w:tr>
      <w:tr w14:paraId="01DD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40" w:type="dxa"/>
            <w:tcBorders>
              <w:top w:val="nil"/>
              <w:left w:val="single" w:color="auto" w:sz="4" w:space="0"/>
              <w:bottom w:val="single" w:color="auto" w:sz="4" w:space="0"/>
              <w:right w:val="single" w:color="auto" w:sz="4" w:space="0"/>
            </w:tcBorders>
            <w:vAlign w:val="center"/>
          </w:tcPr>
          <w:p w14:paraId="6EC0D73D">
            <w:pPr>
              <w:widowControl/>
              <w:spacing w:line="240" w:lineRule="auto"/>
              <w:jc w:val="left"/>
              <w:rPr>
                <w:b/>
                <w:bCs/>
                <w:color w:val="000000"/>
                <w:kern w:val="0"/>
                <w:sz w:val="24"/>
                <w:szCs w:val="24"/>
              </w:rPr>
            </w:pPr>
            <w:r>
              <w:rPr>
                <w:b/>
                <w:bCs/>
                <w:color w:val="000000"/>
                <w:kern w:val="0"/>
                <w:sz w:val="24"/>
                <w:szCs w:val="24"/>
              </w:rPr>
              <w:t>四</w:t>
            </w:r>
          </w:p>
        </w:tc>
        <w:tc>
          <w:tcPr>
            <w:tcW w:w="6898" w:type="dxa"/>
            <w:gridSpan w:val="2"/>
            <w:tcBorders>
              <w:top w:val="single" w:color="auto" w:sz="4" w:space="0"/>
              <w:left w:val="nil"/>
              <w:bottom w:val="single" w:color="auto" w:sz="4" w:space="0"/>
              <w:right w:val="single" w:color="auto" w:sz="4" w:space="0"/>
            </w:tcBorders>
            <w:vAlign w:val="center"/>
          </w:tcPr>
          <w:p w14:paraId="1392F375">
            <w:pPr>
              <w:widowControl/>
              <w:spacing w:line="240" w:lineRule="auto"/>
              <w:jc w:val="left"/>
              <w:rPr>
                <w:b/>
                <w:bCs/>
                <w:color w:val="000000"/>
                <w:kern w:val="0"/>
                <w:sz w:val="24"/>
                <w:szCs w:val="24"/>
              </w:rPr>
            </w:pPr>
            <w:r>
              <w:rPr>
                <w:b/>
                <w:bCs/>
                <w:color w:val="000000"/>
                <w:kern w:val="0"/>
                <w:sz w:val="24"/>
                <w:szCs w:val="24"/>
              </w:rPr>
              <w:t>夯实低碳基础与能力</w:t>
            </w:r>
          </w:p>
        </w:tc>
        <w:tc>
          <w:tcPr>
            <w:tcW w:w="1256" w:type="dxa"/>
            <w:tcBorders>
              <w:top w:val="nil"/>
              <w:left w:val="nil"/>
              <w:bottom w:val="single" w:color="auto" w:sz="4" w:space="0"/>
              <w:right w:val="single" w:color="auto" w:sz="4" w:space="0"/>
            </w:tcBorders>
            <w:vAlign w:val="center"/>
          </w:tcPr>
          <w:p w14:paraId="7E688ECA">
            <w:pPr>
              <w:widowControl/>
              <w:spacing w:line="240" w:lineRule="auto"/>
              <w:jc w:val="left"/>
              <w:rPr>
                <w:color w:val="000000"/>
                <w:kern w:val="0"/>
                <w:sz w:val="24"/>
                <w:szCs w:val="24"/>
              </w:rPr>
            </w:pPr>
            <w:r>
              <w:rPr>
                <w:color w:val="000000"/>
                <w:kern w:val="0"/>
                <w:sz w:val="24"/>
                <w:szCs w:val="24"/>
              </w:rPr>
              <w:t>　</w:t>
            </w:r>
          </w:p>
        </w:tc>
        <w:tc>
          <w:tcPr>
            <w:tcW w:w="1460" w:type="dxa"/>
            <w:tcBorders>
              <w:top w:val="nil"/>
              <w:left w:val="nil"/>
              <w:bottom w:val="single" w:color="auto" w:sz="4" w:space="0"/>
              <w:right w:val="single" w:color="auto" w:sz="4" w:space="0"/>
            </w:tcBorders>
            <w:vAlign w:val="center"/>
          </w:tcPr>
          <w:p w14:paraId="13F6BCDF">
            <w:pPr>
              <w:widowControl/>
              <w:spacing w:line="240" w:lineRule="auto"/>
              <w:jc w:val="center"/>
              <w:rPr>
                <w:kern w:val="0"/>
                <w:sz w:val="24"/>
                <w:szCs w:val="24"/>
              </w:rPr>
            </w:pPr>
            <w:r>
              <w:rPr>
                <w:kern w:val="0"/>
                <w:sz w:val="24"/>
                <w:szCs w:val="24"/>
              </w:rPr>
              <w:t>150</w:t>
            </w:r>
          </w:p>
        </w:tc>
        <w:tc>
          <w:tcPr>
            <w:tcW w:w="1843" w:type="dxa"/>
            <w:tcBorders>
              <w:top w:val="nil"/>
              <w:left w:val="nil"/>
              <w:bottom w:val="single" w:color="auto" w:sz="4" w:space="0"/>
              <w:right w:val="single" w:color="auto" w:sz="4" w:space="0"/>
            </w:tcBorders>
            <w:vAlign w:val="center"/>
          </w:tcPr>
          <w:p w14:paraId="4BA84013">
            <w:pPr>
              <w:widowControl/>
              <w:spacing w:line="240" w:lineRule="auto"/>
              <w:jc w:val="center"/>
              <w:rPr>
                <w:color w:val="000000"/>
                <w:kern w:val="0"/>
                <w:sz w:val="24"/>
                <w:szCs w:val="24"/>
              </w:rPr>
            </w:pPr>
            <w:r>
              <w:rPr>
                <w:color w:val="000000"/>
                <w:kern w:val="0"/>
                <w:sz w:val="24"/>
                <w:szCs w:val="24"/>
              </w:rPr>
              <w:t>150</w:t>
            </w:r>
          </w:p>
        </w:tc>
        <w:tc>
          <w:tcPr>
            <w:tcW w:w="1395" w:type="dxa"/>
            <w:tcBorders>
              <w:top w:val="nil"/>
              <w:left w:val="nil"/>
              <w:bottom w:val="single" w:color="auto" w:sz="4" w:space="0"/>
              <w:right w:val="single" w:color="auto" w:sz="4" w:space="0"/>
            </w:tcBorders>
            <w:vAlign w:val="center"/>
          </w:tcPr>
          <w:p w14:paraId="4804959A">
            <w:pPr>
              <w:widowControl/>
              <w:spacing w:line="240" w:lineRule="auto"/>
              <w:jc w:val="left"/>
              <w:rPr>
                <w:color w:val="000000"/>
                <w:kern w:val="0"/>
                <w:sz w:val="24"/>
                <w:szCs w:val="24"/>
              </w:rPr>
            </w:pPr>
            <w:r>
              <w:rPr>
                <w:color w:val="000000"/>
                <w:kern w:val="0"/>
                <w:sz w:val="24"/>
                <w:szCs w:val="24"/>
              </w:rPr>
              <w:t>　</w:t>
            </w:r>
          </w:p>
        </w:tc>
      </w:tr>
      <w:tr w14:paraId="48CE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0" w:type="dxa"/>
            <w:tcBorders>
              <w:top w:val="nil"/>
              <w:left w:val="single" w:color="auto" w:sz="4" w:space="0"/>
              <w:bottom w:val="single" w:color="auto" w:sz="4" w:space="0"/>
              <w:right w:val="single" w:color="auto" w:sz="4" w:space="0"/>
            </w:tcBorders>
            <w:vAlign w:val="center"/>
          </w:tcPr>
          <w:p w14:paraId="7114CCF5">
            <w:pPr>
              <w:widowControl/>
              <w:spacing w:line="240" w:lineRule="auto"/>
              <w:jc w:val="center"/>
              <w:rPr>
                <w:color w:val="000000"/>
                <w:kern w:val="0"/>
                <w:sz w:val="24"/>
                <w:szCs w:val="24"/>
              </w:rPr>
            </w:pPr>
            <w:r>
              <w:rPr>
                <w:rFonts w:hint="eastAsia"/>
                <w:color w:val="000000"/>
                <w:kern w:val="0"/>
                <w:sz w:val="24"/>
                <w:szCs w:val="24"/>
              </w:rPr>
              <w:t>34</w:t>
            </w:r>
          </w:p>
        </w:tc>
        <w:tc>
          <w:tcPr>
            <w:tcW w:w="2221" w:type="dxa"/>
            <w:tcBorders>
              <w:top w:val="nil"/>
              <w:left w:val="nil"/>
              <w:bottom w:val="single" w:color="auto" w:sz="4" w:space="0"/>
              <w:right w:val="single" w:color="auto" w:sz="4" w:space="0"/>
            </w:tcBorders>
            <w:vAlign w:val="center"/>
          </w:tcPr>
          <w:p w14:paraId="48CCB2C0">
            <w:pPr>
              <w:widowControl/>
              <w:spacing w:line="240" w:lineRule="auto"/>
              <w:jc w:val="left"/>
              <w:rPr>
                <w:color w:val="000000"/>
                <w:kern w:val="0"/>
                <w:sz w:val="24"/>
                <w:szCs w:val="24"/>
              </w:rPr>
            </w:pPr>
            <w:r>
              <w:rPr>
                <w:color w:val="000000"/>
                <w:kern w:val="0"/>
                <w:sz w:val="24"/>
                <w:szCs w:val="24"/>
              </w:rPr>
              <w:t>低碳基础研究与专业化培训工程</w:t>
            </w:r>
          </w:p>
        </w:tc>
        <w:tc>
          <w:tcPr>
            <w:tcW w:w="4677" w:type="dxa"/>
            <w:tcBorders>
              <w:top w:val="nil"/>
              <w:left w:val="nil"/>
              <w:bottom w:val="single" w:color="auto" w:sz="4" w:space="0"/>
              <w:right w:val="single" w:color="auto" w:sz="4" w:space="0"/>
            </w:tcBorders>
            <w:vAlign w:val="center"/>
          </w:tcPr>
          <w:p w14:paraId="5BAA8097">
            <w:pPr>
              <w:widowControl/>
              <w:spacing w:line="240" w:lineRule="auto"/>
              <w:jc w:val="left"/>
              <w:rPr>
                <w:color w:val="000000"/>
                <w:kern w:val="0"/>
                <w:sz w:val="24"/>
                <w:szCs w:val="24"/>
              </w:rPr>
            </w:pPr>
            <w:r>
              <w:rPr>
                <w:color w:val="000000"/>
                <w:kern w:val="0"/>
                <w:sz w:val="24"/>
                <w:szCs w:val="24"/>
              </w:rPr>
              <w:t>开展碳排放达峰路径研究。定期开展面向政府主管机构部门、重点园区企业的低碳能力建设</w:t>
            </w:r>
          </w:p>
        </w:tc>
        <w:tc>
          <w:tcPr>
            <w:tcW w:w="1256" w:type="dxa"/>
            <w:tcBorders>
              <w:top w:val="nil"/>
              <w:left w:val="nil"/>
              <w:bottom w:val="single" w:color="auto" w:sz="4" w:space="0"/>
              <w:right w:val="single" w:color="auto" w:sz="4" w:space="0"/>
            </w:tcBorders>
            <w:vAlign w:val="center"/>
          </w:tcPr>
          <w:p w14:paraId="20093E52">
            <w:pPr>
              <w:widowControl/>
              <w:spacing w:line="240" w:lineRule="auto"/>
              <w:jc w:val="left"/>
              <w:rPr>
                <w:color w:val="000000"/>
                <w:kern w:val="0"/>
                <w:sz w:val="24"/>
                <w:szCs w:val="24"/>
              </w:rPr>
            </w:pPr>
            <w:r>
              <w:rPr>
                <w:color w:val="000000"/>
                <w:kern w:val="0"/>
                <w:sz w:val="24"/>
                <w:szCs w:val="24"/>
              </w:rPr>
              <w:t>2018-2020</w:t>
            </w:r>
          </w:p>
        </w:tc>
        <w:tc>
          <w:tcPr>
            <w:tcW w:w="1460" w:type="dxa"/>
            <w:tcBorders>
              <w:top w:val="nil"/>
              <w:left w:val="nil"/>
              <w:bottom w:val="single" w:color="auto" w:sz="4" w:space="0"/>
              <w:right w:val="single" w:color="auto" w:sz="4" w:space="0"/>
            </w:tcBorders>
            <w:vAlign w:val="center"/>
          </w:tcPr>
          <w:p w14:paraId="0995B46A">
            <w:pPr>
              <w:widowControl/>
              <w:spacing w:line="240" w:lineRule="auto"/>
              <w:jc w:val="center"/>
              <w:rPr>
                <w:kern w:val="0"/>
                <w:sz w:val="24"/>
                <w:szCs w:val="24"/>
              </w:rPr>
            </w:pPr>
            <w:r>
              <w:rPr>
                <w:kern w:val="0"/>
                <w:sz w:val="24"/>
                <w:szCs w:val="24"/>
              </w:rPr>
              <w:t>150</w:t>
            </w:r>
          </w:p>
        </w:tc>
        <w:tc>
          <w:tcPr>
            <w:tcW w:w="1843" w:type="dxa"/>
            <w:tcBorders>
              <w:top w:val="nil"/>
              <w:left w:val="nil"/>
              <w:bottom w:val="single" w:color="auto" w:sz="4" w:space="0"/>
              <w:right w:val="single" w:color="auto" w:sz="4" w:space="0"/>
            </w:tcBorders>
            <w:vAlign w:val="center"/>
          </w:tcPr>
          <w:p w14:paraId="0022AC13">
            <w:pPr>
              <w:widowControl/>
              <w:spacing w:line="240" w:lineRule="auto"/>
              <w:jc w:val="center"/>
              <w:rPr>
                <w:color w:val="000000"/>
                <w:kern w:val="0"/>
                <w:sz w:val="24"/>
                <w:szCs w:val="24"/>
              </w:rPr>
            </w:pPr>
            <w:r>
              <w:rPr>
                <w:color w:val="000000"/>
                <w:kern w:val="0"/>
                <w:sz w:val="24"/>
                <w:szCs w:val="24"/>
              </w:rPr>
              <w:t>150</w:t>
            </w:r>
          </w:p>
        </w:tc>
        <w:tc>
          <w:tcPr>
            <w:tcW w:w="1395" w:type="dxa"/>
            <w:tcBorders>
              <w:top w:val="nil"/>
              <w:left w:val="nil"/>
              <w:bottom w:val="single" w:color="auto" w:sz="4" w:space="0"/>
              <w:right w:val="single" w:color="auto" w:sz="4" w:space="0"/>
            </w:tcBorders>
            <w:vAlign w:val="center"/>
          </w:tcPr>
          <w:p w14:paraId="117BAC2A">
            <w:pPr>
              <w:widowControl/>
              <w:spacing w:line="240" w:lineRule="auto"/>
              <w:jc w:val="left"/>
              <w:rPr>
                <w:kern w:val="0"/>
                <w:sz w:val="24"/>
                <w:szCs w:val="24"/>
              </w:rPr>
            </w:pPr>
            <w:r>
              <w:rPr>
                <w:kern w:val="0"/>
                <w:sz w:val="24"/>
                <w:szCs w:val="24"/>
              </w:rPr>
              <w:t>市</w:t>
            </w:r>
            <w:r>
              <w:rPr>
                <w:rFonts w:hint="eastAsia"/>
                <w:kern w:val="0"/>
                <w:sz w:val="24"/>
                <w:szCs w:val="24"/>
              </w:rPr>
              <w:t>生态环境局</w:t>
            </w:r>
          </w:p>
        </w:tc>
      </w:tr>
    </w:tbl>
    <w:p w14:paraId="10861A36"/>
    <w:sectPr>
      <w:type w:val="continuous"/>
      <w:pgSz w:w="16838" w:h="11906" w:orient="landscape"/>
      <w:pgMar w:top="1701" w:right="1418" w:bottom="1418" w:left="1474"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1BCA">
    <w:pPr>
      <w:pStyle w:val="19"/>
      <w:ind w:left="640" w:leftChars="200"/>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4B6C709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D7D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A2FC">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E00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E9157">
    <w:pPr>
      <w:pStyle w:val="19"/>
      <w:ind w:right="640" w:rightChars="200"/>
      <w:jc w:val="right"/>
      <w:rPr>
        <w:color w:val="000000"/>
      </w:rPr>
    </w:pPr>
    <w:r>
      <w:rPr>
        <w:color w:val="000000"/>
        <w:sz w:val="24"/>
        <w:szCs w:val="24"/>
      </w:rPr>
      <w:t>-</w:t>
    </w:r>
    <w:r>
      <w:rPr>
        <w:color w:val="000000"/>
        <w:sz w:val="24"/>
        <w:szCs w:val="24"/>
      </w:rPr>
      <w:fldChar w:fldCharType="begin"/>
    </w:r>
    <w:r>
      <w:rPr>
        <w:color w:val="000000"/>
        <w:sz w:val="24"/>
        <w:szCs w:val="24"/>
      </w:rPr>
      <w:instrText xml:space="preserve">PAGE   \* MERGEFORMAT</w:instrText>
    </w:r>
    <w:r>
      <w:rPr>
        <w:color w:val="000000"/>
        <w:sz w:val="24"/>
        <w:szCs w:val="24"/>
      </w:rPr>
      <w:fldChar w:fldCharType="separate"/>
    </w:r>
    <w:r>
      <w:rPr>
        <w:color w:val="000000"/>
        <w:sz w:val="24"/>
        <w:szCs w:val="24"/>
        <w:lang w:val="zh-CN"/>
      </w:rPr>
      <w:t>13</w:t>
    </w:r>
    <w:r>
      <w:rPr>
        <w:color w:val="000000"/>
        <w:sz w:val="24"/>
        <w:szCs w:val="24"/>
      </w:rPr>
      <w:fldChar w:fldCharType="end"/>
    </w:r>
    <w:r>
      <w:rPr>
        <w:color w:val="000000"/>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1805">
    <w:pPr>
      <w:pStyle w:val="19"/>
    </w:pPr>
    <w:r>
      <w:rPr>
        <w:rFonts w:hint="eastAsia"/>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72</w:t>
    </w:r>
    <w:r>
      <w:rPr>
        <w:sz w:val="24"/>
        <w:szCs w:val="24"/>
      </w:rPr>
      <w:fldChar w:fldCharType="end"/>
    </w:r>
    <w:r>
      <w:rPr>
        <w:rFonts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2470">
    <w:pPr>
      <w:pStyle w:val="19"/>
      <w:ind w:right="640" w:rightChars="200"/>
      <w:jc w:val="right"/>
      <w:rPr>
        <w:color w:val="000000"/>
      </w:rPr>
    </w:pPr>
    <w:r>
      <w:rPr>
        <w:color w:val="000000"/>
        <w:sz w:val="24"/>
        <w:szCs w:val="24"/>
      </w:rPr>
      <w:t>-</w:t>
    </w:r>
    <w:r>
      <w:rPr>
        <w:color w:val="000000"/>
        <w:sz w:val="24"/>
        <w:szCs w:val="24"/>
      </w:rPr>
      <w:fldChar w:fldCharType="begin"/>
    </w:r>
    <w:r>
      <w:rPr>
        <w:color w:val="000000"/>
        <w:sz w:val="24"/>
        <w:szCs w:val="24"/>
      </w:rPr>
      <w:instrText xml:space="preserve">PAGE   \* MERGEFORMAT</w:instrText>
    </w:r>
    <w:r>
      <w:rPr>
        <w:color w:val="000000"/>
        <w:sz w:val="24"/>
        <w:szCs w:val="24"/>
      </w:rPr>
      <w:fldChar w:fldCharType="separate"/>
    </w:r>
    <w:r>
      <w:rPr>
        <w:color w:val="000000"/>
        <w:sz w:val="24"/>
        <w:szCs w:val="24"/>
        <w:lang w:val="zh-CN"/>
      </w:rPr>
      <w:t>73</w:t>
    </w:r>
    <w:r>
      <w:rPr>
        <w:color w:val="000000"/>
        <w:sz w:val="24"/>
        <w:szCs w:val="24"/>
      </w:rPr>
      <w:fldChar w:fldCharType="end"/>
    </w:r>
    <w:r>
      <w:rPr>
        <w:color w:val="000000"/>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B03C">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8B77">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B718A"/>
    <w:multiLevelType w:val="multilevel"/>
    <w:tmpl w:val="3B8B718A"/>
    <w:lvl w:ilvl="0" w:tentative="0">
      <w:start w:val="1"/>
      <w:numFmt w:val="chineseCountingThousand"/>
      <w:pStyle w:val="2"/>
      <w:suff w:val="nothing"/>
      <w:lvlText w:val="第%1章"/>
      <w:lvlJc w:val="left"/>
      <w:rPr>
        <w:rFonts w:cs="Times New Roman"/>
      </w:rPr>
    </w:lvl>
    <w:lvl w:ilvl="1" w:tentative="0">
      <w:start w:val="1"/>
      <w:numFmt w:val="none"/>
      <w:suff w:val="nothing"/>
      <w:lvlText w:val=""/>
      <w:lvlJc w:val="left"/>
      <w:rPr>
        <w:rFonts w:cs="Times New Roman"/>
      </w:rPr>
    </w:lvl>
    <w:lvl w:ilvl="2" w:tentative="0">
      <w:start w:val="1"/>
      <w:numFmt w:val="none"/>
      <w:pStyle w:val="5"/>
      <w:suff w:val="nothing"/>
      <w:lvlText w:val=""/>
      <w:lvlJc w:val="left"/>
      <w:rPr>
        <w:rFonts w:cs="Times New Roman"/>
      </w:rPr>
    </w:lvl>
    <w:lvl w:ilvl="3" w:tentative="0">
      <w:start w:val="1"/>
      <w:numFmt w:val="none"/>
      <w:pStyle w:val="6"/>
      <w:suff w:val="nothing"/>
      <w:lvlText w:val=""/>
      <w:lvlJc w:val="left"/>
      <w:rPr>
        <w:rFonts w:cs="Times New Roman"/>
      </w:rPr>
    </w:lvl>
    <w:lvl w:ilvl="4" w:tentative="0">
      <w:start w:val="1"/>
      <w:numFmt w:val="none"/>
      <w:pStyle w:val="7"/>
      <w:suff w:val="nothing"/>
      <w:lvlText w:val=""/>
      <w:lvlJc w:val="left"/>
      <w:rPr>
        <w:rFonts w:cs="Times New Roman"/>
      </w:rPr>
    </w:lvl>
    <w:lvl w:ilvl="5" w:tentative="0">
      <w:start w:val="1"/>
      <w:numFmt w:val="none"/>
      <w:pStyle w:val="8"/>
      <w:suff w:val="nothing"/>
      <w:lvlText w:val=""/>
      <w:lvlJc w:val="left"/>
      <w:rPr>
        <w:rFonts w:cs="Times New Roman"/>
      </w:rPr>
    </w:lvl>
    <w:lvl w:ilvl="6" w:tentative="0">
      <w:start w:val="1"/>
      <w:numFmt w:val="none"/>
      <w:pStyle w:val="9"/>
      <w:suff w:val="nothing"/>
      <w:lvlText w:val=""/>
      <w:lvlJc w:val="left"/>
      <w:rPr>
        <w:rFonts w:cs="Times New Roman"/>
      </w:rPr>
    </w:lvl>
    <w:lvl w:ilvl="7" w:tentative="0">
      <w:start w:val="1"/>
      <w:numFmt w:val="none"/>
      <w:pStyle w:val="10"/>
      <w:suff w:val="nothing"/>
      <w:lvlText w:val=""/>
      <w:lvlJc w:val="left"/>
      <w:rPr>
        <w:rFonts w:cs="Times New Roman"/>
      </w:rPr>
    </w:lvl>
    <w:lvl w:ilvl="8" w:tentative="0">
      <w:start w:val="1"/>
      <w:numFmt w:val="none"/>
      <w:pStyle w:val="11"/>
      <w:suff w:val="nothing"/>
      <w:lvlText w:val=""/>
      <w:lvlJc w:val="left"/>
      <w:rPr>
        <w:rFonts w:cs="Times New Roman"/>
      </w:rPr>
    </w:lvl>
  </w:abstractNum>
  <w:abstractNum w:abstractNumId="1">
    <w:nsid w:val="53AE7B12"/>
    <w:multiLevelType w:val="multilevel"/>
    <w:tmpl w:val="53AE7B12"/>
    <w:lvl w:ilvl="0" w:tentative="0">
      <w:start w:val="1"/>
      <w:numFmt w:val="chineseCountingThousand"/>
      <w:suff w:val="nothing"/>
      <w:lvlText w:val="第%1章"/>
      <w:lvlJc w:val="left"/>
      <w:rPr>
        <w:rFonts w:hint="default" w:cs="Times New Roman"/>
      </w:rPr>
    </w:lvl>
    <w:lvl w:ilvl="1" w:tentative="0">
      <w:start w:val="1"/>
      <w:numFmt w:val="chineseCountingThousand"/>
      <w:pStyle w:val="4"/>
      <w:suff w:val="space"/>
      <w:lvlText w:val="%2、"/>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3CF58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ocked="1"/>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uiPriority="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szCs w:val="21"/>
      <w:lang w:val="en-US" w:eastAsia="zh-CN" w:bidi="ar-SA"/>
    </w:rPr>
  </w:style>
  <w:style w:type="paragraph" w:styleId="2">
    <w:name w:val="heading 1"/>
    <w:basedOn w:val="3"/>
    <w:next w:val="1"/>
    <w:link w:val="42"/>
    <w:qFormat/>
    <w:uiPriority w:val="99"/>
    <w:pPr>
      <w:numPr>
        <w:ilvl w:val="0"/>
        <w:numId w:val="1"/>
      </w:numPr>
      <w:autoSpaceDE w:val="0"/>
      <w:autoSpaceDN w:val="0"/>
      <w:adjustRightInd w:val="0"/>
      <w:snapToGrid w:val="0"/>
      <w:spacing w:line="580" w:lineRule="exact"/>
      <w:ind w:firstLine="0" w:firstLineChars="0"/>
      <w:outlineLvl w:val="0"/>
    </w:pPr>
    <w:rPr>
      <w:rFonts w:ascii="黑体" w:hAnsi="黑体" w:eastAsia="黑体" w:cs="宋体"/>
      <w:kern w:val="0"/>
      <w:sz w:val="28"/>
      <w:szCs w:val="32"/>
    </w:rPr>
  </w:style>
  <w:style w:type="paragraph" w:styleId="4">
    <w:name w:val="heading 2"/>
    <w:basedOn w:val="1"/>
    <w:next w:val="1"/>
    <w:link w:val="43"/>
    <w:qFormat/>
    <w:uiPriority w:val="99"/>
    <w:pPr>
      <w:keepNext/>
      <w:keepLines/>
      <w:numPr>
        <w:ilvl w:val="1"/>
        <w:numId w:val="2"/>
      </w:numPr>
      <w:tabs>
        <w:tab w:val="left" w:pos="709"/>
      </w:tabs>
      <w:spacing w:before="260" w:after="260" w:line="416" w:lineRule="atLeast"/>
      <w:outlineLvl w:val="1"/>
    </w:pPr>
    <w:rPr>
      <w:rFonts w:ascii="黑体" w:hAnsi="黑体" w:eastAsia="黑体"/>
      <w:b/>
      <w:bCs/>
      <w:szCs w:val="32"/>
    </w:rPr>
  </w:style>
  <w:style w:type="paragraph" w:styleId="5">
    <w:name w:val="heading 3"/>
    <w:basedOn w:val="1"/>
    <w:next w:val="1"/>
    <w:link w:val="44"/>
    <w:qFormat/>
    <w:uiPriority w:val="99"/>
    <w:pPr>
      <w:keepNext/>
      <w:keepLines/>
      <w:numPr>
        <w:ilvl w:val="2"/>
        <w:numId w:val="1"/>
      </w:numPr>
      <w:spacing w:before="260" w:after="260" w:line="416" w:lineRule="atLeast"/>
      <w:outlineLvl w:val="2"/>
    </w:pPr>
    <w:rPr>
      <w:b/>
      <w:bCs/>
      <w:szCs w:val="32"/>
    </w:rPr>
  </w:style>
  <w:style w:type="paragraph" w:styleId="6">
    <w:name w:val="heading 4"/>
    <w:basedOn w:val="1"/>
    <w:next w:val="1"/>
    <w:link w:val="45"/>
    <w:qFormat/>
    <w:uiPriority w:val="99"/>
    <w:pPr>
      <w:keepNext/>
      <w:keepLines/>
      <w:numPr>
        <w:ilvl w:val="3"/>
        <w:numId w:val="1"/>
      </w:numPr>
      <w:outlineLvl w:val="3"/>
    </w:pPr>
    <w:rPr>
      <w:b/>
      <w:bCs/>
      <w:szCs w:val="28"/>
    </w:rPr>
  </w:style>
  <w:style w:type="paragraph" w:styleId="7">
    <w:name w:val="heading 5"/>
    <w:basedOn w:val="1"/>
    <w:next w:val="1"/>
    <w:link w:val="46"/>
    <w:qFormat/>
    <w:uiPriority w:val="99"/>
    <w:pPr>
      <w:keepNext/>
      <w:keepLines/>
      <w:numPr>
        <w:ilvl w:val="4"/>
        <w:numId w:val="1"/>
      </w:numPr>
      <w:spacing w:before="280" w:after="290" w:line="376" w:lineRule="atLeast"/>
      <w:outlineLvl w:val="4"/>
    </w:pPr>
    <w:rPr>
      <w:b/>
      <w:bCs/>
      <w:sz w:val="28"/>
      <w:szCs w:val="28"/>
    </w:rPr>
  </w:style>
  <w:style w:type="paragraph" w:styleId="8">
    <w:name w:val="heading 6"/>
    <w:basedOn w:val="1"/>
    <w:next w:val="1"/>
    <w:link w:val="47"/>
    <w:qFormat/>
    <w:uiPriority w:val="99"/>
    <w:pPr>
      <w:keepNext/>
      <w:keepLines/>
      <w:numPr>
        <w:ilvl w:val="5"/>
        <w:numId w:val="1"/>
      </w:numPr>
      <w:spacing w:before="240" w:after="64" w:line="320" w:lineRule="atLeast"/>
      <w:outlineLvl w:val="5"/>
    </w:pPr>
    <w:rPr>
      <w:rFonts w:ascii="Cambria" w:hAnsi="Cambria" w:eastAsia="宋体"/>
      <w:b/>
      <w:bCs/>
      <w:sz w:val="24"/>
      <w:szCs w:val="24"/>
    </w:rPr>
  </w:style>
  <w:style w:type="paragraph" w:styleId="9">
    <w:name w:val="heading 7"/>
    <w:basedOn w:val="1"/>
    <w:next w:val="1"/>
    <w:link w:val="48"/>
    <w:qFormat/>
    <w:uiPriority w:val="99"/>
    <w:pPr>
      <w:keepNext/>
      <w:keepLines/>
      <w:numPr>
        <w:ilvl w:val="6"/>
        <w:numId w:val="1"/>
      </w:numPr>
      <w:spacing w:before="240" w:after="64" w:line="320" w:lineRule="atLeast"/>
      <w:outlineLvl w:val="6"/>
    </w:pPr>
    <w:rPr>
      <w:b/>
      <w:bCs/>
      <w:sz w:val="24"/>
      <w:szCs w:val="24"/>
    </w:rPr>
  </w:style>
  <w:style w:type="paragraph" w:styleId="10">
    <w:name w:val="heading 8"/>
    <w:basedOn w:val="1"/>
    <w:next w:val="1"/>
    <w:link w:val="49"/>
    <w:qFormat/>
    <w:uiPriority w:val="99"/>
    <w:pPr>
      <w:keepNext/>
      <w:keepLines/>
      <w:numPr>
        <w:ilvl w:val="7"/>
        <w:numId w:val="1"/>
      </w:numPr>
      <w:spacing w:before="240" w:after="64" w:line="320" w:lineRule="atLeast"/>
      <w:outlineLvl w:val="7"/>
    </w:pPr>
    <w:rPr>
      <w:rFonts w:ascii="Cambria" w:hAnsi="Cambria" w:eastAsia="宋体"/>
      <w:sz w:val="24"/>
      <w:szCs w:val="24"/>
    </w:rPr>
  </w:style>
  <w:style w:type="paragraph" w:styleId="11">
    <w:name w:val="heading 9"/>
    <w:basedOn w:val="1"/>
    <w:next w:val="1"/>
    <w:link w:val="50"/>
    <w:qFormat/>
    <w:uiPriority w:val="99"/>
    <w:pPr>
      <w:keepNext/>
      <w:keepLines/>
      <w:numPr>
        <w:ilvl w:val="8"/>
        <w:numId w:val="1"/>
      </w:numPr>
      <w:spacing w:before="240" w:after="64" w:line="320" w:lineRule="atLeast"/>
      <w:outlineLvl w:val="8"/>
    </w:pPr>
    <w:rPr>
      <w:rFonts w:ascii="Cambria" w:hAnsi="Cambria" w:eastAsia="宋体"/>
    </w:rPr>
  </w:style>
  <w:style w:type="character" w:default="1" w:styleId="29">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3">
    <w:name w:val="List Paragraph"/>
    <w:basedOn w:val="1"/>
    <w:qFormat/>
    <w:uiPriority w:val="99"/>
    <w:pPr>
      <w:ind w:firstLine="420" w:firstLineChars="200"/>
    </w:pPr>
  </w:style>
  <w:style w:type="paragraph" w:styleId="12">
    <w:name w:val="toc 7"/>
    <w:basedOn w:val="1"/>
    <w:next w:val="1"/>
    <w:qFormat/>
    <w:uiPriority w:val="99"/>
    <w:pPr>
      <w:spacing w:line="240" w:lineRule="auto"/>
      <w:ind w:left="2520" w:leftChars="1200"/>
    </w:pPr>
    <w:rPr>
      <w:rFonts w:ascii="Calibri" w:hAnsi="Calibri" w:eastAsia="宋体"/>
      <w:szCs w:val="22"/>
    </w:rPr>
  </w:style>
  <w:style w:type="paragraph" w:styleId="13">
    <w:name w:val="Document Map"/>
    <w:basedOn w:val="1"/>
    <w:link w:val="53"/>
    <w:semiHidden/>
    <w:qFormat/>
    <w:uiPriority w:val="99"/>
    <w:rPr>
      <w:rFonts w:ascii="宋体"/>
      <w:sz w:val="18"/>
      <w:szCs w:val="18"/>
    </w:rPr>
  </w:style>
  <w:style w:type="paragraph" w:styleId="14">
    <w:name w:val="annotation text"/>
    <w:basedOn w:val="1"/>
    <w:link w:val="56"/>
    <w:qFormat/>
    <w:uiPriority w:val="99"/>
    <w:pPr>
      <w:jc w:val="left"/>
    </w:pPr>
  </w:style>
  <w:style w:type="paragraph" w:styleId="15">
    <w:name w:val="toc 5"/>
    <w:basedOn w:val="1"/>
    <w:next w:val="1"/>
    <w:qFormat/>
    <w:uiPriority w:val="99"/>
    <w:pPr>
      <w:spacing w:line="240" w:lineRule="auto"/>
      <w:ind w:left="1680" w:leftChars="800"/>
    </w:pPr>
    <w:rPr>
      <w:rFonts w:ascii="Calibri" w:hAnsi="Calibri" w:eastAsia="宋体"/>
      <w:szCs w:val="22"/>
    </w:rPr>
  </w:style>
  <w:style w:type="paragraph" w:styleId="16">
    <w:name w:val="toc 3"/>
    <w:basedOn w:val="1"/>
    <w:next w:val="1"/>
    <w:qFormat/>
    <w:uiPriority w:val="99"/>
    <w:pPr>
      <w:tabs>
        <w:tab w:val="right" w:leader="dot" w:pos="8931"/>
      </w:tabs>
      <w:ind w:left="1280" w:leftChars="400"/>
    </w:pPr>
    <w:rPr>
      <w:rFonts w:ascii="楷体" w:hAnsi="楷体" w:eastAsia="楷体"/>
      <w:sz w:val="28"/>
    </w:rPr>
  </w:style>
  <w:style w:type="paragraph" w:styleId="17">
    <w:name w:val="toc 8"/>
    <w:basedOn w:val="1"/>
    <w:next w:val="1"/>
    <w:qFormat/>
    <w:uiPriority w:val="99"/>
    <w:pPr>
      <w:spacing w:line="240" w:lineRule="auto"/>
      <w:ind w:left="2940" w:leftChars="1400"/>
    </w:pPr>
    <w:rPr>
      <w:rFonts w:ascii="Calibri" w:hAnsi="Calibri" w:eastAsia="宋体"/>
      <w:szCs w:val="22"/>
    </w:rPr>
  </w:style>
  <w:style w:type="paragraph" w:styleId="18">
    <w:name w:val="Balloon Text"/>
    <w:basedOn w:val="1"/>
    <w:link w:val="54"/>
    <w:semiHidden/>
    <w:qFormat/>
    <w:uiPriority w:val="99"/>
    <w:pPr>
      <w:spacing w:line="240" w:lineRule="auto"/>
    </w:pPr>
    <w:rPr>
      <w:sz w:val="18"/>
      <w:szCs w:val="18"/>
    </w:rPr>
  </w:style>
  <w:style w:type="paragraph" w:styleId="19">
    <w:name w:val="footer"/>
    <w:basedOn w:val="1"/>
    <w:link w:val="52"/>
    <w:qFormat/>
    <w:uiPriority w:val="99"/>
    <w:pPr>
      <w:tabs>
        <w:tab w:val="center" w:pos="4153"/>
        <w:tab w:val="right" w:pos="8306"/>
      </w:tabs>
      <w:snapToGrid w:val="0"/>
      <w:jc w:val="left"/>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pPr>
      <w:tabs>
        <w:tab w:val="right" w:leader="dot" w:pos="8931"/>
      </w:tabs>
    </w:pPr>
    <w:rPr>
      <w:rFonts w:ascii="黑体" w:hAnsi="黑体" w:eastAsia="黑体"/>
      <w:sz w:val="28"/>
      <w:szCs w:val="28"/>
    </w:rPr>
  </w:style>
  <w:style w:type="paragraph" w:styleId="22">
    <w:name w:val="toc 4"/>
    <w:basedOn w:val="1"/>
    <w:next w:val="1"/>
    <w:qFormat/>
    <w:uiPriority w:val="99"/>
    <w:pPr>
      <w:spacing w:line="240" w:lineRule="auto"/>
      <w:ind w:left="1260" w:leftChars="600"/>
    </w:pPr>
    <w:rPr>
      <w:rFonts w:ascii="Calibri" w:hAnsi="Calibri" w:eastAsia="宋体"/>
      <w:szCs w:val="22"/>
    </w:rPr>
  </w:style>
  <w:style w:type="paragraph" w:styleId="23">
    <w:name w:val="toc 6"/>
    <w:basedOn w:val="1"/>
    <w:next w:val="1"/>
    <w:qFormat/>
    <w:uiPriority w:val="99"/>
    <w:pPr>
      <w:spacing w:line="240" w:lineRule="auto"/>
      <w:ind w:left="2100" w:leftChars="1000"/>
    </w:pPr>
    <w:rPr>
      <w:rFonts w:ascii="Calibri" w:hAnsi="Calibri" w:eastAsia="宋体"/>
      <w:szCs w:val="22"/>
    </w:rPr>
  </w:style>
  <w:style w:type="paragraph" w:styleId="24">
    <w:name w:val="toc 2"/>
    <w:basedOn w:val="1"/>
    <w:next w:val="1"/>
    <w:qFormat/>
    <w:uiPriority w:val="99"/>
    <w:pPr>
      <w:tabs>
        <w:tab w:val="left" w:pos="1260"/>
        <w:tab w:val="right" w:leader="dot" w:pos="8931"/>
      </w:tabs>
      <w:ind w:left="640" w:leftChars="200"/>
    </w:pPr>
    <w:rPr>
      <w:rFonts w:ascii="黑体" w:hAnsi="黑体" w:eastAsia="黑体"/>
      <w:sz w:val="28"/>
      <w:szCs w:val="28"/>
    </w:rPr>
  </w:style>
  <w:style w:type="paragraph" w:styleId="25">
    <w:name w:val="toc 9"/>
    <w:basedOn w:val="1"/>
    <w:next w:val="1"/>
    <w:qFormat/>
    <w:uiPriority w:val="99"/>
    <w:pPr>
      <w:spacing w:line="240" w:lineRule="auto"/>
      <w:ind w:left="3360" w:leftChars="1600"/>
    </w:pPr>
    <w:rPr>
      <w:rFonts w:ascii="Calibri" w:hAnsi="Calibri" w:eastAsia="宋体"/>
      <w:szCs w:val="22"/>
    </w:rPr>
  </w:style>
  <w:style w:type="paragraph" w:styleId="26">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27">
    <w:name w:val="annotation subject"/>
    <w:basedOn w:val="14"/>
    <w:next w:val="14"/>
    <w:link w:val="58"/>
    <w:semiHidden/>
    <w:qFormat/>
    <w:uiPriority w:val="99"/>
    <w:rPr>
      <w:b/>
      <w:bCs/>
    </w:rPr>
  </w:style>
  <w:style w:type="character" w:styleId="30">
    <w:name w:val="Strong"/>
    <w:qFormat/>
    <w:uiPriority w:val="99"/>
    <w:rPr>
      <w:rFonts w:cs="Times New Roman"/>
      <w:b/>
      <w:bCs/>
    </w:rPr>
  </w:style>
  <w:style w:type="character" w:styleId="31">
    <w:name w:val="Hyperlink"/>
    <w:qFormat/>
    <w:uiPriority w:val="99"/>
    <w:rPr>
      <w:rFonts w:cs="Times New Roman"/>
      <w:color w:val="0000FF"/>
      <w:u w:val="single"/>
    </w:rPr>
  </w:style>
  <w:style w:type="character" w:styleId="32">
    <w:name w:val="annotation reference"/>
    <w:semiHidden/>
    <w:qFormat/>
    <w:uiPriority w:val="99"/>
    <w:rPr>
      <w:rFonts w:cs="Times New Roman"/>
      <w:sz w:val="21"/>
      <w:szCs w:val="21"/>
    </w:rPr>
  </w:style>
  <w:style w:type="paragraph" w:customStyle="1" w:styleId="33">
    <w:name w:val="（一）样式"/>
    <w:basedOn w:val="1"/>
    <w:qFormat/>
    <w:uiPriority w:val="99"/>
    <w:pPr>
      <w:ind w:firstLine="643" w:firstLineChars="200"/>
    </w:pPr>
    <w:rPr>
      <w:rFonts w:ascii="仿宋_GB2312" w:eastAsia="楷体"/>
      <w:b/>
      <w:szCs w:val="32"/>
    </w:rPr>
  </w:style>
  <w:style w:type="paragraph" w:customStyle="1" w:styleId="34">
    <w:name w:val="Char Char Char Char"/>
    <w:basedOn w:val="1"/>
    <w:qFormat/>
    <w:uiPriority w:val="99"/>
    <w:pPr>
      <w:spacing w:line="240" w:lineRule="auto"/>
    </w:pPr>
    <w:rPr>
      <w:rFonts w:ascii="Tahoma" w:hAnsi="Tahoma"/>
      <w:sz w:val="24"/>
      <w:szCs w:val="20"/>
    </w:rPr>
  </w:style>
  <w:style w:type="paragraph" w:customStyle="1" w:styleId="35">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szCs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Revision"/>
    <w:hidden/>
    <w:semiHidden/>
    <w:qFormat/>
    <w:uiPriority w:val="99"/>
    <w:rPr>
      <w:rFonts w:ascii="Calibri" w:hAnsi="Calibri" w:eastAsia="宋体" w:cs="Calibri"/>
      <w:kern w:val="2"/>
      <w:sz w:val="21"/>
      <w:szCs w:val="21"/>
      <w:lang w:val="en-US" w:eastAsia="zh-CN" w:bidi="ar-SA"/>
    </w:rPr>
  </w:style>
  <w:style w:type="paragraph" w:customStyle="1" w:styleId="38">
    <w:name w:val="Char"/>
    <w:basedOn w:val="1"/>
    <w:qFormat/>
    <w:uiPriority w:val="99"/>
    <w:pPr>
      <w:spacing w:line="360" w:lineRule="auto"/>
      <w:ind w:firstLine="200" w:firstLineChars="200"/>
    </w:pPr>
    <w:rPr>
      <w:rFonts w:ascii="宋体" w:hAnsi="宋体" w:cs="宋体"/>
      <w:sz w:val="24"/>
      <w:szCs w:val="24"/>
    </w:rPr>
  </w:style>
  <w:style w:type="paragraph" w:customStyle="1" w:styleId="39">
    <w:name w:val="000正文缩进"/>
    <w:basedOn w:val="1"/>
    <w:link w:val="59"/>
    <w:qFormat/>
    <w:uiPriority w:val="99"/>
    <w:pPr>
      <w:widowControl/>
      <w:spacing w:before="120" w:after="120" w:line="360" w:lineRule="auto"/>
      <w:ind w:firstLine="200" w:firstLineChars="200"/>
    </w:pPr>
    <w:rPr>
      <w:rFonts w:ascii="Calibri" w:hAnsi="Calibri" w:eastAsia="宋体"/>
      <w:kern w:val="0"/>
      <w:sz w:val="24"/>
      <w:szCs w:val="20"/>
    </w:rPr>
  </w:style>
  <w:style w:type="paragraph" w:customStyle="1" w:styleId="40">
    <w:name w:val="_Style 2"/>
    <w:basedOn w:val="1"/>
    <w:qFormat/>
    <w:uiPriority w:val="99"/>
    <w:pPr>
      <w:widowControl/>
      <w:spacing w:line="240" w:lineRule="auto"/>
    </w:pPr>
    <w:rPr>
      <w:szCs w:val="20"/>
    </w:rPr>
  </w:style>
  <w:style w:type="paragraph" w:customStyle="1" w:styleId="41">
    <w:name w:val="TOC Heading"/>
    <w:basedOn w:val="2"/>
    <w:next w:val="1"/>
    <w:qFormat/>
    <w:uiPriority w:val="99"/>
    <w:pPr>
      <w:keepNext/>
      <w:keepLines/>
      <w:widowControl/>
      <w:numPr>
        <w:ilvl w:val="0"/>
        <w:numId w:val="0"/>
      </w:numPr>
      <w:adjustRightInd/>
      <w:snapToGrid/>
      <w:spacing w:before="240" w:line="259" w:lineRule="auto"/>
      <w:jc w:val="left"/>
      <w:outlineLvl w:val="9"/>
    </w:pPr>
    <w:rPr>
      <w:rFonts w:ascii="Cambria" w:hAnsi="Cambria" w:eastAsia="宋体" w:cs="Times New Roman"/>
      <w:color w:val="365F91"/>
      <w:sz w:val="32"/>
    </w:rPr>
  </w:style>
  <w:style w:type="character" w:customStyle="1" w:styleId="42">
    <w:name w:val="标题 1 Char Char"/>
    <w:link w:val="2"/>
    <w:qFormat/>
    <w:uiPriority w:val="99"/>
    <w:rPr>
      <w:rFonts w:ascii="黑体" w:hAnsi="黑体" w:eastAsia="黑体" w:cs="宋体"/>
      <w:kern w:val="0"/>
      <w:sz w:val="32"/>
      <w:szCs w:val="32"/>
    </w:rPr>
  </w:style>
  <w:style w:type="character" w:customStyle="1" w:styleId="43">
    <w:name w:val="标题 2 Char Char"/>
    <w:link w:val="4"/>
    <w:qFormat/>
    <w:uiPriority w:val="99"/>
    <w:rPr>
      <w:rFonts w:ascii="黑体" w:hAnsi="黑体" w:eastAsia="黑体" w:cs="Times New Roman"/>
      <w:b/>
      <w:bCs/>
      <w:sz w:val="32"/>
      <w:szCs w:val="32"/>
    </w:rPr>
  </w:style>
  <w:style w:type="character" w:customStyle="1" w:styleId="44">
    <w:name w:val="标题 3 Char Char"/>
    <w:link w:val="5"/>
    <w:qFormat/>
    <w:uiPriority w:val="99"/>
    <w:rPr>
      <w:rFonts w:ascii="Times New Roman" w:hAnsi="Times New Roman" w:eastAsia="仿宋_GB2312" w:cs="Times New Roman"/>
      <w:b/>
      <w:bCs/>
      <w:sz w:val="32"/>
      <w:szCs w:val="32"/>
    </w:rPr>
  </w:style>
  <w:style w:type="character" w:customStyle="1" w:styleId="45">
    <w:name w:val="标题 4 Char Char"/>
    <w:link w:val="6"/>
    <w:qFormat/>
    <w:uiPriority w:val="99"/>
    <w:rPr>
      <w:rFonts w:ascii="Times New Roman" w:hAnsi="Times New Roman" w:eastAsia="仿宋_GB2312" w:cs="Times New Roman"/>
      <w:b/>
      <w:bCs/>
      <w:sz w:val="28"/>
      <w:szCs w:val="28"/>
    </w:rPr>
  </w:style>
  <w:style w:type="character" w:customStyle="1" w:styleId="46">
    <w:name w:val="标题 5 Char Char"/>
    <w:link w:val="7"/>
    <w:qFormat/>
    <w:uiPriority w:val="99"/>
    <w:rPr>
      <w:rFonts w:ascii="Times New Roman" w:hAnsi="Times New Roman" w:eastAsia="仿宋_GB2312" w:cs="Times New Roman"/>
      <w:b/>
      <w:bCs/>
      <w:sz w:val="28"/>
      <w:szCs w:val="28"/>
    </w:rPr>
  </w:style>
  <w:style w:type="character" w:customStyle="1" w:styleId="47">
    <w:name w:val="标题 6 Char Char"/>
    <w:link w:val="8"/>
    <w:qFormat/>
    <w:uiPriority w:val="99"/>
    <w:rPr>
      <w:rFonts w:ascii="Cambria" w:hAnsi="Cambria" w:eastAsia="宋体" w:cs="Times New Roman"/>
      <w:b/>
      <w:bCs/>
      <w:sz w:val="24"/>
      <w:szCs w:val="24"/>
    </w:rPr>
  </w:style>
  <w:style w:type="character" w:customStyle="1" w:styleId="48">
    <w:name w:val="标题 7 Char Char"/>
    <w:link w:val="9"/>
    <w:qFormat/>
    <w:uiPriority w:val="99"/>
    <w:rPr>
      <w:rFonts w:ascii="Times New Roman" w:hAnsi="Times New Roman" w:eastAsia="仿宋_GB2312" w:cs="Times New Roman"/>
      <w:b/>
      <w:bCs/>
      <w:sz w:val="24"/>
      <w:szCs w:val="24"/>
    </w:rPr>
  </w:style>
  <w:style w:type="character" w:customStyle="1" w:styleId="49">
    <w:name w:val="标题 8 Char Char"/>
    <w:link w:val="10"/>
    <w:qFormat/>
    <w:uiPriority w:val="99"/>
    <w:rPr>
      <w:rFonts w:ascii="Cambria" w:hAnsi="Cambria" w:eastAsia="宋体" w:cs="Times New Roman"/>
      <w:sz w:val="24"/>
      <w:szCs w:val="24"/>
    </w:rPr>
  </w:style>
  <w:style w:type="character" w:customStyle="1" w:styleId="50">
    <w:name w:val="标题 9 Char Char"/>
    <w:link w:val="11"/>
    <w:qFormat/>
    <w:uiPriority w:val="99"/>
    <w:rPr>
      <w:rFonts w:ascii="Cambria" w:hAnsi="Cambria" w:eastAsia="宋体" w:cs="Times New Roman"/>
      <w:sz w:val="21"/>
      <w:szCs w:val="21"/>
    </w:rPr>
  </w:style>
  <w:style w:type="character" w:customStyle="1" w:styleId="51">
    <w:name w:val="页眉 Char Char"/>
    <w:link w:val="20"/>
    <w:qFormat/>
    <w:uiPriority w:val="99"/>
    <w:rPr>
      <w:rFonts w:cs="Times New Roman"/>
      <w:sz w:val="18"/>
      <w:szCs w:val="18"/>
    </w:rPr>
  </w:style>
  <w:style w:type="character" w:customStyle="1" w:styleId="52">
    <w:name w:val="页脚 Char Char"/>
    <w:link w:val="19"/>
    <w:qFormat/>
    <w:uiPriority w:val="99"/>
    <w:rPr>
      <w:rFonts w:cs="Times New Roman"/>
      <w:sz w:val="18"/>
      <w:szCs w:val="18"/>
    </w:rPr>
  </w:style>
  <w:style w:type="character" w:customStyle="1" w:styleId="53">
    <w:name w:val="文档结构图 Char Char"/>
    <w:link w:val="13"/>
    <w:qFormat/>
    <w:uiPriority w:val="99"/>
    <w:rPr>
      <w:rFonts w:ascii="宋体" w:hAnsi="Calibri" w:eastAsia="宋体" w:cs="Times New Roman"/>
      <w:sz w:val="18"/>
      <w:szCs w:val="18"/>
    </w:rPr>
  </w:style>
  <w:style w:type="character" w:customStyle="1" w:styleId="54">
    <w:name w:val="批注框文本 Char Char"/>
    <w:link w:val="18"/>
    <w:qFormat/>
    <w:uiPriority w:val="99"/>
    <w:rPr>
      <w:rFonts w:ascii="Calibri" w:hAnsi="Calibri" w:eastAsia="宋体" w:cs="Times New Roman"/>
      <w:sz w:val="18"/>
      <w:szCs w:val="18"/>
    </w:rPr>
  </w:style>
  <w:style w:type="character" w:customStyle="1" w:styleId="55">
    <w:name w:val="样式 三号 加粗"/>
    <w:qFormat/>
    <w:uiPriority w:val="99"/>
    <w:rPr>
      <w:rFonts w:cs="Times New Roman"/>
      <w:b/>
      <w:bCs/>
      <w:sz w:val="28"/>
    </w:rPr>
  </w:style>
  <w:style w:type="character" w:customStyle="1" w:styleId="56">
    <w:name w:val="批注文字 Char Char"/>
    <w:link w:val="14"/>
    <w:qFormat/>
    <w:uiPriority w:val="99"/>
    <w:rPr>
      <w:rFonts w:ascii="Calibri" w:hAnsi="Calibri" w:eastAsia="宋体" w:cs="Times New Roman"/>
      <w:sz w:val="21"/>
      <w:szCs w:val="21"/>
    </w:rPr>
  </w:style>
  <w:style w:type="character" w:customStyle="1" w:styleId="57">
    <w:name w:val="apple-converted-space"/>
    <w:qFormat/>
    <w:uiPriority w:val="99"/>
    <w:rPr>
      <w:rFonts w:cs="Times New Roman"/>
    </w:rPr>
  </w:style>
  <w:style w:type="character" w:customStyle="1" w:styleId="58">
    <w:name w:val="批注主题 Char Char"/>
    <w:link w:val="27"/>
    <w:qFormat/>
    <w:uiPriority w:val="99"/>
    <w:rPr>
      <w:rFonts w:ascii="Calibri" w:hAnsi="Calibri" w:eastAsia="宋体" w:cs="Times New Roman"/>
      <w:b/>
      <w:bCs/>
      <w:sz w:val="21"/>
      <w:szCs w:val="21"/>
    </w:rPr>
  </w:style>
  <w:style w:type="character" w:customStyle="1" w:styleId="59">
    <w:name w:val="000正文缩进 Char Char"/>
    <w:link w:val="39"/>
    <w:qFormat/>
    <w:locked/>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3312</Words>
  <Characters>3629</Characters>
  <Lines>313</Lines>
  <Paragraphs>88</Paragraphs>
  <TotalTime>0</TotalTime>
  <ScaleCrop>false</ScaleCrop>
  <LinksUpToDate>false</LinksUpToDate>
  <CharactersWithSpaces>3708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2019-11-05T06:48:00Z</dcterms:created>
  <dc:creator>DaiCY</dc:creator>
  <cp:lastModifiedBy>木易成林</cp:lastModifiedBy>
  <cp:lastPrinted>2019-11-19T07:32:00Z</cp:lastPrinted>
  <dcterms:modified xsi:type="dcterms:W3CDTF">2025-09-22T01:57:43Z</dcterms:modified>
  <dc:title>三明市低碳发展规划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eyJoZGlkIjoiNjkxNjI2MTMzNjA5MTdlMjE2MTBhNmZmNzkxODg2NWEiLCJ1c2VySWQiOiI0NDgxMDcxNDcifQ==</vt:lpwstr>
  </property>
  <property fmtid="{D5CDD505-2E9C-101B-9397-08002B2CF9AE}" pid="4" name="ICV">
    <vt:lpwstr>2112E6DD96834FEFBDEEF29BE9F5D4AE_12</vt:lpwstr>
  </property>
</Properties>
</file>