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rPr>
      </w:pPr>
      <w:r>
        <w:rPr>
          <w:rFonts w:hint="eastAsia" w:ascii="黑体" w:hAnsi="黑体" w:eastAsia="黑体" w:cs="黑体"/>
        </w:rPr>
        <w:t>附件1</w:t>
      </w:r>
    </w:p>
    <w:p>
      <w:pPr>
        <w:adjustRightInd w:val="0"/>
        <w:rPr>
          <w:rFonts w:hint="eastAsia"/>
        </w:rPr>
      </w:pPr>
    </w:p>
    <w:p>
      <w:pPr>
        <w:adjustRightInd w:val="0"/>
        <w:spacing w:line="59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商品房购买提示</w:t>
      </w:r>
    </w:p>
    <w:p>
      <w:pPr>
        <w:adjustRightInd w:val="0"/>
        <w:rPr>
          <w:rFonts w:hint="eastAsia"/>
        </w:rPr>
      </w:pPr>
    </w:p>
    <w:p>
      <w:pPr>
        <w:adjustRightInd w:val="0"/>
        <w:ind w:firstLine="612" w:firstLineChars="200"/>
        <w:rPr>
          <w:rFonts w:hint="eastAsia" w:eastAsia="仿宋_GB2312"/>
          <w:lang w:eastAsia="zh-CN"/>
        </w:rPr>
      </w:pPr>
      <w:r>
        <w:rPr>
          <w:rFonts w:hint="eastAsia"/>
        </w:rPr>
        <w:t>三明市住房和城乡建设局提示广大消费者：在购买新建商品房时，要注意增强合同意识、风险意识和维权意识，切实保护自身的合法权益</w:t>
      </w:r>
      <w:r>
        <w:rPr>
          <w:rFonts w:hint="eastAsia"/>
          <w:lang w:eastAsia="zh-CN"/>
        </w:rPr>
        <w:t>。</w:t>
      </w:r>
    </w:p>
    <w:p>
      <w:pPr>
        <w:adjustRightInd w:val="0"/>
        <w:ind w:firstLine="612" w:firstLineChars="200"/>
        <w:rPr>
          <w:rFonts w:hint="eastAsia"/>
        </w:rPr>
      </w:pPr>
      <w:r>
        <w:rPr>
          <w:rFonts w:hint="eastAsia" w:ascii="黑体" w:hAnsi="黑体" w:eastAsia="黑体" w:cs="黑体"/>
        </w:rPr>
        <w:t>一、保障资金安全。</w:t>
      </w:r>
      <w:r>
        <w:rPr>
          <w:rFonts w:hint="eastAsia"/>
        </w:rPr>
        <w:t>购房人支付的全部购房款应当直接存入《商品房预售许可证》上载明的预售资金监管账户。预售资金监管是保障购房者合法权益的有力措施。</w:t>
      </w:r>
    </w:p>
    <w:p>
      <w:pPr>
        <w:adjustRightInd w:val="0"/>
        <w:ind w:firstLine="612" w:firstLineChars="200"/>
        <w:rPr>
          <w:rFonts w:hint="eastAsia"/>
        </w:rPr>
      </w:pPr>
      <w:r>
        <w:rPr>
          <w:rFonts w:hint="eastAsia"/>
          <w:b/>
          <w:bCs/>
        </w:rPr>
        <w:t>特别提醒：</w:t>
      </w:r>
      <w:r>
        <w:rPr>
          <w:rFonts w:hint="eastAsia"/>
        </w:rPr>
        <w:t>购房人在交纳预售项目购房款时，请仔细核对房地产开发企业提供的收款账号是否为该项目预售资金监管账户。如非预售资金监管账户，不要支付任何款项，避免预售资金被挪用。</w:t>
      </w:r>
    </w:p>
    <w:p>
      <w:pPr>
        <w:adjustRightInd w:val="0"/>
        <w:ind w:firstLine="612" w:firstLineChars="200"/>
        <w:rPr>
          <w:rFonts w:hint="eastAsia"/>
        </w:rPr>
      </w:pPr>
      <w:r>
        <w:rPr>
          <w:rFonts w:hint="eastAsia" w:ascii="黑体" w:hAnsi="黑体" w:eastAsia="黑体" w:cs="黑体"/>
        </w:rPr>
        <w:t>二、验看有效证书。</w:t>
      </w:r>
      <w:r>
        <w:rPr>
          <w:rFonts w:hint="eastAsia"/>
        </w:rPr>
        <w:t>购买商品房前应认真查看“五证”，即《建设用地规划许可证》、《</w:t>
      </w:r>
      <w:r>
        <w:rPr>
          <w:rFonts w:hint="eastAsia"/>
          <w:lang w:val="en-US" w:eastAsia="zh-CN"/>
        </w:rPr>
        <w:t>不动产权证书</w:t>
      </w:r>
      <w:r>
        <w:rPr>
          <w:rFonts w:hint="eastAsia"/>
        </w:rPr>
        <w:t>》、《建设工程规划许可证》、《建筑工程施工许可证》、《商品房预售许可证》或《商品房现售备案证明》。商品房现售的还应取得建设工程竣工验收备案等手续。</w:t>
      </w:r>
    </w:p>
    <w:p>
      <w:pPr>
        <w:adjustRightInd w:val="0"/>
        <w:ind w:firstLine="612" w:firstLineChars="200"/>
        <w:rPr>
          <w:rFonts w:hint="eastAsia"/>
        </w:rPr>
      </w:pPr>
      <w:r>
        <w:rPr>
          <w:rFonts w:hint="eastAsia"/>
          <w:b/>
          <w:bCs/>
        </w:rPr>
        <w:t>特别提醒：</w:t>
      </w:r>
      <w:r>
        <w:rPr>
          <w:rFonts w:hint="eastAsia"/>
        </w:rPr>
        <w:t>购房人要查验“五证”原件，要核实拟购房屋是否在《商品房预售许可证》所载的房屋幢号和楼层范围内。购买“五证”不全的房屋会有很大的风险，可能无法办理产权登记手续，请购房人慎重考虑。同时，对未取得《商品房预售许可证》或《商品房现售备案证明》的房屋，不要以认购、预订、排号等形式支付定金、预付款性质的任何费用。</w:t>
      </w:r>
    </w:p>
    <w:p>
      <w:pPr>
        <w:adjustRightInd w:val="0"/>
        <w:ind w:firstLine="612" w:firstLineChars="200"/>
        <w:rPr>
          <w:rFonts w:hint="eastAsia"/>
        </w:rPr>
      </w:pPr>
      <w:r>
        <w:rPr>
          <w:rFonts w:hint="eastAsia" w:ascii="黑体" w:hAnsi="黑体" w:eastAsia="黑体" w:cs="黑体"/>
        </w:rPr>
        <w:t>三、审慎签订合同。</w:t>
      </w:r>
      <w:r>
        <w:rPr>
          <w:rFonts w:hint="eastAsia"/>
        </w:rPr>
        <w:t>应慎重签订商品房买卖合同，仔细阅读、充分沟通、完整理解合同条款及补充条款。</w:t>
      </w:r>
      <w:r>
        <w:rPr>
          <w:rFonts w:hint="eastAsia"/>
          <w:b/>
          <w:bCs/>
        </w:rPr>
        <w:t>一是</w:t>
      </w:r>
      <w:r>
        <w:rPr>
          <w:rFonts w:hint="eastAsia"/>
        </w:rPr>
        <w:t>在签订合同之前，认真阅读《商品房销售管理办法》《城市商品房预售管理办法》</w:t>
      </w:r>
      <w:r>
        <w:rPr>
          <w:rFonts w:hint="eastAsia"/>
          <w:lang w:val="en-US" w:eastAsia="zh-CN"/>
        </w:rPr>
        <w:t>等规定</w:t>
      </w:r>
      <w:r>
        <w:rPr>
          <w:rFonts w:hint="eastAsia"/>
        </w:rPr>
        <w:t>。</w:t>
      </w:r>
      <w:r>
        <w:rPr>
          <w:rFonts w:hint="eastAsia"/>
          <w:b/>
          <w:bCs/>
        </w:rPr>
        <w:t>二是</w:t>
      </w:r>
      <w:r>
        <w:rPr>
          <w:rFonts w:hint="eastAsia"/>
        </w:rPr>
        <w:t>必须要求出卖人网上签约，签订合同时应使用国家住建部和工商总局制定的合同示范标准文本，应仔细阅读合同中关于土地使用期限、付款方式、交付条件、交房时间、产权登记等约定条款，并应就可能发生的面积差异、规划设计变更、质量问题、违约责任等问题的处理以及补充性条款与出卖人进行充分沟通和明确。必须确保合同中所有内容填写完整和全部理解后，方可签订合同。</w:t>
      </w:r>
      <w:r>
        <w:rPr>
          <w:rFonts w:hint="eastAsia"/>
          <w:b/>
          <w:bCs/>
        </w:rPr>
        <w:t>三是</w:t>
      </w:r>
      <w:r>
        <w:rPr>
          <w:rFonts w:hint="eastAsia"/>
        </w:rPr>
        <w:t>对于易发生产权争议的公共部位或公共配套设施的产权归属，应在商品房买卖合同中进行约定，避免发生纠纷。不要轻信口头承诺，对承诺事项和内容要求应写入购房合同，写入合同的承诺和内容具有法律效力。</w:t>
      </w:r>
    </w:p>
    <w:p>
      <w:pPr>
        <w:adjustRightInd w:val="0"/>
        <w:ind w:firstLine="612" w:firstLineChars="200"/>
        <w:rPr>
          <w:rFonts w:hint="eastAsia"/>
        </w:rPr>
      </w:pPr>
      <w:r>
        <w:rPr>
          <w:rFonts w:hint="eastAsia" w:ascii="黑体" w:hAnsi="黑体" w:eastAsia="黑体" w:cs="黑体"/>
        </w:rPr>
        <w:t>四、及时登记备案。</w:t>
      </w:r>
      <w:r>
        <w:rPr>
          <w:rFonts w:hint="eastAsia"/>
        </w:rPr>
        <w:t>合同网签之日起30日内，购房人应当要求出卖人向房地产交易管理部门申请商品房买卖合同备案。购房人与出卖人在签订商品房买卖合同时，应当在合同中约定关于预告登记的条款，并依约定及时向不动产登记部门申请预告登记，以确保购房人的合法权益受到法律的保护。</w:t>
      </w:r>
    </w:p>
    <w:p>
      <w:pPr>
        <w:adjustRightInd w:val="0"/>
        <w:ind w:firstLine="612" w:firstLineChars="200"/>
        <w:rPr>
          <w:rFonts w:hint="eastAsia"/>
        </w:rPr>
      </w:pPr>
      <w:r>
        <w:rPr>
          <w:rFonts w:hint="eastAsia" w:ascii="黑体" w:hAnsi="黑体" w:eastAsia="黑体" w:cs="黑体"/>
        </w:rPr>
        <w:t>五、谨防养老诈骗。</w:t>
      </w:r>
      <w:r>
        <w:rPr>
          <w:rFonts w:hint="eastAsia"/>
        </w:rPr>
        <w:t>谨防商品住房销售中以“老年社区”“老年公寓”“养老基地”“养老山庄”等名义进行虚假宣传，诈骗老年人购买等涉诈问题。老年人应多与家人、子女协商，必要时咨询专业人士，经多方论证后再谨慎做出决定。</w:t>
      </w:r>
    </w:p>
    <w:p>
      <w:pPr>
        <w:adjustRightInd w:val="0"/>
        <w:ind w:firstLine="612" w:firstLineChars="200"/>
        <w:rPr>
          <w:rFonts w:hint="eastAsia"/>
        </w:rPr>
      </w:pPr>
      <w:r>
        <w:rPr>
          <w:rFonts w:hint="eastAsia" w:ascii="黑体" w:hAnsi="黑体" w:eastAsia="黑体" w:cs="黑体"/>
        </w:rPr>
        <w:t>六、其他。</w:t>
      </w:r>
      <w:r>
        <w:rPr>
          <w:rFonts w:hint="eastAsia"/>
        </w:rPr>
        <w:t>本风险提示仅供参考，未尽事宜请按相关法律法规和商品房买卖合同条款执行。注意依法交易，避免风险。</w:t>
      </w:r>
    </w:p>
    <w:p>
      <w:pPr>
        <w:adjustRightInd w:val="0"/>
        <w:rPr>
          <w:rFonts w:hint="eastAsia"/>
        </w:rPr>
      </w:pPr>
    </w:p>
    <w:p>
      <w:pPr>
        <w:adjustRightInd w:val="0"/>
        <w:rPr>
          <w:rFonts w:hint="eastAsia" w:ascii="黑体" w:hAnsi="黑体" w:eastAsia="黑体" w:cs="黑体"/>
        </w:rPr>
      </w:pPr>
      <w:r>
        <w:rPr>
          <w:rFonts w:hint="eastAsia"/>
        </w:rPr>
        <w:br w:type="page"/>
      </w: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预售资金缴交告知单</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eastAsia"/>
          <w:lang w:val="en-US" w:eastAsia="zh-CN"/>
        </w:rPr>
      </w:pPr>
      <w:r>
        <w:rPr>
          <w:rFonts w:hint="eastAsia"/>
          <w:lang w:val="en-US" w:eastAsia="zh-CN"/>
        </w:rPr>
        <w:t>购房人（姓名）：</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eastAsia"/>
          <w:lang w:val="en-US" w:eastAsia="zh-CN"/>
        </w:rPr>
      </w:pPr>
      <w:r>
        <w:rPr>
          <w:rFonts w:hint="eastAsia"/>
          <w:lang w:val="en-US" w:eastAsia="zh-CN"/>
        </w:rPr>
        <w:t>您购买</w:t>
      </w:r>
      <w:r>
        <w:rPr>
          <w:rFonts w:hint="eastAsia"/>
          <w:u w:val="single"/>
          <w:lang w:val="en-US" w:eastAsia="zh-CN"/>
        </w:rPr>
        <w:t xml:space="preserve">       </w:t>
      </w:r>
      <w:r>
        <w:rPr>
          <w:rFonts w:hint="eastAsia"/>
          <w:lang w:val="en-US" w:eastAsia="zh-CN"/>
        </w:rPr>
        <w:t>项目</w:t>
      </w:r>
      <w:r>
        <w:rPr>
          <w:rFonts w:hint="eastAsia"/>
          <w:u w:val="single"/>
          <w:lang w:val="en-US" w:eastAsia="zh-CN"/>
        </w:rPr>
        <w:t xml:space="preserve">  （商品房具体坐落）  </w:t>
      </w:r>
      <w:r>
        <w:rPr>
          <w:rFonts w:hint="eastAsia"/>
          <w:lang w:val="en-US" w:eastAsia="zh-CN"/>
        </w:rPr>
        <w:t>，预售资金监管账号为：</w:t>
      </w:r>
      <w:r>
        <w:rPr>
          <w:rFonts w:hint="eastAsia"/>
          <w:u w:val="single"/>
          <w:lang w:val="en-US" w:eastAsia="zh-CN"/>
        </w:rPr>
        <w:t xml:space="preserve">                </w:t>
      </w:r>
      <w:r>
        <w:rPr>
          <w:rFonts w:hint="eastAsia"/>
          <w:lang w:val="en-US" w:eastAsia="zh-CN"/>
        </w:rPr>
        <w:t>开户银行：</w:t>
      </w:r>
      <w:r>
        <w:rPr>
          <w:rFonts w:hint="eastAsia"/>
          <w:u w:val="single"/>
          <w:lang w:val="en-US" w:eastAsia="zh-CN"/>
        </w:rPr>
        <w:t xml:space="preserve">             </w:t>
      </w:r>
      <w:r>
        <w:rPr>
          <w:rFonts w:hint="eastAsia"/>
          <w:u w:val="none"/>
          <w:lang w:val="en-US" w:eastAsia="zh-CN"/>
        </w:rPr>
        <w:t>；</w:t>
      </w:r>
      <w:r>
        <w:rPr>
          <w:rFonts w:hint="eastAsia"/>
          <w:lang w:val="en-US" w:eastAsia="zh-CN"/>
        </w:rPr>
        <w:t>与监管账户绑定的POS机商户名：</w:t>
      </w:r>
      <w:r>
        <w:rPr>
          <w:rFonts w:hint="eastAsia"/>
          <w:u w:val="single"/>
          <w:lang w:val="en-US" w:eastAsia="zh-CN"/>
        </w:rPr>
        <w:t xml:space="preserve">         </w:t>
      </w:r>
      <w:r>
        <w:rPr>
          <w:rFonts w:hint="eastAsia"/>
          <w:lang w:val="en-US" w:eastAsia="zh-CN"/>
        </w:rPr>
        <w:t>，商户号：</w:t>
      </w:r>
      <w:r>
        <w:rPr>
          <w:rFonts w:hint="eastAsia"/>
          <w:u w:val="single"/>
          <w:lang w:val="en-US" w:eastAsia="zh-CN"/>
        </w:rPr>
        <w:t xml:space="preserve">             </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eastAsia"/>
          <w:lang w:val="en-US" w:eastAsia="zh-CN"/>
        </w:rPr>
      </w:pPr>
      <w:r>
        <w:rPr>
          <w:rFonts w:hint="eastAsia"/>
          <w:lang w:val="en-US" w:eastAsia="zh-CN"/>
        </w:rPr>
        <w:t>为保障商品房预售资金安全、专款专用，切实维护您的个人权益，所有购房款必须进入预售资金监管账户。</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default"/>
          <w:u w:val="single"/>
          <w:lang w:val="en-US" w:eastAsia="zh-CN"/>
        </w:rPr>
      </w:pPr>
      <w:r>
        <w:rPr>
          <w:rFonts w:hint="eastAsia"/>
          <w:u w:val="single"/>
          <w:lang w:val="en-US" w:eastAsia="zh-CN"/>
        </w:rPr>
        <w:t xml:space="preserve">（本行划线内容由购房人抄写）本人已知晓上述告知内容。  </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tabs>
          <w:tab w:val="left" w:pos="5505"/>
        </w:tabs>
        <w:kinsoku/>
        <w:wordWrap/>
        <w:overflowPunct/>
        <w:topLinePunct w:val="0"/>
        <w:autoSpaceDE/>
        <w:autoSpaceDN/>
        <w:bidi w:val="0"/>
        <w:adjustRightInd w:val="0"/>
        <w:snapToGrid/>
        <w:spacing w:line="500" w:lineRule="exact"/>
        <w:ind w:firstLine="612" w:firstLineChars="200"/>
        <w:textAlignment w:val="auto"/>
        <w:rPr>
          <w:rFonts w:hint="default"/>
          <w:lang w:val="en-US" w:eastAsia="zh-CN"/>
        </w:rPr>
      </w:pPr>
      <w:r>
        <w:rPr>
          <w:rFonts w:hint="eastAsia"/>
          <w:lang w:val="en-US" w:eastAsia="zh-CN"/>
        </w:rPr>
        <w:t>购房人（签字）：</w:t>
      </w:r>
      <w:r>
        <w:rPr>
          <w:rFonts w:hint="eastAsia"/>
          <w:u w:val="single"/>
          <w:lang w:val="en-US" w:eastAsia="zh-CN"/>
        </w:rPr>
        <w:t xml:space="preserve">            </w:t>
      </w:r>
      <w:r>
        <w:rPr>
          <w:rFonts w:hint="eastAsia"/>
          <w:u w:val="none"/>
          <w:lang w:val="en-US" w:eastAsia="zh-CN"/>
        </w:rPr>
        <w:tab/>
      </w:r>
      <w:r>
        <w:rPr>
          <w:rFonts w:hint="eastAsia"/>
          <w:u w:val="none"/>
          <w:lang w:val="en-US" w:eastAsia="zh-CN"/>
        </w:rPr>
        <w:t>时间：</w:t>
      </w:r>
      <w:r>
        <w:rPr>
          <w:rFonts w:hint="eastAsia"/>
          <w:u w:val="single"/>
          <w:lang w:val="en-US" w:eastAsia="zh-CN"/>
        </w:rPr>
        <w:t xml:space="preserve">                </w:t>
      </w:r>
    </w:p>
    <w:p>
      <w:pPr>
        <w:keepNext w:val="0"/>
        <w:keepLines w:val="0"/>
        <w:pageBreakBefore w:val="0"/>
        <w:widowControl w:val="0"/>
        <w:tabs>
          <w:tab w:val="left" w:pos="5505"/>
        </w:tabs>
        <w:kinsoku/>
        <w:wordWrap/>
        <w:overflowPunct/>
        <w:topLinePunct w:val="0"/>
        <w:autoSpaceDE/>
        <w:autoSpaceDN/>
        <w:bidi w:val="0"/>
        <w:adjustRightInd w:val="0"/>
        <w:snapToGrid/>
        <w:spacing w:line="500" w:lineRule="exact"/>
        <w:ind w:firstLine="612" w:firstLineChars="200"/>
        <w:textAlignment w:val="auto"/>
        <w:rPr>
          <w:rFonts w:hint="eastAsia"/>
          <w:u w:val="single"/>
          <w:lang w:val="en-US" w:eastAsia="zh-CN"/>
        </w:rPr>
      </w:pPr>
      <w:r>
        <w:rPr>
          <w:rFonts w:hint="eastAsia"/>
          <w:lang w:val="en-US" w:eastAsia="zh-CN"/>
        </w:rPr>
        <w:t>联  系  电  话：</w:t>
      </w:r>
      <w:r>
        <w:rPr>
          <w:rFonts w:hint="eastAsia"/>
          <w:u w:val="single"/>
          <w:lang w:val="en-US" w:eastAsia="zh-CN"/>
        </w:rPr>
        <w:t xml:space="preserve">            </w:t>
      </w:r>
      <w:r>
        <w:rPr>
          <w:rFonts w:hint="eastAsia"/>
          <w:u w:val="none"/>
          <w:lang w:val="en-US" w:eastAsia="zh-CN"/>
        </w:rPr>
        <w:t xml:space="preserve">   </w:t>
      </w:r>
      <w:r>
        <w:rPr>
          <w:rFonts w:hint="eastAsia"/>
          <w:lang w:val="en-US" w:eastAsia="zh-CN"/>
        </w:rPr>
        <w:t>某房地产开发公司（公章）</w:t>
      </w:r>
    </w:p>
    <w:p>
      <w:pPr>
        <w:keepNext w:val="0"/>
        <w:keepLines w:val="0"/>
        <w:pageBreakBefore w:val="0"/>
        <w:widowControl w:val="0"/>
        <w:tabs>
          <w:tab w:val="left" w:pos="5505"/>
        </w:tabs>
        <w:kinsoku/>
        <w:wordWrap/>
        <w:overflowPunct/>
        <w:topLinePunct w:val="0"/>
        <w:autoSpaceDE/>
        <w:autoSpaceDN/>
        <w:bidi w:val="0"/>
        <w:adjustRightInd w:val="0"/>
        <w:snapToGrid/>
        <w:spacing w:line="500" w:lineRule="exact"/>
        <w:ind w:firstLine="612" w:firstLineChars="200"/>
        <w:textAlignment w:val="auto"/>
        <w:rPr>
          <w:rFonts w:hint="eastAsia"/>
          <w:u w:val="single"/>
          <w:lang w:val="en-US" w:eastAsia="zh-CN"/>
        </w:rPr>
      </w:pPr>
    </w:p>
    <w:p>
      <w:pPr>
        <w:keepNext w:val="0"/>
        <w:keepLines w:val="0"/>
        <w:pageBreakBefore w:val="0"/>
        <w:widowControl w:val="0"/>
        <w:tabs>
          <w:tab w:val="left" w:pos="5505"/>
        </w:tabs>
        <w:kinsoku/>
        <w:wordWrap/>
        <w:overflowPunct/>
        <w:topLinePunct w:val="0"/>
        <w:autoSpaceDE/>
        <w:autoSpaceDN/>
        <w:bidi w:val="0"/>
        <w:adjustRightInd w:val="0"/>
        <w:snapToGrid/>
        <w:spacing w:line="500" w:lineRule="exact"/>
        <w:ind w:left="0" w:leftChars="0" w:firstLine="0" w:firstLineChars="0"/>
        <w:textAlignment w:val="auto"/>
        <w:rPr>
          <w:rFonts w:hint="eastAsia"/>
          <w:lang w:val="en-US" w:eastAsia="zh-CN"/>
        </w:rPr>
      </w:pPr>
      <w:r>
        <w:rPr>
          <w:rFonts w:hint="eastAsia"/>
          <w:lang w:val="en-US" w:eastAsia="zh-CN"/>
        </w:rPr>
        <w:t>————（分割线）——————某房地产开发公司（公章）——</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sz w:val="40"/>
          <w:szCs w:val="40"/>
          <w:lang w:val="en-US" w:eastAsia="zh-CN"/>
        </w:rPr>
        <w:t>预售资金缴交告知单回执联</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eastAsia"/>
          <w:u w:val="none"/>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eastAsia"/>
          <w:u w:val="none"/>
          <w:lang w:val="en-US" w:eastAsia="zh-CN"/>
        </w:rPr>
      </w:pPr>
      <w:r>
        <w:rPr>
          <w:rFonts w:hint="eastAsia"/>
          <w:u w:val="none"/>
          <w:lang w:val="en-US" w:eastAsia="zh-CN"/>
        </w:rPr>
        <w:t>本人已知晓上述告知内容。</w:t>
      </w:r>
    </w:p>
    <w:p>
      <w:pPr>
        <w:keepNext w:val="0"/>
        <w:keepLines w:val="0"/>
        <w:pageBreakBefore w:val="0"/>
        <w:widowControl w:val="0"/>
        <w:kinsoku/>
        <w:wordWrap/>
        <w:overflowPunct/>
        <w:topLinePunct w:val="0"/>
        <w:autoSpaceDE/>
        <w:autoSpaceDN/>
        <w:bidi w:val="0"/>
        <w:adjustRightInd w:val="0"/>
        <w:snapToGrid/>
        <w:spacing w:line="500" w:lineRule="exact"/>
        <w:ind w:firstLine="612" w:firstLineChars="200"/>
        <w:textAlignment w:val="auto"/>
        <w:rPr>
          <w:rFonts w:hint="default"/>
          <w:u w:val="single"/>
          <w:lang w:val="en-US" w:eastAsia="zh-CN"/>
        </w:rPr>
      </w:pPr>
    </w:p>
    <w:p>
      <w:pPr>
        <w:keepNext w:val="0"/>
        <w:keepLines w:val="0"/>
        <w:pageBreakBefore w:val="0"/>
        <w:widowControl w:val="0"/>
        <w:tabs>
          <w:tab w:val="left" w:pos="5180"/>
        </w:tabs>
        <w:kinsoku/>
        <w:wordWrap/>
        <w:overflowPunct/>
        <w:topLinePunct w:val="0"/>
        <w:autoSpaceDE/>
        <w:autoSpaceDN/>
        <w:bidi w:val="0"/>
        <w:adjustRightInd w:val="0"/>
        <w:snapToGrid/>
        <w:spacing w:line="500" w:lineRule="exact"/>
        <w:ind w:left="0" w:leftChars="0" w:firstLine="0" w:firstLineChars="0"/>
        <w:textAlignment w:val="auto"/>
        <w:rPr>
          <w:rFonts w:hint="default"/>
          <w:lang w:val="en-US" w:eastAsia="zh-CN"/>
        </w:rPr>
      </w:pPr>
      <w:r>
        <w:rPr>
          <w:rFonts w:hint="eastAsia"/>
          <w:lang w:val="en-US" w:eastAsia="zh-CN"/>
        </w:rPr>
        <w:t>购房人（签字）：</w:t>
      </w:r>
      <w:r>
        <w:rPr>
          <w:rFonts w:hint="eastAsia"/>
          <w:u w:val="single"/>
          <w:lang w:val="en-US" w:eastAsia="zh-CN"/>
        </w:rPr>
        <w:t xml:space="preserve">          </w:t>
      </w:r>
      <w:r>
        <w:rPr>
          <w:rFonts w:hint="eastAsia"/>
          <w:u w:val="none"/>
          <w:lang w:val="en-US" w:eastAsia="zh-CN"/>
        </w:rPr>
        <w:tab/>
      </w:r>
      <w:r>
        <w:rPr>
          <w:rFonts w:hint="eastAsia"/>
          <w:u w:val="none"/>
          <w:lang w:val="en-US" w:eastAsia="zh-CN"/>
        </w:rPr>
        <w:t>房  号：</w:t>
      </w:r>
      <w:r>
        <w:rPr>
          <w:rFonts w:hint="eastAsia"/>
          <w:u w:val="single"/>
          <w:lang w:val="en-US" w:eastAsia="zh-CN"/>
        </w:rPr>
        <w:t xml:space="preserve">               </w:t>
      </w:r>
    </w:p>
    <w:p>
      <w:pPr>
        <w:keepNext w:val="0"/>
        <w:keepLines w:val="0"/>
        <w:pageBreakBefore w:val="0"/>
        <w:widowControl w:val="0"/>
        <w:tabs>
          <w:tab w:val="left" w:pos="5180"/>
        </w:tabs>
        <w:kinsoku/>
        <w:wordWrap/>
        <w:overflowPunct/>
        <w:topLinePunct w:val="0"/>
        <w:autoSpaceDE/>
        <w:autoSpaceDN/>
        <w:bidi w:val="0"/>
        <w:adjustRightInd w:val="0"/>
        <w:snapToGrid/>
        <w:spacing w:line="500" w:lineRule="exact"/>
        <w:ind w:left="0" w:leftChars="0" w:firstLine="0" w:firstLineChars="0"/>
        <w:textAlignment w:val="auto"/>
        <w:rPr>
          <w:rFonts w:hint="eastAsia"/>
          <w:lang w:val="en-US" w:eastAsia="zh-CN"/>
        </w:rPr>
      </w:pPr>
      <w:r>
        <w:rPr>
          <w:rFonts w:hint="eastAsia"/>
          <w:lang w:val="en-US" w:eastAsia="zh-CN"/>
        </w:rPr>
        <w:t>联  系  电  话：</w:t>
      </w:r>
      <w:r>
        <w:rPr>
          <w:rFonts w:hint="eastAsia"/>
          <w:u w:val="single"/>
          <w:lang w:val="en-US" w:eastAsia="zh-CN"/>
        </w:rPr>
        <w:t xml:space="preserve">          </w:t>
      </w:r>
      <w:r>
        <w:rPr>
          <w:rFonts w:hint="eastAsia"/>
          <w:u w:val="none"/>
          <w:lang w:val="en-US" w:eastAsia="zh-CN"/>
        </w:rPr>
        <w:tab/>
      </w:r>
      <w:r>
        <w:rPr>
          <w:rFonts w:hint="eastAsia"/>
          <w:u w:val="none"/>
          <w:lang w:val="en-US" w:eastAsia="zh-CN"/>
        </w:rPr>
        <w:t>时  间：</w:t>
      </w:r>
      <w:r>
        <w:rPr>
          <w:rFonts w:hint="eastAsia"/>
          <w:u w:val="single"/>
          <w:lang w:val="en-US" w:eastAsia="zh-CN"/>
        </w:rPr>
        <w:t xml:space="preserve">               </w:t>
      </w:r>
    </w:p>
    <w:p>
      <w:pPr>
        <w:adjustRightInd w:val="0"/>
        <w:rPr>
          <w:rFonts w:hint="eastAsia"/>
        </w:rPr>
      </w:pPr>
      <w:bookmarkStart w:id="0" w:name="_GoBack"/>
      <w:bookmarkEnd w:id="0"/>
    </w:p>
    <w:sectPr>
      <w:footerReference r:id="rId3" w:type="default"/>
      <w:pgSz w:w="11906" w:h="16838"/>
      <w:pgMar w:top="1985" w:right="1531" w:bottom="1871" w:left="1531" w:header="851" w:footer="1588" w:gutter="0"/>
      <w:pgNumType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6"/>
        <w:rFonts w:hint="eastAsia" w:eastAsia="宋体"/>
        <w:sz w:val="28"/>
        <w:szCs w:val="28"/>
      </w:rPr>
    </w:pPr>
    <w:r>
      <w:rPr>
        <w:rStyle w:val="6"/>
        <w:rFonts w:hint="eastAsia" w:eastAsia="宋体"/>
        <w:sz w:val="28"/>
        <w:szCs w:val="28"/>
      </w:rPr>
      <w:t xml:space="preserve">— </w:t>
    </w:r>
    <w:r>
      <w:rPr>
        <w:rFonts w:eastAsia="宋体"/>
        <w:sz w:val="28"/>
        <w:szCs w:val="28"/>
      </w:rPr>
      <w:fldChar w:fldCharType="begin"/>
    </w:r>
    <w:r>
      <w:rPr>
        <w:rStyle w:val="6"/>
        <w:rFonts w:eastAsia="宋体"/>
        <w:sz w:val="28"/>
        <w:szCs w:val="28"/>
      </w:rPr>
      <w:instrText xml:space="preserve">PAGE  </w:instrText>
    </w:r>
    <w:r>
      <w:rPr>
        <w:rFonts w:eastAsia="宋体"/>
        <w:sz w:val="28"/>
        <w:szCs w:val="28"/>
      </w:rPr>
      <w:fldChar w:fldCharType="separate"/>
    </w:r>
    <w:r>
      <w:rPr>
        <w:rStyle w:val="6"/>
        <w:rFonts w:eastAsia="宋体"/>
        <w:sz w:val="28"/>
        <w:szCs w:val="28"/>
      </w:rPr>
      <w:t>1</w:t>
    </w:r>
    <w:r>
      <w:rPr>
        <w:rFonts w:eastAsia="宋体"/>
        <w:sz w:val="28"/>
        <w:szCs w:val="28"/>
      </w:rPr>
      <w:fldChar w:fldCharType="end"/>
    </w:r>
    <w:r>
      <w:rPr>
        <w:rStyle w:val="6"/>
        <w:rFonts w:hint="eastAsia"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19"/>
  <w:hyphenationZone w:val="360"/>
  <w:drawingGridHorizontalSpacing w:val="158"/>
  <w:drawingGridVerticalSpacing w:val="5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2ZhOWI0MzA2Y2I1ZTI2YzQ4MGY2ZWQzOTU1YTYifQ=="/>
  </w:docVars>
  <w:rsids>
    <w:rsidRoot w:val="79264BE7"/>
    <w:rsid w:val="002227B2"/>
    <w:rsid w:val="003504D1"/>
    <w:rsid w:val="004703AC"/>
    <w:rsid w:val="00471E0A"/>
    <w:rsid w:val="006C2BE8"/>
    <w:rsid w:val="007E5165"/>
    <w:rsid w:val="0093305B"/>
    <w:rsid w:val="009B56F6"/>
    <w:rsid w:val="009F7874"/>
    <w:rsid w:val="00A34C13"/>
    <w:rsid w:val="00C26F3D"/>
    <w:rsid w:val="00F259B5"/>
    <w:rsid w:val="01841AF7"/>
    <w:rsid w:val="14E537AF"/>
    <w:rsid w:val="176433CC"/>
    <w:rsid w:val="1890294F"/>
    <w:rsid w:val="18F9027A"/>
    <w:rsid w:val="26096B97"/>
    <w:rsid w:val="270874EC"/>
    <w:rsid w:val="29A5491E"/>
    <w:rsid w:val="2A9B6FD6"/>
    <w:rsid w:val="2C6B3952"/>
    <w:rsid w:val="33297B34"/>
    <w:rsid w:val="3A0D2C1E"/>
    <w:rsid w:val="4151103E"/>
    <w:rsid w:val="4B856223"/>
    <w:rsid w:val="4E581090"/>
    <w:rsid w:val="52431BDE"/>
    <w:rsid w:val="53295C31"/>
    <w:rsid w:val="5CFE7B14"/>
    <w:rsid w:val="62E23C10"/>
    <w:rsid w:val="67EB4F70"/>
    <w:rsid w:val="68124810"/>
    <w:rsid w:val="6E8EFEAC"/>
    <w:rsid w:val="71A428C9"/>
    <w:rsid w:val="74516822"/>
    <w:rsid w:val="79264BE7"/>
    <w:rsid w:val="FFBD4F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30828;&#30424;&#23384;&#26723;20210811\office\&#21508;&#31867;&#26684;&#24335;\2022&#24180;&#24066;&#20303;&#24314;&#23616;&#21450;&#20303;&#24314;&#23616;&#21150;&#20844;&#23460;&#20844;&#25991;&#27169;&#26495;\&#26126;&#24314;&#12308;2022&#12309;&#215;&#21495;&#65288;&#19979;&#34892;&#2599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明建〔2022〕×号（下行文）.dot</Template>
  <Pages>6</Pages>
  <Words>1861</Words>
  <Characters>1882</Characters>
  <Lines>1</Lines>
  <Paragraphs>1</Paragraphs>
  <TotalTime>170</TotalTime>
  <ScaleCrop>false</ScaleCrop>
  <LinksUpToDate>false</LinksUpToDate>
  <CharactersWithSpaces>2132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2022-08-02T07:46:00Z</dcterms:created>
  <dc:creator>耐斯丹宏</dc:creator>
  <cp:lastModifiedBy>林惠芬</cp:lastModifiedBy>
  <cp:lastPrinted>2022-08-23T01:32:00Z</cp:lastPrinted>
  <dcterms:modified xsi:type="dcterms:W3CDTF">2022-08-25T09:11:33Z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C0E4C0DF3287448D864348887E5E7928</vt:lpwstr>
  </property>
</Properties>
</file>