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5E" w:rsidRDefault="003C488E" w:rsidP="00110A5E">
      <w:pPr>
        <w:jc w:val="center"/>
        <w:rPr>
          <w:rFonts w:hint="eastAsia"/>
          <w:b/>
          <w:sz w:val="32"/>
          <w:szCs w:val="32"/>
        </w:rPr>
      </w:pPr>
      <w:r w:rsidRPr="00110A5E">
        <w:rPr>
          <w:rFonts w:hint="eastAsia"/>
          <w:b/>
          <w:sz w:val="32"/>
          <w:szCs w:val="32"/>
        </w:rPr>
        <w:t>关于做好长春长生公司狂犬病疫苗接种者跟踪观察</w:t>
      </w:r>
      <w:proofErr w:type="gramStart"/>
      <w:r w:rsidRPr="00110A5E">
        <w:rPr>
          <w:rFonts w:hint="eastAsia"/>
          <w:b/>
          <w:sz w:val="32"/>
          <w:szCs w:val="32"/>
        </w:rPr>
        <w:t>和</w:t>
      </w:r>
      <w:proofErr w:type="gramEnd"/>
    </w:p>
    <w:p w:rsidR="00263E65" w:rsidRPr="00110A5E" w:rsidRDefault="003C488E" w:rsidP="00110A5E">
      <w:pPr>
        <w:jc w:val="center"/>
        <w:rPr>
          <w:b/>
          <w:sz w:val="32"/>
          <w:szCs w:val="32"/>
        </w:rPr>
      </w:pPr>
      <w:r w:rsidRPr="00110A5E">
        <w:rPr>
          <w:rFonts w:hint="eastAsia"/>
          <w:b/>
          <w:sz w:val="32"/>
          <w:szCs w:val="32"/>
        </w:rPr>
        <w:t>咨询服务相关工作的通知</w:t>
      </w:r>
    </w:p>
    <w:p w:rsidR="003C488E" w:rsidRDefault="003C488E" w:rsidP="003C488E">
      <w:pPr>
        <w:pStyle w:val="customunionstyle"/>
        <w:shd w:val="clear" w:color="auto" w:fill="FFFFFF"/>
        <w:spacing w:before="0" w:beforeAutospacing="0" w:after="0" w:afterAutospacing="0" w:line="360" w:lineRule="atLeast"/>
        <w:jc w:val="both"/>
        <w:rPr>
          <w:color w:val="333333"/>
          <w:sz w:val="21"/>
          <w:szCs w:val="21"/>
        </w:rPr>
      </w:pPr>
      <w:bookmarkStart w:id="0" w:name="_GoBack"/>
      <w:r>
        <w:rPr>
          <w:rFonts w:hint="eastAsia"/>
          <w:color w:val="333333"/>
          <w:sz w:val="21"/>
          <w:szCs w:val="21"/>
        </w:rPr>
        <w:t>各省、自治区、直辖市及新疆生产建设兵团卫生计生委： </w:t>
      </w:r>
      <w:r>
        <w:rPr>
          <w:rFonts w:hint="eastAsia"/>
          <w:color w:val="333333"/>
          <w:sz w:val="21"/>
          <w:szCs w:val="21"/>
        </w:rPr>
        <w:br/>
        <w:t xml:space="preserve">　　近期，国家药监局通报了长春长生生物科技有限公司（以下简称长春长生公司）违法违规生产冻干人用狂犬病疫苗（以下简称狂犬病疫苗）的案件。为落实有关要求，做好长春长生公司狂犬病疫苗接种者（以下简称接种者）跟踪观察和咨询服务工作，维护人民群众身体健康和生命安全，保护接种者合法权益，现将有关事项通知如下： </w:t>
      </w:r>
      <w:r>
        <w:rPr>
          <w:rFonts w:hint="eastAsia"/>
          <w:color w:val="333333"/>
          <w:sz w:val="21"/>
          <w:szCs w:val="21"/>
        </w:rPr>
        <w:br/>
        <w:t xml:space="preserve">　　一、深刻认识做好跟踪观察和咨询服务的重要意义 </w:t>
      </w:r>
      <w:r>
        <w:rPr>
          <w:rFonts w:hint="eastAsia"/>
          <w:color w:val="333333"/>
          <w:sz w:val="21"/>
          <w:szCs w:val="21"/>
        </w:rPr>
        <w:br/>
        <w:t xml:space="preserve">　　狂犬病是威胁人类生命健康的重要传染病之一，接种狂犬病疫苗是有效保护狂犬病暴露者的重要手段。长春长生公司违法违规生产狂犬病疫苗案件，引发社会高度关注。习近平总书记、李克强总理</w:t>
      </w:r>
      <w:proofErr w:type="gramStart"/>
      <w:r>
        <w:rPr>
          <w:rFonts w:hint="eastAsia"/>
          <w:color w:val="333333"/>
          <w:sz w:val="21"/>
          <w:szCs w:val="21"/>
        </w:rPr>
        <w:t>作出</w:t>
      </w:r>
      <w:proofErr w:type="gramEnd"/>
      <w:r>
        <w:rPr>
          <w:rFonts w:hint="eastAsia"/>
          <w:color w:val="333333"/>
          <w:sz w:val="21"/>
          <w:szCs w:val="21"/>
        </w:rPr>
        <w:t>重要指示批示。针对人民群众关切的热点问题进行解疑释惑，做好接种者跟踪观察和咨询服务，是回应社会关切、维护人民群众健康的具体措施。各地卫生计生行政部门和有关医疗卫生机构要提高认识，强化“四个意识”，坚持以人民为中心，切实做好接种者跟踪观察和咨询服务工作。 </w:t>
      </w:r>
      <w:r>
        <w:rPr>
          <w:rFonts w:hint="eastAsia"/>
          <w:color w:val="333333"/>
          <w:sz w:val="21"/>
          <w:szCs w:val="21"/>
        </w:rPr>
        <w:br/>
        <w:t xml:space="preserve">　　二、做好跟踪观察和咨询服务组织管理 </w:t>
      </w:r>
      <w:r>
        <w:rPr>
          <w:rFonts w:hint="eastAsia"/>
          <w:color w:val="333333"/>
          <w:sz w:val="21"/>
          <w:szCs w:val="21"/>
        </w:rPr>
        <w:br/>
        <w:t xml:space="preserve">　　（一）明确责任单位。全国各狂犬病疫苗接种单位（以下简称接种单位）负责提供跟踪观察和咨询服务。接种单位要设置跟踪观察和咨询服务点并设置醒目标识，安排有经验的医务人员提供服务，向社会公开联系方式。县区级卫生计生行政部门要向社会公开辖区内接种单位的名称、地点和联系方式。 </w:t>
      </w:r>
      <w:r>
        <w:rPr>
          <w:rFonts w:hint="eastAsia"/>
          <w:color w:val="333333"/>
          <w:sz w:val="21"/>
          <w:szCs w:val="21"/>
        </w:rPr>
        <w:br/>
        <w:t xml:space="preserve">　　（二）确定定点医疗机构。县级以上地方卫生计生行政部门要各确定1家医疗机构，作为辖区内进一步临床观察的定点医疗机构（以下简称定点医疗机构）。定点医疗机构原则上应当为传染病医院，未设置传染病医院的，可以设置在有</w:t>
      </w:r>
      <w:proofErr w:type="gramStart"/>
      <w:r>
        <w:rPr>
          <w:rFonts w:hint="eastAsia"/>
          <w:color w:val="333333"/>
          <w:sz w:val="21"/>
          <w:szCs w:val="21"/>
        </w:rPr>
        <w:t>感染性疾病科且狂犬病</w:t>
      </w:r>
      <w:proofErr w:type="gramEnd"/>
      <w:r>
        <w:rPr>
          <w:rFonts w:hint="eastAsia"/>
          <w:color w:val="333333"/>
          <w:sz w:val="21"/>
          <w:szCs w:val="21"/>
        </w:rPr>
        <w:t>诊疗能力较强的综合医院。 </w:t>
      </w:r>
      <w:r>
        <w:rPr>
          <w:rFonts w:hint="eastAsia"/>
          <w:color w:val="333333"/>
          <w:sz w:val="21"/>
          <w:szCs w:val="21"/>
        </w:rPr>
        <w:br/>
        <w:t xml:space="preserve">　　（三）组建专家组。为指导做好接种者跟踪观察和咨询服务工作，国家卫生健康委和省级、地市级卫生计生委组建专家组。专家组成员应当包括相关临床、疾病预防控制以及管理领域等专家，其中地市级专家组成员要覆盖到辖区内县级定点医疗机构。国家级专家组主要负责组织制定接种者跟踪观察和咨询服务技术标准和规范，指导各地跟踪观察和咨询服务工作；省级和地市级专家组主要负责指导辖区内接种者跟踪观察和咨询服务工作，组织开展培训，其中省级专家组还应当协助地市级专家组对情况复杂的接种者进行会诊。 </w:t>
      </w:r>
      <w:r>
        <w:rPr>
          <w:rFonts w:hint="eastAsia"/>
          <w:color w:val="333333"/>
          <w:sz w:val="21"/>
          <w:szCs w:val="21"/>
        </w:rPr>
        <w:br/>
        <w:t xml:space="preserve">　　三、跟踪观察和咨询服务主要内容 </w:t>
      </w:r>
      <w:r>
        <w:rPr>
          <w:rFonts w:hint="eastAsia"/>
          <w:color w:val="333333"/>
          <w:sz w:val="21"/>
          <w:szCs w:val="21"/>
        </w:rPr>
        <w:br/>
        <w:t xml:space="preserve">　　（一）实行分类跟踪观察和咨询。根据世界卫生组织2018年4月发布的狂犬病报告，狂犬病的潜伏期通常为1-3个月，罕有超过1年。因此，对接种者的观察分为以下情形： </w:t>
      </w:r>
      <w:r>
        <w:rPr>
          <w:rFonts w:hint="eastAsia"/>
          <w:color w:val="333333"/>
          <w:sz w:val="21"/>
          <w:szCs w:val="21"/>
        </w:rPr>
        <w:br/>
        <w:t xml:space="preserve">　　1.重点观察：暴露后预防的接种者，接种后不满3个月，要重点观察伤口愈合情况、临床症状和体征以及心理状况等，同时做好随访，可以采用电话或网络等形式提供咨询。 </w:t>
      </w:r>
      <w:r>
        <w:rPr>
          <w:rFonts w:hint="eastAsia"/>
          <w:color w:val="333333"/>
          <w:sz w:val="21"/>
          <w:szCs w:val="21"/>
        </w:rPr>
        <w:br/>
        <w:t xml:space="preserve">　　2.一般观察：暴露前预防的接种者，或者暴露后预防在3个月至1年间的接种者，如有伤口，观察其愈合情况以及相应身体状况。可建议此类接种者进行自我观察，如有较大疑问进行电话、网络咨询，或者到接种单位进行咨询。 </w:t>
      </w:r>
      <w:r>
        <w:rPr>
          <w:rFonts w:hint="eastAsia"/>
          <w:color w:val="333333"/>
          <w:sz w:val="21"/>
          <w:szCs w:val="21"/>
        </w:rPr>
        <w:br/>
      </w:r>
      <w:r>
        <w:rPr>
          <w:rFonts w:hint="eastAsia"/>
          <w:color w:val="333333"/>
          <w:sz w:val="21"/>
          <w:szCs w:val="21"/>
        </w:rPr>
        <w:lastRenderedPageBreak/>
        <w:t xml:space="preserve">　　3.对于接种1年以上的，原则上不需要进行追踪观察。但如有异常情况，可进行电话、网络咨询，或者到接种单位进行咨询。 </w:t>
      </w:r>
      <w:r>
        <w:rPr>
          <w:rFonts w:hint="eastAsia"/>
          <w:color w:val="333333"/>
          <w:sz w:val="21"/>
          <w:szCs w:val="21"/>
        </w:rPr>
        <w:br/>
        <w:t xml:space="preserve">　　接种单位应当</w:t>
      </w:r>
      <w:proofErr w:type="gramStart"/>
      <w:r>
        <w:rPr>
          <w:rFonts w:hint="eastAsia"/>
          <w:color w:val="333333"/>
          <w:sz w:val="21"/>
          <w:szCs w:val="21"/>
        </w:rPr>
        <w:t>逐例做好</w:t>
      </w:r>
      <w:proofErr w:type="gramEnd"/>
      <w:r>
        <w:rPr>
          <w:rFonts w:hint="eastAsia"/>
          <w:color w:val="333333"/>
          <w:sz w:val="21"/>
          <w:szCs w:val="21"/>
        </w:rPr>
        <w:t>跟踪观察和咨询指导服务信息的记录、保存工作。接种单位对跟踪观察的接种者，应当填写《长春长生公司狂犬病疫苗接种者跟踪观察记录单》（见附件）；对电话、网络咨询的接种者，也要作好记录。 </w:t>
      </w:r>
      <w:r>
        <w:rPr>
          <w:rFonts w:hint="eastAsia"/>
          <w:color w:val="333333"/>
          <w:sz w:val="21"/>
          <w:szCs w:val="21"/>
        </w:rPr>
        <w:br/>
        <w:t xml:space="preserve">　　（二）主要咨询服务要点。告知接种者接种狂犬病疫苗的相关知识，狂犬病的主要流行病学特点和潜伏期，需要观察的相关症状和体征，接种后常见的不良反应等。要耐心细致做好咨询答疑工作。 </w:t>
      </w:r>
      <w:r>
        <w:rPr>
          <w:rFonts w:hint="eastAsia"/>
          <w:color w:val="333333"/>
          <w:sz w:val="21"/>
          <w:szCs w:val="21"/>
        </w:rPr>
        <w:br/>
        <w:t xml:space="preserve">　　（三）主要观察要点。 </w:t>
      </w:r>
      <w:r>
        <w:rPr>
          <w:rFonts w:hint="eastAsia"/>
          <w:color w:val="333333"/>
          <w:sz w:val="21"/>
          <w:szCs w:val="21"/>
        </w:rPr>
        <w:br/>
        <w:t xml:space="preserve">　　1.伤口是否愈合、暴露部位或附近是否存在疼痛或感觉异常。 </w:t>
      </w:r>
      <w:r>
        <w:rPr>
          <w:rFonts w:hint="eastAsia"/>
          <w:color w:val="333333"/>
          <w:sz w:val="21"/>
          <w:szCs w:val="21"/>
        </w:rPr>
        <w:br/>
        <w:t xml:space="preserve">　　2.是否出现发热、头痛等症状，以及激动、易怒、恐惧、焦虑、兴奋、失眠等神经精神症状。 </w:t>
      </w:r>
      <w:r>
        <w:rPr>
          <w:rFonts w:hint="eastAsia"/>
          <w:color w:val="333333"/>
          <w:sz w:val="21"/>
          <w:szCs w:val="21"/>
        </w:rPr>
        <w:br/>
        <w:t xml:space="preserve">　　3.是否出现“恐水”、“恐风”、“恐声”、咽喉疼痛、痉挛，交感神经兴奋症状，如流涎、多汗、心率快、血压增高等，继而出现瘫痪、意识障碍、呼吸循环衰竭等。 </w:t>
      </w:r>
      <w:r>
        <w:rPr>
          <w:rFonts w:hint="eastAsia"/>
          <w:color w:val="333333"/>
          <w:sz w:val="21"/>
          <w:szCs w:val="21"/>
        </w:rPr>
        <w:br/>
        <w:t xml:space="preserve">　　出现上述症状或体征者，需密切观察，根据暴露史、伤口处理情况、疫苗接种史及上述症状、体征出现及持续的时间等，综合判断，必要时请地市级专家组会诊。 </w:t>
      </w:r>
      <w:r>
        <w:rPr>
          <w:rFonts w:hint="eastAsia"/>
          <w:color w:val="333333"/>
          <w:sz w:val="21"/>
          <w:szCs w:val="21"/>
        </w:rPr>
        <w:br/>
        <w:t xml:space="preserve">　　（四）进一步临床观察。根据专家组会诊意见，对进一步需要观察、诊断和治疗的接种者，转定点医疗机构。对情况复杂的接种者，需请省级专家组会诊，明确诊断。 </w:t>
      </w:r>
      <w:r>
        <w:rPr>
          <w:rFonts w:hint="eastAsia"/>
          <w:color w:val="333333"/>
          <w:sz w:val="21"/>
          <w:szCs w:val="21"/>
        </w:rPr>
        <w:br/>
        <w:t xml:space="preserve">　　四、有关工作要求 </w:t>
      </w:r>
      <w:r>
        <w:rPr>
          <w:rFonts w:hint="eastAsia"/>
          <w:color w:val="333333"/>
          <w:sz w:val="21"/>
          <w:szCs w:val="21"/>
        </w:rPr>
        <w:br/>
        <w:t xml:space="preserve">　　（一）加强工作指导。地方各级卫生计生行政部门要制订有关预案和工作流程，明确各相关部门职责，对接种者实施全流程服务管理和指导。 </w:t>
      </w:r>
      <w:r>
        <w:rPr>
          <w:rFonts w:hint="eastAsia"/>
          <w:color w:val="333333"/>
          <w:sz w:val="21"/>
          <w:szCs w:val="21"/>
        </w:rPr>
        <w:br/>
        <w:t xml:space="preserve">　　（二）落实责任。接种单位主要负责同志是跟踪观察和咨询服务的第一责任人，要充分调动人力、物力、财力，确保相关工作顺利进行。 </w:t>
      </w:r>
      <w:r>
        <w:rPr>
          <w:rFonts w:hint="eastAsia"/>
          <w:color w:val="333333"/>
          <w:sz w:val="21"/>
          <w:szCs w:val="21"/>
        </w:rPr>
        <w:br/>
        <w:t xml:space="preserve">　　（三）加强人员培训。地方各级卫生计生行政部门要组织开展接种单位和定点医疗机构相关医务人员培训，重点针对常见问题解答、狂犬病相关症状体征及预防控制措施等进行培训，提高跟踪观察和咨询指导准确性、针对性，提升狂犬病识别能力和诊疗水平。 </w:t>
      </w:r>
      <w:r>
        <w:rPr>
          <w:rFonts w:hint="eastAsia"/>
          <w:color w:val="333333"/>
          <w:sz w:val="21"/>
          <w:szCs w:val="21"/>
        </w:rPr>
        <w:br/>
        <w:t xml:space="preserve">　　（四）加强宣传引导。县级以上地方卫生计生行政部门要通过官方网站等公布接种单位及定点医疗机构信息和咨询及诊疗服务流程，方便群众咨询、就诊。同时，要用通俗易懂的语言和群众易于接受的方式进行解疑释惑，宣传科学的狂犬病防治知识和有关症状、体征观察要点。 </w:t>
      </w:r>
      <w:r>
        <w:rPr>
          <w:rFonts w:hint="eastAsia"/>
          <w:color w:val="333333"/>
          <w:sz w:val="21"/>
          <w:szCs w:val="21"/>
        </w:rPr>
        <w:br/>
        <w:t xml:space="preserve">　　（五）做好信息统计及报送工作。各省级卫生计生行政部门要以省级、地市级和县级为单位，分别汇总辖区内接种单位和定点医疗机构信息，包括名称、地址、联系电话等，整理成清单，并于8月8日17时前将电子版发送至我</w:t>
      </w:r>
      <w:proofErr w:type="gramStart"/>
      <w:r>
        <w:rPr>
          <w:rFonts w:hint="eastAsia"/>
          <w:color w:val="333333"/>
          <w:sz w:val="21"/>
          <w:szCs w:val="21"/>
        </w:rPr>
        <w:t>委电子</w:t>
      </w:r>
      <w:proofErr w:type="gramEnd"/>
      <w:r>
        <w:rPr>
          <w:rFonts w:hint="eastAsia"/>
          <w:color w:val="333333"/>
          <w:sz w:val="21"/>
          <w:szCs w:val="21"/>
        </w:rPr>
        <w:t>邮箱（邮箱地址：</w:t>
      </w:r>
      <w:hyperlink r:id="rId5" w:history="1">
        <w:r>
          <w:rPr>
            <w:rStyle w:val="a3"/>
            <w:rFonts w:hint="eastAsia"/>
            <w:sz w:val="21"/>
            <w:szCs w:val="21"/>
            <w:u w:val="none"/>
          </w:rPr>
          <w:t>YZYGJYHC@NHFPC.GOV.CN</w:t>
        </w:r>
      </w:hyperlink>
      <w:r>
        <w:rPr>
          <w:rFonts w:hint="eastAsia"/>
          <w:color w:val="333333"/>
          <w:sz w:val="21"/>
          <w:szCs w:val="21"/>
        </w:rPr>
        <w:t>，联系电话：010-68791976、68792196）。 </w:t>
      </w:r>
      <w:r>
        <w:rPr>
          <w:rFonts w:hint="eastAsia"/>
          <w:color w:val="333333"/>
          <w:sz w:val="21"/>
          <w:szCs w:val="21"/>
        </w:rPr>
        <w:br/>
        <w:t xml:space="preserve">　　各接种单位、定点医疗机构要做好接种者咨询、诊疗等相关信息记录、保存工作，在提供相关服务过程中不得收取费用。各省级卫生计生行政部门要做好本辖区内跟踪观察和咨询服务的监督指导，我委将适时组织开展全国范围的督导检查工作。 </w:t>
      </w:r>
      <w:r>
        <w:rPr>
          <w:rFonts w:hint="eastAsia"/>
          <w:color w:val="333333"/>
          <w:sz w:val="21"/>
          <w:szCs w:val="21"/>
        </w:rPr>
        <w:br/>
      </w:r>
      <w:r>
        <w:rPr>
          <w:rFonts w:hint="eastAsia"/>
          <w:color w:val="333333"/>
          <w:sz w:val="21"/>
          <w:szCs w:val="21"/>
        </w:rPr>
        <w:br/>
      </w:r>
      <w:r>
        <w:rPr>
          <w:rFonts w:hint="eastAsia"/>
          <w:color w:val="333333"/>
          <w:sz w:val="21"/>
          <w:szCs w:val="21"/>
        </w:rPr>
        <w:lastRenderedPageBreak/>
        <w:t xml:space="preserve">　　附件：</w:t>
      </w:r>
      <w:hyperlink r:id="rId6" w:tgtFrame="_blank" w:history="1">
        <w:r>
          <w:rPr>
            <w:rStyle w:val="a3"/>
            <w:rFonts w:hint="eastAsia"/>
            <w:sz w:val="21"/>
            <w:szCs w:val="21"/>
            <w:u w:val="none"/>
          </w:rPr>
          <w:t>长春长生公司狂犬病疫苗接种者跟踪观察记录单.</w:t>
        </w:r>
        <w:proofErr w:type="gramStart"/>
        <w:r>
          <w:rPr>
            <w:rStyle w:val="a3"/>
            <w:rFonts w:hint="eastAsia"/>
            <w:sz w:val="21"/>
            <w:szCs w:val="21"/>
            <w:u w:val="none"/>
          </w:rPr>
          <w:t>doc</w:t>
        </w:r>
        <w:proofErr w:type="gramEnd"/>
      </w:hyperlink>
      <w:r>
        <w:rPr>
          <w:rFonts w:hint="eastAsia"/>
          <w:color w:val="333333"/>
          <w:sz w:val="21"/>
          <w:szCs w:val="21"/>
        </w:rPr>
        <w:t> </w:t>
      </w:r>
      <w:r>
        <w:rPr>
          <w:rFonts w:hint="eastAsia"/>
          <w:color w:val="333333"/>
          <w:sz w:val="21"/>
          <w:szCs w:val="21"/>
        </w:rPr>
        <w:br/>
        <w:t> </w:t>
      </w:r>
    </w:p>
    <w:p w:rsidR="003C488E" w:rsidRDefault="003C488E" w:rsidP="003C488E">
      <w:pPr>
        <w:pStyle w:val="customunionstyle"/>
        <w:shd w:val="clear" w:color="auto" w:fill="FFFFFF"/>
        <w:spacing w:before="0" w:beforeAutospacing="0" w:after="0" w:afterAutospacing="0" w:line="360" w:lineRule="atLeast"/>
        <w:jc w:val="right"/>
        <w:rPr>
          <w:color w:val="333333"/>
          <w:sz w:val="21"/>
          <w:szCs w:val="21"/>
        </w:rPr>
      </w:pPr>
      <w:r>
        <w:rPr>
          <w:rFonts w:hint="eastAsia"/>
          <w:color w:val="333333"/>
          <w:sz w:val="21"/>
          <w:szCs w:val="21"/>
        </w:rPr>
        <w:br/>
        <w:t>2018年8月7日</w:t>
      </w:r>
    </w:p>
    <w:p w:rsidR="003C488E" w:rsidRDefault="003C488E" w:rsidP="003C488E">
      <w:pPr>
        <w:pStyle w:val="customunionstyle"/>
        <w:shd w:val="clear" w:color="auto" w:fill="FFFFFF"/>
        <w:spacing w:before="0" w:beforeAutospacing="0" w:after="0" w:afterAutospacing="0" w:line="360" w:lineRule="atLeast"/>
        <w:jc w:val="both"/>
        <w:rPr>
          <w:color w:val="333333"/>
          <w:sz w:val="21"/>
          <w:szCs w:val="21"/>
        </w:rPr>
      </w:pPr>
      <w:r>
        <w:rPr>
          <w:rFonts w:hint="eastAsia"/>
          <w:color w:val="333333"/>
          <w:sz w:val="21"/>
          <w:szCs w:val="21"/>
        </w:rPr>
        <w:br/>
        <w:t xml:space="preserve">　　（信息公开形式：主动公开）  </w:t>
      </w:r>
    </w:p>
    <w:p w:rsidR="003C488E" w:rsidRDefault="003C488E" w:rsidP="003C488E">
      <w:pPr>
        <w:pStyle w:val="customunionstyle"/>
        <w:shd w:val="clear" w:color="auto" w:fill="FFFFFF"/>
        <w:spacing w:before="0" w:beforeAutospacing="0" w:after="0" w:afterAutospacing="0" w:line="360" w:lineRule="atLeast"/>
        <w:jc w:val="both"/>
        <w:rPr>
          <w:color w:val="333333"/>
          <w:sz w:val="21"/>
          <w:szCs w:val="21"/>
        </w:rPr>
      </w:pPr>
      <w:r>
        <w:rPr>
          <w:rFonts w:hint="eastAsia"/>
          <w:color w:val="333333"/>
          <w:sz w:val="21"/>
          <w:szCs w:val="21"/>
        </w:rPr>
        <w:t> </w:t>
      </w:r>
    </w:p>
    <w:p w:rsidR="003C488E" w:rsidRDefault="003C488E" w:rsidP="003C488E">
      <w:pPr>
        <w:pStyle w:val="a4"/>
        <w:shd w:val="clear" w:color="auto" w:fill="FFFFFF"/>
        <w:spacing w:before="0" w:beforeAutospacing="0" w:after="0" w:afterAutospacing="0" w:line="360" w:lineRule="atLeast"/>
        <w:rPr>
          <w:color w:val="333333"/>
          <w:sz w:val="21"/>
          <w:szCs w:val="21"/>
        </w:rPr>
      </w:pPr>
      <w:r>
        <w:rPr>
          <w:rFonts w:hint="eastAsia"/>
          <w:color w:val="333333"/>
          <w:sz w:val="21"/>
          <w:szCs w:val="21"/>
        </w:rPr>
        <w:t> </w:t>
      </w:r>
    </w:p>
    <w:p w:rsidR="003C488E" w:rsidRDefault="003C488E" w:rsidP="003C488E">
      <w:pPr>
        <w:pStyle w:val="a4"/>
        <w:shd w:val="clear" w:color="auto" w:fill="FFFFFF"/>
        <w:spacing w:before="0" w:beforeAutospacing="0" w:after="0" w:afterAutospacing="0" w:line="360" w:lineRule="atLeast"/>
        <w:jc w:val="right"/>
        <w:rPr>
          <w:color w:val="333333"/>
          <w:sz w:val="21"/>
          <w:szCs w:val="21"/>
        </w:rPr>
      </w:pPr>
      <w:r>
        <w:rPr>
          <w:rFonts w:hint="eastAsia"/>
          <w:color w:val="333333"/>
          <w:sz w:val="21"/>
          <w:szCs w:val="21"/>
        </w:rPr>
        <w:t>来源：国家卫生健康委网站</w:t>
      </w:r>
    </w:p>
    <w:bookmarkEnd w:id="0"/>
    <w:p w:rsidR="003C488E" w:rsidRPr="003C488E" w:rsidRDefault="003C488E"/>
    <w:sectPr w:rsidR="003C488E" w:rsidRPr="003C48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78"/>
    <w:rsid w:val="00110A5E"/>
    <w:rsid w:val="00263E65"/>
    <w:rsid w:val="003C488E"/>
    <w:rsid w:val="003D52B1"/>
    <w:rsid w:val="00476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3C488E"/>
    <w:pPr>
      <w:widowControl/>
      <w:spacing w:before="100" w:beforeAutospacing="1" w:after="100" w:afterAutospacing="1"/>
      <w:jc w:val="left"/>
    </w:pPr>
    <w:rPr>
      <w:rFonts w:ascii="宋体" w:hAnsi="宋体" w:cs="宋体"/>
      <w:kern w:val="0"/>
      <w:sz w:val="24"/>
    </w:rPr>
  </w:style>
  <w:style w:type="character" w:styleId="a3">
    <w:name w:val="Hyperlink"/>
    <w:basedOn w:val="a0"/>
    <w:uiPriority w:val="99"/>
    <w:unhideWhenUsed/>
    <w:rsid w:val="003C488E"/>
    <w:rPr>
      <w:color w:val="0000FF"/>
      <w:u w:val="single"/>
    </w:rPr>
  </w:style>
  <w:style w:type="paragraph" w:styleId="a4">
    <w:name w:val="Normal (Web)"/>
    <w:basedOn w:val="a"/>
    <w:uiPriority w:val="99"/>
    <w:unhideWhenUsed/>
    <w:rsid w:val="003C488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3C488E"/>
    <w:pPr>
      <w:widowControl/>
      <w:spacing w:before="100" w:beforeAutospacing="1" w:after="100" w:afterAutospacing="1"/>
      <w:jc w:val="left"/>
    </w:pPr>
    <w:rPr>
      <w:rFonts w:ascii="宋体" w:hAnsi="宋体" w:cs="宋体"/>
      <w:kern w:val="0"/>
      <w:sz w:val="24"/>
    </w:rPr>
  </w:style>
  <w:style w:type="character" w:styleId="a3">
    <w:name w:val="Hyperlink"/>
    <w:basedOn w:val="a0"/>
    <w:uiPriority w:val="99"/>
    <w:unhideWhenUsed/>
    <w:rsid w:val="003C488E"/>
    <w:rPr>
      <w:color w:val="0000FF"/>
      <w:u w:val="single"/>
    </w:rPr>
  </w:style>
  <w:style w:type="paragraph" w:styleId="a4">
    <w:name w:val="Normal (Web)"/>
    <w:basedOn w:val="a"/>
    <w:uiPriority w:val="99"/>
    <w:unhideWhenUsed/>
    <w:rsid w:val="003C488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3854">
      <w:bodyDiv w:val="1"/>
      <w:marLeft w:val="0"/>
      <w:marRight w:val="0"/>
      <w:marTop w:val="0"/>
      <w:marBottom w:val="0"/>
      <w:divBdr>
        <w:top w:val="none" w:sz="0" w:space="0" w:color="auto"/>
        <w:left w:val="none" w:sz="0" w:space="0" w:color="auto"/>
        <w:bottom w:val="none" w:sz="0" w:space="0" w:color="auto"/>
        <w:right w:val="none" w:sz="0" w:space="0" w:color="auto"/>
      </w:divBdr>
      <w:divsChild>
        <w:div w:id="1579512172">
          <w:marLeft w:val="0"/>
          <w:marRight w:val="0"/>
          <w:marTop w:val="300"/>
          <w:marBottom w:val="0"/>
          <w:divBdr>
            <w:top w:val="none" w:sz="0" w:space="0" w:color="auto"/>
            <w:left w:val="none" w:sz="0" w:space="0" w:color="auto"/>
            <w:bottom w:val="none" w:sz="0" w:space="0" w:color="auto"/>
            <w:right w:val="none" w:sz="0" w:space="0" w:color="auto"/>
          </w:divBdr>
          <w:divsChild>
            <w:div w:id="9621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fpc.gov.cn/ewebeditor/uploadfile/2018/08/20180807175304631.doc" TargetMode="External"/><Relationship Id="rId5" Type="http://schemas.openxmlformats.org/officeDocument/2006/relationships/hyperlink" Target="mailto:YZYGJYHC@NHFPC.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2018-08-08T00:31:00Z</dcterms:created>
  <dcterms:modified xsi:type="dcterms:W3CDTF">2018-08-08T02:35:00Z</dcterms:modified>
</cp:coreProperties>
</file>