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:rsidR="00B61611" w:rsidRDefault="00B61611" w:rsidP="00B61611">
      <w:pPr>
        <w:pStyle w:val="p1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“向阳花开  绘梦未来”2023年三明市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proofErr w:type="gramStart"/>
      <w:r>
        <w:rPr>
          <w:rFonts w:ascii="方正小标宋_GBK" w:eastAsia="方正小标宋_GBK" w:hint="eastAsia"/>
          <w:bCs/>
          <w:color w:val="000000"/>
          <w:sz w:val="44"/>
          <w:szCs w:val="44"/>
        </w:rPr>
        <w:t>国寿小画家</w:t>
      </w:r>
      <w:proofErr w:type="gramEnd"/>
      <w:r>
        <w:rPr>
          <w:rFonts w:ascii="方正小标宋_GBK" w:eastAsia="方正小标宋_GBK" w:hint="eastAsia"/>
          <w:bCs/>
          <w:color w:val="000000"/>
          <w:sz w:val="44"/>
          <w:szCs w:val="44"/>
        </w:rPr>
        <w:t>绘画活动方案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为进一步推动全市儿童少年美术教育事业发展，搭建儿童少年绘画舞合，根据《福建省教育厅办公室关于纵深推进资助育人工作的通知》和《关于组织开展“向阳花开</w:t>
      </w:r>
      <w:r>
        <w:rPr>
          <w:rFonts w:ascii="仿宋_GB2312" w:hint="eastAsia"/>
          <w:color w:val="00000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绘梦未来国寿小画家少儿绘画比赛”的通知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》要求，结合我市实际，三明市教育局、三明市文联、中国人寿保险股份有限公司三明分公司共同开展“向阳花开</w:t>
      </w:r>
      <w:r>
        <w:rPr>
          <w:rFonts w:ascii="仿宋_GB2312" w:hint="eastAsia"/>
          <w:color w:val="00000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绘梦未来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”2023年三明市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国寿小画家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少儿绘画活动，遴选优秀作品参加省级评选。具体方案如下：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　一、活动组织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主办单位：三明市教育局、三明市文联、中国人寿保险股份有限公司三明分公司下辖各营业单位。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承办单位：各县（市、区)教育局、文联，中国人寿三明分公司。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二、责任分工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本次活动由三明市教育局、三明市文联和中国人寿三明分公司共同组织实施。三明市学生资助中心负责做好活动宣传和组织工作，三明市文联负责协助做好作品评选工作，中国人寿三明分公司负责“国寿小画家”活动的策划及执行，组织开展“国寿小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画家”少儿绘画作品评选，组织开展颁奖典礼等；各县（市、区）教育局、文联、中国人寿三明分公司下辖各营业单位根据活动安排，结合本地实际情况确定活动计划、做好本辖区活动宣传及发动工作，并各自指定一名活动联系人，负责活动对接工作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hint="eastAsia"/>
          <w:color w:val="000000"/>
          <w:sz w:val="32"/>
          <w:szCs w:val="32"/>
        </w:rPr>
        <w:t>三、活动时间</w:t>
      </w:r>
    </w:p>
    <w:p w:rsidR="00B61611" w:rsidRDefault="00B61611" w:rsidP="00B61611">
      <w:pPr>
        <w:pStyle w:val="p3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（一）活动时间：2023年5月-10月</w:t>
      </w:r>
    </w:p>
    <w:p w:rsidR="00B61611" w:rsidRDefault="00B61611" w:rsidP="00B61611">
      <w:pPr>
        <w:pStyle w:val="p3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（二）市级评选时间：2023年10月</w:t>
      </w:r>
    </w:p>
    <w:p w:rsidR="00B61611" w:rsidRDefault="00B61611" w:rsidP="00B61611">
      <w:pPr>
        <w:pStyle w:val="p3"/>
        <w:spacing w:before="0" w:beforeAutospacing="0" w:after="0" w:afterAutospacing="0" w:line="560" w:lineRule="exact"/>
        <w:ind w:firstLine="585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（三）组织参加省级以上颁奖典礼活动时间：以省公司具体安排为准。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　四、活动对象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三明市3--16周岁儿童少年。其中幼儿组3-6岁（全市各幼儿园幼儿），少儿组7-11岁（全市各小学1-6年级学生)，青少年组12--16岁（全市各初级中学、普通高中、中等职业学校符合年龄段学生)。年龄界定以报名时的实际年龄为准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五、活动安排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本次活动</w:t>
      </w:r>
      <w:r>
        <w:rPr>
          <w:rFonts w:ascii="仿宋_GB2312" w:eastAsia="仿宋_GB2312" w:hint="eastAsia"/>
          <w:sz w:val="32"/>
          <w:szCs w:val="32"/>
        </w:rPr>
        <w:t>分为</w:t>
      </w:r>
      <w:r>
        <w:rPr>
          <w:rFonts w:ascii="仿宋_GB2312" w:eastAsia="仿宋_GB2312" w:hint="eastAsia"/>
          <w:color w:val="000000"/>
          <w:sz w:val="32"/>
          <w:szCs w:val="32"/>
        </w:rPr>
        <w:t>全国“国寿小画家”线上评选活动、三明市“国寿小画家”线下评选活动以及云课堂三部分组成，三项活动可同时报名。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left="585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（一）全国“国寿小画家”线上评选活动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符合活动条件、自愿报名参加比赛的小作者，可在征得监护人同意后，通过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“国寿小画家”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进行个体或学校、培训机构团体投名参与活动（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微信搜索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“国寿小画家”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微信公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众号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，按照提示完成报名及提交电子画作）。报名人在报名时应填写完整的学校全称。画作上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传成功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后即可参与全国“国寿小画家”评选活动。活动不设报名时段限制，</w:t>
      </w:r>
      <w:r>
        <w:rPr>
          <w:rFonts w:ascii="仿宋_GB2312" w:eastAsia="仿宋_GB2312" w:hAnsi="微软雅黑" w:hint="eastAsia"/>
          <w:sz w:val="32"/>
          <w:szCs w:val="32"/>
        </w:rPr>
        <w:t>作品提交截止日期2023年9月10日。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left="585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（二）三明市“国寿小画家”线下评选活动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参加三明市级评选需提交实物作品，以便进行线下评选。实物作品背面需用标签注明作品信息，格式如下：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2977"/>
      </w:tblGrid>
      <w:tr w:rsidR="00B61611" w:rsidRPr="004B47DA" w:rsidTr="003F1F9D">
        <w:tc>
          <w:tcPr>
            <w:tcW w:w="326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both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4B47D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作者姓名及联系电话：</w:t>
            </w:r>
          </w:p>
        </w:tc>
        <w:tc>
          <w:tcPr>
            <w:tcW w:w="297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c>
          <w:tcPr>
            <w:tcW w:w="326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both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4B47D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分组、年龄：</w:t>
            </w:r>
          </w:p>
        </w:tc>
        <w:tc>
          <w:tcPr>
            <w:tcW w:w="297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c>
          <w:tcPr>
            <w:tcW w:w="326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both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4B47D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作品名称：</w:t>
            </w:r>
          </w:p>
        </w:tc>
        <w:tc>
          <w:tcPr>
            <w:tcW w:w="297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c>
          <w:tcPr>
            <w:tcW w:w="326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both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4B47D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指导教师及联系电话：</w:t>
            </w:r>
          </w:p>
        </w:tc>
        <w:tc>
          <w:tcPr>
            <w:tcW w:w="297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c>
          <w:tcPr>
            <w:tcW w:w="326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both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  <w:r w:rsidRPr="004B47DA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推荐学校：</w:t>
            </w:r>
          </w:p>
        </w:tc>
        <w:tc>
          <w:tcPr>
            <w:tcW w:w="297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rPr>
                <w:rFonts w:ascii="仿宋_GB2312" w:eastAsia="仿宋_GB2312" w:hAnsi="微软雅黑"/>
                <w:color w:val="000000"/>
                <w:sz w:val="32"/>
                <w:szCs w:val="32"/>
              </w:rPr>
            </w:pPr>
          </w:p>
        </w:tc>
      </w:tr>
    </w:tbl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各县（市、区)由学生资助管理中心收集实物作品及作品清单（电子版）提交中国人寿保险股份有限公司三明分公司。市直学校，将实物作品及作品清单(电子版）直接提交三明市学生资助中心。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实物作品上交截止时间：2023年9月15日。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left="585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（三）云课堂</w:t>
      </w:r>
    </w:p>
    <w:p w:rsidR="00B61611" w:rsidRDefault="00B61611" w:rsidP="00B61611">
      <w:pPr>
        <w:pStyle w:val="p2"/>
        <w:spacing w:before="0" w:beforeAutospacing="0" w:after="0" w:afterAutospacing="0" w:line="560" w:lineRule="exact"/>
        <w:ind w:firstLine="58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“国寿小画家”公众号在活动期间将通过线上公益讲座，直播问答互动等方式，拓展小作者的艺术视野，提升小作者的艺术素养。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　　六、作品创作要求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lastRenderedPageBreak/>
        <w:t>（一）创作主题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围绕“文化心印记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”“创新想飞羽”“万象天地间”“绘梦进行时”“学习二十大”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主题进行创作，旨在</w:t>
      </w:r>
      <w:r>
        <w:rPr>
          <w:rFonts w:ascii="仿宋_GB2312" w:eastAsia="仿宋_GB2312" w:hint="eastAsia"/>
          <w:sz w:val="32"/>
          <w:szCs w:val="32"/>
        </w:rPr>
        <w:t>开拓受助学子的眼界，鼓励青少年儿童展示积极健康的心态、描绘对未来的期望，丰富孩子们的精神生活。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（二）作品形式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本次竞赛征集作品包括但不限于：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1.软笔绘画作品，即除水墨面外，水粉、水彩、油画、丙烯画创作的作品;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2.硬笔绘画作品，即各种铅笔、彩色墨水笔、签宇笔、马克笔、油画棒、色粉笔创作的作品;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3.版画作品；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4水墨画作品；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5.综合材料作品，即以各种材料拼贴、或以前四类至少三类作品结合运用创作的作品。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（三）作品要求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1.内容要求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作品应率真自然、积极向上、主题鲜明、形式新颖、充满感情，作品中不能出现政治性或商业性标志符号。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2.原创要求</w:t>
      </w:r>
    </w:p>
    <w:p w:rsidR="00B61611" w:rsidRDefault="00B61611" w:rsidP="00B61611">
      <w:pPr>
        <w:pStyle w:val="p1"/>
        <w:widowControl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所有提交作品均应是由作者原创并未曾发表的作品。参赛作品正面不得出现个人信息（含署名、私章、学校年级班级、指导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教师等信息），否则视为无效作品。作者应承诺其提交的参选作品不会侵犯他人的合法权利，否则将由作者承担全部法律责任。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　七、市级评选奖项设置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　（一）专业奖（90名）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根据实物作品评选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专业奖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90名，奖项设幼儿组（3-6岁）少儿组(7-11岁）和青少年组（12-16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岁）。评出幼儿组一等奖5名、二等奖10名、三等奖15名；少儿组一等奖5名、二等奖10名、三等奖15名；青少年组一等奖5名、二等奖10名、三等奖各15名。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专业奖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由三明市教育局、三明市文联、中国人寿三明分公司共同颁发证书。活动奖品由中国人寿保险股份有限公司三明分公司提供。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（二）优秀指导教师奖（10名)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面向本次活动的指导教师，设优秀指导教师奖，根据教师指导(每幅作品限定指导老师1人)作品获奖情</w:t>
      </w:r>
      <w:r>
        <w:rPr>
          <w:rFonts w:ascii="仿宋_GB2312" w:hint="eastAsia"/>
          <w:color w:val="000000"/>
          <w:sz w:val="32"/>
          <w:szCs w:val="32"/>
        </w:rPr>
        <w:t>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，由三明市教育局、三明市文联和中国人寿保险股份有限公司三明分公司评选出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10名“国寿小画家”少儿绘画优秀指导教师(不含非学科类培训机构)，并颁发证书及奖品。活动奖品由中国人寿保险股份有限公司三明分公司提供。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（三）“明日之星”单项奖（3名）</w:t>
      </w:r>
    </w:p>
    <w:p w:rsidR="00B61611" w:rsidRDefault="00B61611" w:rsidP="00B61611">
      <w:pPr>
        <w:pStyle w:val="p1"/>
        <w:widowControl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由三明市教育局、三明市文联和中国人寿保险股份有限公司三明分公司面向革命苏区、老区、民族地区的农村学生、家庭经济困难学生和留守儿童，根据画作及学画经历评选出“明日之星”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单项奖3名，旨在发掘具有绘画潜力的乡村少年。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Chars="200" w:firstLine="640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（四）优秀组织奖（12个）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根据各县（市、区）教育局以及各中小学学校（幼儿园）活动组织和作品选送质量等情况，由三明市教育局、三明市文联和中国人寿保险股份有限公司三明分公司评选出12个优秀组织单位（不含非学科类培训机构），并颁发奖牌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八、其他事项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参赛作品一律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退稿，请自行备份，保留底稿、电子稿。参与本次活动的作者保留署名权，参赛作品有关肖像权、名誉权、隐私权、著作权、商标权等纠纷而产生的法律责任，由参赛者承担责任。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参赛作品著作权、使用权等其他权利归主办方所有，主办方将遴选部分优秀作品推荐给有关媒体进行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宣传区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及编印出版发行、拍卖等。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未尽事宜请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联系主办</w:t>
      </w:r>
      <w:proofErr w:type="gramEnd"/>
      <w:r>
        <w:rPr>
          <w:rFonts w:ascii="仿宋_GB2312" w:eastAsia="仿宋_GB2312" w:hAnsi="微软雅黑" w:hint="eastAsia"/>
          <w:color w:val="000000"/>
          <w:sz w:val="32"/>
          <w:szCs w:val="32"/>
        </w:rPr>
        <w:t>单位咨询。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三明市学生资助中心　林丽芳，联系电话：8260058;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三明市文联　翁媛婷，联系电话：8227258；</w:t>
      </w:r>
    </w:p>
    <w:p w:rsidR="00B61611" w:rsidRDefault="00B61611" w:rsidP="00B61611">
      <w:pPr>
        <w:pStyle w:val="p1"/>
        <w:spacing w:before="0" w:beforeAutospacing="0" w:after="0" w:afterAutospacing="0" w:line="560" w:lineRule="exact"/>
        <w:ind w:firstLine="58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中国人寿保险股份有限公司三明分公司　刘世昕，联系电话：8966690。</w:t>
      </w:r>
    </w:p>
    <w:p w:rsidR="00B61611" w:rsidRDefault="00B61611" w:rsidP="00B61611">
      <w:pPr>
        <w:pStyle w:val="p1"/>
        <w:spacing w:before="0" w:beforeAutospacing="0" w:after="0" w:afterAutospacing="0"/>
        <w:ind w:firstLine="585"/>
        <w:rPr>
          <w:rFonts w:ascii="仿宋_GB2312" w:eastAsia="仿宋_GB2312" w:hAnsi="微软雅黑"/>
          <w:color w:val="000000"/>
          <w:sz w:val="32"/>
          <w:szCs w:val="32"/>
        </w:rPr>
      </w:pPr>
    </w:p>
    <w:p w:rsidR="00B61611" w:rsidRDefault="00B61611" w:rsidP="00B61611">
      <w:pPr>
        <w:pStyle w:val="p1"/>
        <w:spacing w:before="0" w:beforeAutospacing="0" w:after="0" w:afterAutospacing="0"/>
        <w:rPr>
          <w:rFonts w:ascii="仿宋_GB2312" w:eastAsia="仿宋_GB2312" w:hAnsi="微软雅黑"/>
          <w:color w:val="000000"/>
          <w:sz w:val="28"/>
          <w:szCs w:val="28"/>
        </w:rPr>
        <w:sectPr w:rsidR="00B61611">
          <w:footerReference w:type="default" r:id="rId7"/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312"/>
        </w:sectPr>
      </w:pPr>
    </w:p>
    <w:p w:rsidR="00B61611" w:rsidRDefault="00B61611" w:rsidP="00B61611">
      <w:pPr>
        <w:pStyle w:val="p1"/>
        <w:spacing w:before="0" w:beforeAutospacing="0" w:after="0" w:afterAutospacing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</w:t>
      </w:r>
    </w:p>
    <w:p w:rsidR="00B61611" w:rsidRDefault="00B61611" w:rsidP="00B61611">
      <w:pPr>
        <w:pStyle w:val="p2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国寿小画家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少儿绘画作品清单</w:t>
      </w:r>
    </w:p>
    <w:p w:rsidR="00B61611" w:rsidRDefault="00B61611" w:rsidP="00B61611">
      <w:pPr>
        <w:pStyle w:val="p2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12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1652"/>
        <w:gridCol w:w="1504"/>
        <w:gridCol w:w="644"/>
        <w:gridCol w:w="1457"/>
        <w:gridCol w:w="1743"/>
        <w:gridCol w:w="1000"/>
        <w:gridCol w:w="1200"/>
        <w:gridCol w:w="1200"/>
        <w:gridCol w:w="1601"/>
      </w:tblGrid>
      <w:tr w:rsidR="00B61611" w:rsidRPr="004B47DA" w:rsidTr="003F1F9D">
        <w:trPr>
          <w:trHeight w:val="1302"/>
        </w:trPr>
        <w:tc>
          <w:tcPr>
            <w:tcW w:w="753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序号</w:t>
            </w:r>
          </w:p>
        </w:tc>
        <w:tc>
          <w:tcPr>
            <w:tcW w:w="1652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学校所属县区</w:t>
            </w:r>
          </w:p>
        </w:tc>
        <w:tc>
          <w:tcPr>
            <w:tcW w:w="1504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作者姓名</w:t>
            </w:r>
          </w:p>
        </w:tc>
        <w:tc>
          <w:tcPr>
            <w:tcW w:w="644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rFonts w:hint="eastAsia"/>
                <w:color w:val="000000"/>
              </w:rPr>
              <w:t>年龄</w:t>
            </w:r>
          </w:p>
        </w:tc>
        <w:tc>
          <w:tcPr>
            <w:tcW w:w="1457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组别</w:t>
            </w:r>
            <w:r w:rsidRPr="004B47DA">
              <w:rPr>
                <w:rFonts w:hint="eastAsia"/>
                <w:color w:val="000000"/>
              </w:rPr>
              <w:t>（儿童组/少年组）</w:t>
            </w:r>
          </w:p>
        </w:tc>
        <w:tc>
          <w:tcPr>
            <w:tcW w:w="1743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作品名称</w:t>
            </w:r>
          </w:p>
        </w:tc>
        <w:tc>
          <w:tcPr>
            <w:tcW w:w="100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线上是否报名</w:t>
            </w:r>
          </w:p>
        </w:tc>
        <w:tc>
          <w:tcPr>
            <w:tcW w:w="120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推荐学校</w:t>
            </w:r>
          </w:p>
        </w:tc>
        <w:tc>
          <w:tcPr>
            <w:tcW w:w="1200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指导老师</w:t>
            </w:r>
          </w:p>
        </w:tc>
        <w:tc>
          <w:tcPr>
            <w:tcW w:w="1601" w:type="dxa"/>
            <w:vAlign w:val="center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指导老师</w:t>
            </w:r>
          </w:p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color w:val="000000"/>
              </w:rPr>
              <w:t>电话</w:t>
            </w:r>
          </w:p>
        </w:tc>
      </w:tr>
      <w:tr w:rsidR="00B61611" w:rsidRPr="004B47DA" w:rsidTr="003F1F9D">
        <w:trPr>
          <w:trHeight w:val="662"/>
        </w:trPr>
        <w:tc>
          <w:tcPr>
            <w:tcW w:w="75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rFonts w:hint="eastAsia"/>
                <w:color w:val="000000"/>
              </w:rPr>
              <w:t>１</w:t>
            </w:r>
          </w:p>
        </w:tc>
        <w:tc>
          <w:tcPr>
            <w:tcW w:w="1652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5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rPr>
          <w:trHeight w:val="662"/>
        </w:trPr>
        <w:tc>
          <w:tcPr>
            <w:tcW w:w="75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rFonts w:hint="eastAsia"/>
                <w:color w:val="000000"/>
              </w:rPr>
              <w:t>２</w:t>
            </w:r>
          </w:p>
        </w:tc>
        <w:tc>
          <w:tcPr>
            <w:tcW w:w="1652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5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61611" w:rsidRPr="004B47DA" w:rsidTr="003F1F9D">
        <w:trPr>
          <w:trHeight w:val="682"/>
        </w:trPr>
        <w:tc>
          <w:tcPr>
            <w:tcW w:w="75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B47DA">
              <w:rPr>
                <w:rFonts w:hint="eastAsia"/>
                <w:color w:val="000000"/>
              </w:rPr>
              <w:t>３</w:t>
            </w:r>
          </w:p>
        </w:tc>
        <w:tc>
          <w:tcPr>
            <w:tcW w:w="1652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0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44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57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</w:tcPr>
          <w:p w:rsidR="00B61611" w:rsidRPr="004B47DA" w:rsidRDefault="00B61611" w:rsidP="003F1F9D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B61611" w:rsidRDefault="00B61611" w:rsidP="00B61611">
      <w:pPr>
        <w:pStyle w:val="p2"/>
        <w:spacing w:before="0" w:beforeAutospacing="0" w:after="0" w:afterAutospacing="0"/>
        <w:rPr>
          <w:rFonts w:ascii="仿宋_GB2312" w:eastAsia="仿宋_GB2312"/>
          <w:color w:val="000000"/>
          <w:sz w:val="28"/>
          <w:szCs w:val="28"/>
        </w:rPr>
      </w:pPr>
    </w:p>
    <w:p w:rsidR="008C7009" w:rsidRPr="00B61611" w:rsidRDefault="008C7009" w:rsidP="00B61611"/>
    <w:sectPr w:rsidR="008C7009" w:rsidRPr="00B61611" w:rsidSect="00B6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6C" w:rsidRPr="002863F1" w:rsidRDefault="007E276C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7E276C" w:rsidRPr="002863F1" w:rsidRDefault="007E276C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11" w:rsidRDefault="00B6161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8" type="#_x0000_t202" style="position:absolute;margin-left:104pt;margin-top:0;width:2in;height:2in;z-index:251663360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B61611" w:rsidRDefault="00B61611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B663C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B663C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B663C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B663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76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B663C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6161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6C" w:rsidRPr="002863F1" w:rsidRDefault="007E276C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7E276C" w:rsidRPr="002863F1" w:rsidRDefault="007E276C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2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AFE"/>
    <w:rsid w:val="007D4F04"/>
    <w:rsid w:val="007D6F80"/>
    <w:rsid w:val="007E276C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415</Words>
  <Characters>2372</Characters>
  <Application>Microsoft Office Word</Application>
  <DocSecurity>0</DocSecurity>
  <Lines>19</Lines>
  <Paragraphs>5</Paragraphs>
  <ScaleCrop>false</ScaleCrop>
  <Company>china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180</cp:revision>
  <dcterms:created xsi:type="dcterms:W3CDTF">2021-11-11T02:36:00Z</dcterms:created>
  <dcterms:modified xsi:type="dcterms:W3CDTF">2023-07-03T08:43:00Z</dcterms:modified>
</cp:coreProperties>
</file>