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宋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color w:val="auto"/>
          <w:kern w:val="0"/>
          <w:sz w:val="44"/>
          <w:szCs w:val="44"/>
        </w:rPr>
        <w:t>《三明市中等职业教育布局结构调整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黑体" w:hAnsi="黑体" w:eastAsia="方正小标宋简体" w:cs="黑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color w:val="auto"/>
          <w:kern w:val="0"/>
          <w:sz w:val="44"/>
          <w:szCs w:val="44"/>
        </w:rPr>
        <w:t>实施方案》</w:t>
      </w:r>
      <w:r>
        <w:rPr>
          <w:rFonts w:hint="eastAsia" w:ascii="宋体" w:hAnsi="宋体" w:eastAsia="方正小标宋简体" w:cs="宋体"/>
          <w:color w:val="auto"/>
          <w:kern w:val="0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一、《实施方案》的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近年来，职业教育改革发展不断迎来新的机遇。2021年，全国职业教育大会在北京胜利召开，习近平总书记作出重要指示强调，在全面建设社会主义现代化国家新征程中，职业教育前途广阔、大有可为。要坚持党的领导，坚持正确办学方向，坚持立德树人，优化职业教育类型定位，深化产教融合、校企合作，深入推进育人方式、办学模式、管理体制、保障机制改革，稳步发展职业本科教育，建设一批高水平职业院校和专业，推动职普融通，增强职业教育适应性，加快构建现代职业教育体系，培养更多高素质技术技能人才、能工巧匠、大国工匠。2022年5月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新修订的《职业教育法》正式施行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8月19日，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首届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世界职业技术教育发展大会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在我国的天津市召开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我市顺应新形势，先后出台了《三明市深化产教融合推动职业教育高质量发展实施方案》《三明市促进职业教育发展若干措施》《三明市创新完善职业教育“分类分层”育人机制实施办法》等政策措施。今年5月份，市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召开全市中职学校校长座谈会，提出了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eastAsia="zh-CN"/>
        </w:rPr>
        <w:t>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重点改革任务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根据市委、市政府要求，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我局结合三明实际，牵头起草了《三明市中等职业教育布局结构调整实施方案》（以下简称《实施方案》），旨在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通过职业院校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布局结构调整，进一步明确各校办学定位、发展路</w:t>
      </w:r>
      <w:r>
        <w:rPr>
          <w:rFonts w:hint="eastAsia" w:ascii="仿宋_GB2312" w:hAnsi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，优化专业设置，激发办学活力，提高办学效益。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二、《实施方案》的制定目的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《实施方案》的制定，目的是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围绕三明产业发展需要，整合我市职业教育办学资源，加大职业教育经费投入，破解产教融合发展难点，全面完成全市中等职业学校布局结构调整和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新一轮</w:t>
      </w:r>
      <w:r>
        <w:rPr>
          <w:rFonts w:hint="eastAsia" w:ascii="仿宋_GB2312" w:hAnsi="仿宋_GB2312" w:eastAsia="仿宋_GB2312" w:cs="仿宋_GB2312"/>
          <w:sz w:val="32"/>
          <w:szCs w:val="32"/>
        </w:rPr>
        <w:t>办学条件达标任务，推进职业教育办学体制机制改革，深化产教融合、校企合作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建成与产业发展、老区建设、乡村振兴相匹配的现代职业教育体系。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《实施方案》的主要内容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《实施方案》共分为3个部分。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第一部分，总体目标。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通过整合职业教育办学资源，加大职业教育经费投入，深化产教融合发展等举措，全面完成全市中等职业学校布局结构调整和办学条件达标任务。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第二部分，主要任务。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重点有以下几个方面：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优化专业布局结构。着重推动专业错位建设，将类别相同、内容相近、同质化严重的专业进行整合，建设与三明发展相契合的适用性专业、品牌专业、特色专业。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打造一批高水平专业群。以省级高水平专业群为基础，扩大招生规模，给予高水平专业群财政补助等政策支持。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强化一批技能型专业。将技工院校的专业建设纳入整体布局调整范围，加大技工人才培养力度。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支持举办“五年专”专业。引导办学薄弱校办好特色“五年专”专业，扩大“五年专”专业招生规模。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组建职业院校“横向联盟”。探索优质校与薄弱校开展联合办学模式，实现优质教育教学资源共享和整体办学水平提升。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试点中高职院校联合办学。建立“校校企”产业学院、实行中高职贯通培养和“校校企”联合培养。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实施职业院校“达标工程”。根据各校办学条件现状排查情况，建立“一校一档一策”，分阶段落实办学条件达标工程。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设立市县“职业教育中心”。依托三明医学科技职业院校设立市级“职业教育中心”，依托三明林业学校设立“三元区职业教育中心”，完善全市职教中心机构。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第三部分，保障措施。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包括强化统筹协调、加强经费保障、建设教师队伍，做好宣传引导，建立督导机制等具体举措。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四、《实施方案》的基本特点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《实施方案》以市委市政府《三明市创新完善“十项机制”推进新时代教育综合改革行动方案》及全市中职学校办学现状为主要依据，结合三明实际，明确布局结构调整的主要任务和保障措施。突出三个重点，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突出专业布局调整。坚持“一校一特色”，统筹专业布局，制定《三明市骨干中等职业学校布局结构调整一览表》《三明市小规模中等职业学校布局结构调整一览表》，明确专业调整的目标及任务。二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突出组织机构完善。通过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设立市县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职业教育中心、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shd w:val="clear" w:color="auto" w:fill="FFFFFF"/>
          <w:lang w:val="en-US" w:eastAsia="zh-CN"/>
        </w:rPr>
        <w:t>组建中职学校横向联盟、建立优质校帮扶薄弱校机制，进一步完善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全市职业教育中心机构，激发职业教育办学活力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，提升中职学校整体办学水平。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突出办学条件改善。把布局结构调整和改善学校办学条件有机结合、一体推进，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根据教育部《中等职业学校设置标准》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（教职成〔2010〕12号）刚性指标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shd w:val="clear" w:color="auto" w:fill="FFFFFF"/>
          <w:lang w:eastAsia="zh-CN"/>
        </w:rPr>
        <w:t>，查找差距，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建立“一校一档一策”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，争取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2025年底前，全市所有中等职业学校通过达标验收。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mQyNGFkOTVhMDY1OGVlNjQ4MzIzNGExOWM1Y2MifQ=="/>
  </w:docVars>
  <w:rsids>
    <w:rsidRoot w:val="20F64DE2"/>
    <w:rsid w:val="030E4A15"/>
    <w:rsid w:val="06292F1A"/>
    <w:rsid w:val="0ED3435C"/>
    <w:rsid w:val="0F5157A2"/>
    <w:rsid w:val="17983B2D"/>
    <w:rsid w:val="18F20563"/>
    <w:rsid w:val="191833A9"/>
    <w:rsid w:val="198C0F35"/>
    <w:rsid w:val="19D42833"/>
    <w:rsid w:val="1E4E1768"/>
    <w:rsid w:val="1F9E1D91"/>
    <w:rsid w:val="20F64DE2"/>
    <w:rsid w:val="21845006"/>
    <w:rsid w:val="27C5542E"/>
    <w:rsid w:val="2B066114"/>
    <w:rsid w:val="32B16A13"/>
    <w:rsid w:val="3C4C06EF"/>
    <w:rsid w:val="42536810"/>
    <w:rsid w:val="44FD4156"/>
    <w:rsid w:val="4B603D34"/>
    <w:rsid w:val="5325057D"/>
    <w:rsid w:val="53B81CA6"/>
    <w:rsid w:val="68150768"/>
    <w:rsid w:val="6B833C3B"/>
    <w:rsid w:val="728564EA"/>
    <w:rsid w:val="72CB65F3"/>
    <w:rsid w:val="74E05C9B"/>
    <w:rsid w:val="7645046A"/>
    <w:rsid w:val="7C8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/>
      <w:sz w:val="24"/>
      <w:lang w:eastAsia="zh-CN"/>
    </w:r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  <w:rPr>
      <w:rFonts w:eastAsia="仿宋"/>
      <w:sz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page number"/>
    <w:basedOn w:val="8"/>
    <w:uiPriority w:val="0"/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2022-10-25T08:14:00Z</dcterms:created>
  <dc:creator>Administrator</dc:creator>
  <cp:lastModifiedBy>Administrator</cp:lastModifiedBy>
  <dcterms:modified xsi:type="dcterms:W3CDTF">2022-11-01T03:00:47Z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D4B0E52789FA4997B938C72D23DA3021</vt:lpwstr>
  </property>
</Properties>
</file>