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_GB2312"/>
          <w:sz w:val="32"/>
          <w:szCs w:val="32"/>
        </w:rPr>
      </w:pPr>
      <w:r>
        <w:rPr>
          <w:rFonts w:hint="eastAsia" w:ascii="黑体" w:hAnsi="黑体" w:eastAsia="黑体" w:cs="仿宋_GB2312"/>
          <w:sz w:val="32"/>
          <w:szCs w:val="32"/>
        </w:rPr>
        <w:t>附件</w:t>
      </w:r>
    </w:p>
    <w:p>
      <w:pPr>
        <w:spacing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海西三明生态工贸区管理委员会权责清单</w:t>
      </w:r>
    </w:p>
    <w:p>
      <w:pPr>
        <w:spacing w:line="560" w:lineRule="exact"/>
        <w:rPr>
          <w:rFonts w:ascii="方正小标宋简体" w:hAnsi="仿宋_GB2312" w:eastAsia="方正小标宋简体" w:cs="仿宋_GB2312"/>
          <w:sz w:val="44"/>
          <w:szCs w:val="44"/>
        </w:rPr>
      </w:pPr>
      <w:r>
        <w:rPr>
          <w:rFonts w:hint="eastAsia" w:ascii="黑体" w:hAnsi="黑体" w:eastAsia="黑体" w:cs="仿宋_GB2312"/>
          <w:sz w:val="24"/>
          <w:szCs w:val="24"/>
        </w:rPr>
        <w:t>其他权责事项（共</w:t>
      </w:r>
      <w:r>
        <w:rPr>
          <w:rFonts w:ascii="黑体" w:hAnsi="黑体" w:eastAsia="黑体" w:cs="仿宋_GB2312"/>
          <w:sz w:val="24"/>
          <w:szCs w:val="24"/>
        </w:rPr>
        <w:t>25</w:t>
      </w:r>
      <w:r>
        <w:rPr>
          <w:rFonts w:hint="eastAsia" w:ascii="黑体" w:hAnsi="黑体" w:eastAsia="黑体" w:cs="仿宋_GB2312"/>
          <w:sz w:val="24"/>
          <w:szCs w:val="24"/>
        </w:rPr>
        <w:t>项）</w:t>
      </w:r>
    </w:p>
    <w:tbl>
      <w:tblPr>
        <w:tblStyle w:val="7"/>
        <w:tblW w:w="132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4"/>
        <w:gridCol w:w="3941"/>
        <w:gridCol w:w="866"/>
        <w:gridCol w:w="5070"/>
        <w:gridCol w:w="2485"/>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blHeader/>
        </w:trPr>
        <w:tc>
          <w:tcPr>
            <w:tcW w:w="504" w:type="dxa"/>
            <w:vAlign w:val="center"/>
          </w:tcPr>
          <w:p>
            <w:pPr>
              <w:spacing w:line="300" w:lineRule="exact"/>
              <w:jc w:val="center"/>
              <w:rPr>
                <w:rFonts w:ascii="黑体" w:hAnsi="黑体" w:eastAsia="黑体" w:cs="仿宋_GB2312"/>
                <w:sz w:val="24"/>
                <w:szCs w:val="24"/>
              </w:rPr>
            </w:pPr>
            <w:r>
              <w:rPr>
                <w:rFonts w:hint="eastAsia" w:ascii="黑体" w:hAnsi="黑体" w:eastAsia="黑体" w:cs="仿宋_GB2312"/>
                <w:sz w:val="24"/>
                <w:szCs w:val="24"/>
              </w:rPr>
              <w:t>序号</w:t>
            </w:r>
          </w:p>
        </w:tc>
        <w:tc>
          <w:tcPr>
            <w:tcW w:w="3941" w:type="dxa"/>
            <w:vAlign w:val="center"/>
          </w:tcPr>
          <w:p>
            <w:pPr>
              <w:spacing w:line="300" w:lineRule="exact"/>
              <w:jc w:val="center"/>
              <w:rPr>
                <w:rFonts w:ascii="黑体" w:hAnsi="黑体" w:eastAsia="黑体" w:cs="仿宋_GB2312"/>
                <w:sz w:val="24"/>
                <w:szCs w:val="24"/>
              </w:rPr>
            </w:pPr>
            <w:r>
              <w:rPr>
                <w:rFonts w:hint="eastAsia" w:ascii="黑体" w:hAnsi="黑体" w:eastAsia="黑体" w:cs="仿宋_GB2312"/>
                <w:sz w:val="24"/>
                <w:szCs w:val="24"/>
              </w:rPr>
              <w:t>权责事项</w:t>
            </w:r>
          </w:p>
        </w:tc>
        <w:tc>
          <w:tcPr>
            <w:tcW w:w="866" w:type="dxa"/>
            <w:vAlign w:val="center"/>
          </w:tcPr>
          <w:p>
            <w:pPr>
              <w:spacing w:line="300" w:lineRule="exact"/>
              <w:jc w:val="center"/>
              <w:rPr>
                <w:rFonts w:ascii="黑体" w:hAnsi="黑体" w:eastAsia="黑体" w:cs="仿宋_GB2312"/>
                <w:sz w:val="24"/>
                <w:szCs w:val="24"/>
              </w:rPr>
            </w:pPr>
            <w:r>
              <w:rPr>
                <w:rFonts w:hint="eastAsia" w:ascii="黑体" w:hAnsi="黑体" w:eastAsia="黑体" w:cs="仿宋_GB2312"/>
                <w:sz w:val="24"/>
                <w:szCs w:val="24"/>
              </w:rPr>
              <w:t>子项</w:t>
            </w:r>
          </w:p>
        </w:tc>
        <w:tc>
          <w:tcPr>
            <w:tcW w:w="5070" w:type="dxa"/>
            <w:vAlign w:val="center"/>
          </w:tcPr>
          <w:p>
            <w:pPr>
              <w:spacing w:line="300" w:lineRule="exact"/>
              <w:jc w:val="center"/>
              <w:rPr>
                <w:rFonts w:ascii="黑体" w:hAnsi="黑体" w:eastAsia="黑体" w:cs="仿宋_GB2312"/>
                <w:sz w:val="24"/>
                <w:szCs w:val="24"/>
              </w:rPr>
            </w:pPr>
            <w:r>
              <w:rPr>
                <w:rFonts w:hint="eastAsia" w:ascii="黑体" w:hAnsi="黑体" w:eastAsia="黑体" w:cs="仿宋_GB2312"/>
                <w:sz w:val="24"/>
                <w:szCs w:val="24"/>
              </w:rPr>
              <w:t>设定依据</w:t>
            </w:r>
          </w:p>
        </w:tc>
        <w:tc>
          <w:tcPr>
            <w:tcW w:w="2485" w:type="dxa"/>
            <w:vAlign w:val="center"/>
          </w:tcPr>
          <w:p>
            <w:pPr>
              <w:spacing w:line="300" w:lineRule="exact"/>
              <w:jc w:val="center"/>
              <w:rPr>
                <w:rFonts w:ascii="黑体" w:hAnsi="黑体" w:eastAsia="黑体" w:cs="仿宋_GB2312"/>
                <w:sz w:val="24"/>
                <w:szCs w:val="24"/>
              </w:rPr>
            </w:pPr>
            <w:r>
              <w:rPr>
                <w:rFonts w:hint="eastAsia" w:ascii="黑体" w:hAnsi="黑体" w:eastAsia="黑体" w:cs="仿宋_GB2312"/>
                <w:sz w:val="24"/>
                <w:szCs w:val="24"/>
              </w:rPr>
              <w:t>实施主体和责任主体</w:t>
            </w:r>
          </w:p>
        </w:tc>
        <w:tc>
          <w:tcPr>
            <w:tcW w:w="425" w:type="dxa"/>
            <w:vAlign w:val="center"/>
          </w:tcPr>
          <w:p>
            <w:pPr>
              <w:spacing w:line="300" w:lineRule="exact"/>
              <w:jc w:val="center"/>
              <w:rPr>
                <w:rFonts w:ascii="黑体" w:hAnsi="黑体" w:eastAsia="黑体" w:cs="仿宋_GB2312"/>
                <w:sz w:val="24"/>
                <w:szCs w:val="24"/>
              </w:rPr>
            </w:pPr>
            <w:r>
              <w:rPr>
                <w:rFonts w:hint="eastAsia" w:ascii="黑体" w:hAnsi="黑体" w:eastAsia="黑体" w:cs="仿宋_GB231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1</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负责贯彻落实国家、省、市制定的有关生态城建设的各项方针政策、法律法规，指导、协调、管理生态城的开发建设</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ascii="仿宋_GB2312" w:hAnsi="仿宋_GB2312" w:cs="仿宋_GB2312"/>
                <w:sz w:val="21"/>
                <w:szCs w:val="21"/>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综合办公室</w:t>
            </w:r>
          </w:p>
          <w:p>
            <w:pPr>
              <w:spacing w:line="300" w:lineRule="exact"/>
              <w:jc w:val="center"/>
              <w:rPr>
                <w:rFonts w:ascii="仿宋_GB2312" w:cs="仿宋_GB2312"/>
                <w:sz w:val="21"/>
                <w:szCs w:val="21"/>
              </w:rPr>
            </w:pP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2"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2</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管委会的日常行政事务和后勤保障工作；负责管委会日常工作的综合协调，建立健全各项规章制度；负责综合性文件、材料和工作计划、工作总结起草及日常文秘工作；负责机关效能建设、信访接待、保密工作，做好生态城开发建设的宣传报道；负责会议组织、文电处理、文书档案管理；负责后勤接待与办公用品的采购、管理工作</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ascii="仿宋_GB2312" w:hAnsi="仿宋_GB2312" w:cs="仿宋_GB2312"/>
                <w:sz w:val="21"/>
                <w:szCs w:val="21"/>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综合办公室</w:t>
            </w:r>
          </w:p>
          <w:p>
            <w:pPr>
              <w:spacing w:line="300" w:lineRule="exact"/>
              <w:jc w:val="center"/>
              <w:rPr>
                <w:rFonts w:ascii="仿宋_GB2312" w:cs="仿宋_GB2312"/>
                <w:sz w:val="21"/>
                <w:szCs w:val="21"/>
              </w:rPr>
            </w:pP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3</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负责管委会及直属单位的党群工作；负责生态城党工委管理干部的考核、任免、调配、奖惩事项办理及干部队伍建设；负责管委会和直属单位机构编制、人事管理等工作</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ascii="仿宋_GB2312" w:hAnsi="仿宋_GB2312" w:cs="仿宋_GB2312"/>
                <w:sz w:val="21"/>
                <w:szCs w:val="21"/>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党工委办公室</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4</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负责协调生态城经济发展规划、产业规划的具体落实；</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ascii="仿宋_GB2312" w:hAnsi="仿宋_GB2312" w:cs="仿宋_GB2312"/>
                <w:sz w:val="21"/>
                <w:szCs w:val="21"/>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经济发展局</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5</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负责生态城各类重点项目申报、跟踪管理工作；负责项目立项、审批资金申报等工作；负责分解下达生态城项目年度目标任务，牵头项目建设考评工作</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ascii="仿宋_GB2312" w:hAnsi="仿宋_GB2312" w:cs="仿宋_GB2312"/>
                <w:sz w:val="21"/>
                <w:szCs w:val="21"/>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经济发展局</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6</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负责生态城综合统计和经济运行管理工作。对接省、市相关部门做好创新服务平台建设以及项目的申报</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ascii="仿宋_GB2312" w:hAnsi="仿宋_GB2312" w:cs="仿宋_GB2312"/>
                <w:sz w:val="21"/>
                <w:szCs w:val="21"/>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经济发展局</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7</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负责生态城范围内生态环境保护和安全生产工作，协助地方职能部门开展</w:t>
            </w:r>
            <w:r>
              <w:rPr>
                <w:rFonts w:hint="eastAsia" w:ascii="仿宋_GB2312" w:hAnsi="仿宋_GB2312" w:cs="仿宋_GB2312"/>
                <w:sz w:val="21"/>
                <w:szCs w:val="21"/>
                <w:lang w:eastAsia="zh-CN"/>
              </w:rPr>
              <w:t>安全生产检查</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ascii="仿宋_GB2312" w:hAnsi="仿宋_GB2312" w:cs="仿宋_GB2312"/>
                <w:sz w:val="21"/>
                <w:szCs w:val="21"/>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经济发展局</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8</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负责协调相关部门做好重点产业项目和入园企业服务工作，协助办理项目审批和环保、工商执照、消防、劳动、卫生防疫等办证办照工作，建立企业信息平台</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ascii="仿宋_GB2312" w:hAnsi="仿宋_GB2312" w:cs="仿宋_GB2312"/>
                <w:sz w:val="21"/>
                <w:szCs w:val="21"/>
              </w:rPr>
              <w:t>28</w:t>
            </w:r>
            <w:r>
              <w:rPr>
                <w:rFonts w:hint="eastAsia" w:ascii="仿宋_GB2312" w:hAnsi="仿宋_GB2312" w:cs="仿宋_GB2312"/>
                <w:sz w:val="21"/>
                <w:szCs w:val="21"/>
              </w:rPr>
              <w:t>号）</w:t>
            </w:r>
          </w:p>
        </w:tc>
        <w:tc>
          <w:tcPr>
            <w:tcW w:w="2485" w:type="dxa"/>
            <w:vAlign w:val="center"/>
          </w:tcPr>
          <w:p>
            <w:pPr>
              <w:spacing w:line="300" w:lineRule="exact"/>
              <w:jc w:val="center"/>
              <w:rPr>
                <w:rFonts w:hint="eastAsia" w:ascii="仿宋_GB2312" w:hAnsi="仿宋_GB2312" w:cs="仿宋_GB2312"/>
                <w:sz w:val="21"/>
                <w:szCs w:val="21"/>
              </w:rPr>
            </w:pPr>
            <w:r>
              <w:rPr>
                <w:rFonts w:hint="eastAsia" w:ascii="仿宋_GB2312" w:hAnsi="仿宋_GB2312" w:cs="仿宋_GB2312"/>
                <w:sz w:val="21"/>
                <w:szCs w:val="21"/>
              </w:rPr>
              <w:t>经济发展局</w:t>
            </w:r>
          </w:p>
          <w:p>
            <w:pPr>
              <w:spacing w:line="300" w:lineRule="exact"/>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招商服务中心</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9</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负责生态城企业投产后的服务，指导企业科技创新和投融资服务体系的建设，人力资源开发、培训及人才、智力引进等工作</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ascii="仿宋_GB2312" w:hAnsi="仿宋_GB2312" w:cs="仿宋_GB2312"/>
                <w:sz w:val="21"/>
                <w:szCs w:val="21"/>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经济发展局</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10</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负责生态城总体规划、控制性详细规划和专项规划编制的具体工作，负责修建性详细规划的审查；参与入园项目准入的评审工作</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ascii="仿宋_GB2312" w:hAnsi="仿宋_GB2312" w:cs="仿宋_GB2312"/>
                <w:sz w:val="21"/>
                <w:szCs w:val="21"/>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规划建设局</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0"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11</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生态城相关项目的选址意见书、规划意见函、用地规划许可证和建设工程规划许可证、设计条件通知书、规划设计方案审查和规划验收等具体工作；负责组织实施生态城自建项目的建设工作，做好工程勘察、设计、招投标、项目管理和验收的监督管理工作；负责拟定生态城规划建设方面的协议、合同、报告、请示等材料，做好建设工程档案管理工作</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ascii="仿宋_GB2312" w:hAnsi="仿宋_GB2312" w:cs="仿宋_GB2312"/>
                <w:sz w:val="21"/>
                <w:szCs w:val="21"/>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规划建设局</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12</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负责园区道路交通管理的具体工作，协助地方职能部门加强对园区基础设施建设工程质量安全监督检查</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ascii="仿宋_GB2312" w:hAnsi="仿宋_GB2312" w:cs="仿宋_GB2312"/>
                <w:sz w:val="21"/>
                <w:szCs w:val="21"/>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规划建设局</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13</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负责生态城基础设施建设工程安全生产监督管理工作，协助地方职能部门开展工程建设领域执法检查、事故调查及处理工作</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ascii="仿宋_GB2312" w:hAnsi="仿宋_GB2312" w:cs="仿宋_GB2312"/>
                <w:sz w:val="21"/>
                <w:szCs w:val="21"/>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规划建设局</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14</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负责指导督促生态城土地收储中心草拟土地收储及出让计划、征地拆迁方案和补偿标准</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ascii="仿宋_GB2312" w:hAnsi="仿宋_GB2312" w:cs="仿宋_GB2312"/>
                <w:sz w:val="21"/>
                <w:szCs w:val="21"/>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规划建设局</w:t>
            </w:r>
          </w:p>
          <w:p>
            <w:pPr>
              <w:spacing w:line="300" w:lineRule="exact"/>
              <w:jc w:val="center"/>
              <w:rPr>
                <w:rFonts w:ascii="仿宋_GB2312" w:cs="仿宋_GB2312"/>
                <w:sz w:val="21"/>
                <w:szCs w:val="21"/>
              </w:rPr>
            </w:pPr>
            <w:r>
              <w:rPr>
                <w:rFonts w:hint="eastAsia" w:ascii="仿宋_GB2312" w:hAnsi="仿宋_GB2312" w:cs="仿宋_GB2312"/>
                <w:sz w:val="21"/>
                <w:szCs w:val="21"/>
              </w:rPr>
              <w:t>土地收购储备中心</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15</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生态城规划范围内的土地收购、储备、报批等事务性工作；协助组织编制并实施生态城年度土地利用和出让计划；协助做好“招拍挂”及有关供地工作；负责收储资金的使用管理；负责征迁成本核算，补偿标准审核等工作</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hint="eastAsia" w:ascii="仿宋_GB2312" w:eastAsia="仿宋_GB2312" w:cs="仿宋_GB2312"/>
                <w:sz w:val="21"/>
                <w:szCs w:val="21"/>
                <w:lang w:eastAsia="zh-CN"/>
              </w:rPr>
            </w:pPr>
            <w:r>
              <w:rPr>
                <w:rFonts w:hint="eastAsia" w:ascii="仿宋_GB2312" w:hAnsi="仿宋_GB2312" w:cs="仿宋_GB2312"/>
                <w:sz w:val="21"/>
                <w:szCs w:val="21"/>
              </w:rPr>
              <w:t>《海西三明生态工贸区生态新城建设发展管理体制和运行机制实施方案》</w:t>
            </w:r>
            <w:r>
              <w:rPr>
                <w:rFonts w:hint="eastAsia" w:ascii="仿宋_GB2312" w:hAnsi="仿宋_GB2312" w:cs="仿宋_GB2312"/>
                <w:sz w:val="21"/>
                <w:szCs w:val="21"/>
                <w:lang w:eastAsia="zh-CN"/>
              </w:rPr>
              <w:t>（</w:t>
            </w:r>
            <w:r>
              <w:rPr>
                <w:rFonts w:hint="eastAsia" w:ascii="仿宋_GB2312" w:hAnsi="仿宋_GB2312" w:cs="仿宋_GB2312"/>
                <w:sz w:val="21"/>
                <w:szCs w:val="21"/>
              </w:rPr>
              <w:t>明委办发〔2013〕12号</w:t>
            </w:r>
            <w:r>
              <w:rPr>
                <w:rFonts w:hint="eastAsia" w:ascii="仿宋_GB2312" w:hAnsi="仿宋_GB2312" w:cs="仿宋_GB2312"/>
                <w:sz w:val="21"/>
                <w:szCs w:val="21"/>
                <w:lang w:eastAsia="zh-CN"/>
              </w:rPr>
              <w:t>）</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规划建设局</w:t>
            </w:r>
          </w:p>
          <w:p>
            <w:pPr>
              <w:spacing w:line="300" w:lineRule="exact"/>
              <w:jc w:val="center"/>
              <w:rPr>
                <w:rFonts w:ascii="仿宋_GB2312" w:cs="仿宋_GB2312"/>
                <w:sz w:val="21"/>
                <w:szCs w:val="21"/>
              </w:rPr>
            </w:pPr>
            <w:r>
              <w:rPr>
                <w:rFonts w:hint="eastAsia" w:ascii="仿宋_GB2312" w:hAnsi="仿宋_GB2312" w:cs="仿宋_GB2312"/>
                <w:sz w:val="21"/>
                <w:szCs w:val="21"/>
              </w:rPr>
              <w:t>土地收购储备中心</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16</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负责生态城征迁区域内的土地、地面物及房屋调查摸底、编制有关名册及数据、测算征迁补偿费用；负责草拟征迁补偿有关协议，审核征迁补偿款支付</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hint="eastAsia" w:ascii="仿宋_GB2312" w:hAnsi="仿宋_GB2312" w:cs="仿宋_GB2312"/>
                <w:sz w:val="21"/>
                <w:szCs w:val="21"/>
                <w:lang w:val="en-US" w:eastAsia="zh-CN"/>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规划建设局</w:t>
            </w:r>
          </w:p>
          <w:p>
            <w:pPr>
              <w:spacing w:line="300" w:lineRule="exact"/>
              <w:jc w:val="center"/>
              <w:rPr>
                <w:rFonts w:ascii="仿宋_GB2312" w:cs="仿宋_GB2312"/>
                <w:sz w:val="21"/>
                <w:szCs w:val="21"/>
              </w:rPr>
            </w:pPr>
            <w:r>
              <w:rPr>
                <w:rFonts w:hint="eastAsia" w:ascii="仿宋_GB2312" w:hAnsi="仿宋_GB2312" w:cs="仿宋_GB2312"/>
                <w:sz w:val="21"/>
                <w:szCs w:val="21"/>
              </w:rPr>
              <w:t>土地收购储备中心</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17</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负责办理建设项目的林地征占、土地农转用的报批手续；配合地方政府做好征迁和项目用地的交地工作；负责征迁有关文件、合同、数据资料的收集，做好文件资料汇总、造册和归档</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hint="eastAsia" w:ascii="仿宋_GB2312" w:hAnsi="仿宋_GB2312" w:cs="仿宋_GB2312"/>
                <w:sz w:val="21"/>
                <w:szCs w:val="21"/>
                <w:lang w:val="en-US" w:eastAsia="zh-CN"/>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规划建设局</w:t>
            </w:r>
          </w:p>
          <w:p>
            <w:pPr>
              <w:spacing w:line="300" w:lineRule="exact"/>
              <w:jc w:val="center"/>
              <w:rPr>
                <w:rFonts w:ascii="仿宋_GB2312" w:cs="仿宋_GB2312"/>
                <w:sz w:val="21"/>
                <w:szCs w:val="21"/>
              </w:rPr>
            </w:pPr>
            <w:r>
              <w:rPr>
                <w:rFonts w:hint="eastAsia" w:ascii="仿宋_GB2312" w:hAnsi="仿宋_GB2312" w:cs="仿宋_GB2312"/>
                <w:sz w:val="21"/>
                <w:szCs w:val="21"/>
              </w:rPr>
              <w:t>土地收购储备中心</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18</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协助地方政府负责生态城内失地农民的社会保障工作，负责协助地方政府做好征迁信访和矛盾纠纷调处等工作</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hint="eastAsia" w:ascii="仿宋_GB2312" w:hAnsi="仿宋_GB2312" w:cs="仿宋_GB2312"/>
                <w:sz w:val="21"/>
                <w:szCs w:val="21"/>
                <w:lang w:val="en-US" w:eastAsia="zh-CN"/>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规划建设局</w:t>
            </w:r>
          </w:p>
          <w:p>
            <w:pPr>
              <w:spacing w:line="300" w:lineRule="exact"/>
              <w:jc w:val="center"/>
              <w:rPr>
                <w:rFonts w:ascii="仿宋_GB2312" w:cs="仿宋_GB2312"/>
                <w:sz w:val="21"/>
                <w:szCs w:val="21"/>
              </w:rPr>
            </w:pPr>
            <w:r>
              <w:rPr>
                <w:rFonts w:hint="eastAsia" w:ascii="仿宋_GB2312" w:hAnsi="仿宋_GB2312" w:cs="仿宋_GB2312"/>
                <w:sz w:val="21"/>
                <w:szCs w:val="21"/>
              </w:rPr>
              <w:t>土地收购储备中心</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19</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生态城资金筹措，抓好资金管理和调度，推进投资、融资服务体系建设，做好园区债务统计。负责组织推进投融资平台建设和开发建设资金筹措，抓好资金管理和调度。负责组织开展内部审计工作。负责运用有关政策，做好生态城开发建设过程中的资本运作，确保国有资产的保值增值。负责财税分成、土地出让金返还等结算工作</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hint="eastAsia" w:ascii="仿宋_GB2312" w:hAnsi="仿宋_GB2312" w:cs="仿宋_GB2312"/>
                <w:sz w:val="21"/>
                <w:szCs w:val="21"/>
                <w:lang w:val="en-US" w:eastAsia="zh-CN"/>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财政局</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20</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负责做好财务分析，依法管理园区会计工作，分析预测经济形势，为领导经营决策提供服务。负责按时统计企业税收等财务指标，做好财务各项统计数据的月报、半年报和年报工作。负责与市及</w:t>
            </w:r>
            <w:r>
              <w:rPr>
                <w:rFonts w:hint="eastAsia" w:ascii="仿宋_GB2312" w:hAnsi="仿宋_GB2312" w:cs="仿宋_GB2312"/>
                <w:sz w:val="21"/>
                <w:szCs w:val="21"/>
                <w:lang w:eastAsia="zh-CN"/>
              </w:rPr>
              <w:t>沙县</w:t>
            </w:r>
            <w:r>
              <w:rPr>
                <w:rFonts w:hint="eastAsia" w:ascii="仿宋_GB2312" w:hAnsi="仿宋_GB2312" w:cs="仿宋_GB2312"/>
                <w:sz w:val="21"/>
                <w:szCs w:val="21"/>
              </w:rPr>
              <w:t>财政、税务等部门衔接，协调财税分成，办理生态城区域内所产生的税、金、费返还所需资料收集、整理、报批结算手续</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hint="eastAsia" w:ascii="仿宋_GB2312" w:hAnsi="仿宋_GB2312" w:cs="仿宋_GB2312"/>
                <w:sz w:val="21"/>
                <w:szCs w:val="21"/>
                <w:lang w:val="en-US" w:eastAsia="zh-CN"/>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财政局</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21</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生态城财政收支管理，预算、决算编制工作。负责财务支出的监督审核、债务管理和财政监督工作。负责及时核算、兑现各项优惠政策。参与生态城政府采购、国有资产管理。负责收集公司经营活动情况、资金动态和费用开支等资料，分析拟定盘活的可行性方案、并实施管理</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hint="eastAsia" w:ascii="仿宋_GB2312" w:hAnsi="仿宋_GB2312" w:cs="仿宋_GB2312"/>
                <w:sz w:val="21"/>
                <w:szCs w:val="21"/>
                <w:lang w:val="en-US" w:eastAsia="zh-CN"/>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财政局</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22</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负责拟定对外招商引资工作的具体政策和配套措施；负责策划、组织、实施生态城对外招商引资活动的具体工作；负责做好招商引资信息、项目的收集、筛选、研究和发布工作</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hint="eastAsia" w:ascii="仿宋_GB2312" w:hAnsi="仿宋_GB2312" w:cs="仿宋_GB2312"/>
                <w:sz w:val="21"/>
                <w:szCs w:val="21"/>
                <w:lang w:val="en-US" w:eastAsia="zh-CN"/>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投资促进局</w:t>
            </w:r>
          </w:p>
          <w:p>
            <w:pPr>
              <w:spacing w:line="300" w:lineRule="exact"/>
              <w:jc w:val="center"/>
              <w:rPr>
                <w:rFonts w:ascii="仿宋_GB2312" w:cs="仿宋_GB2312"/>
                <w:sz w:val="21"/>
                <w:szCs w:val="21"/>
              </w:rPr>
            </w:pPr>
            <w:r>
              <w:rPr>
                <w:rFonts w:hint="eastAsia" w:ascii="仿宋_GB2312" w:hAnsi="仿宋_GB2312" w:cs="仿宋_GB2312"/>
                <w:sz w:val="21"/>
                <w:szCs w:val="21"/>
              </w:rPr>
              <w:t>招商服务中心</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23</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负责做好项目洽谈、签订等跟踪服务和落地具体工作</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hint="eastAsia" w:ascii="仿宋_GB2312" w:hAnsi="仿宋_GB2312" w:cs="仿宋_GB2312"/>
                <w:sz w:val="21"/>
                <w:szCs w:val="21"/>
                <w:lang w:val="en-US" w:eastAsia="zh-CN"/>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投资促进局</w:t>
            </w:r>
          </w:p>
          <w:p>
            <w:pPr>
              <w:spacing w:line="300" w:lineRule="exact"/>
              <w:jc w:val="center"/>
              <w:rPr>
                <w:rFonts w:ascii="仿宋_GB2312" w:cs="仿宋_GB2312"/>
                <w:sz w:val="21"/>
                <w:szCs w:val="21"/>
              </w:rPr>
            </w:pPr>
            <w:r>
              <w:rPr>
                <w:rFonts w:hint="eastAsia" w:ascii="仿宋_GB2312" w:hAnsi="仿宋_GB2312" w:cs="仿宋_GB2312"/>
                <w:sz w:val="21"/>
                <w:szCs w:val="21"/>
              </w:rPr>
              <w:t>招商服务中心</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24</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负责生态城招商引资及项目建设过程的协调服务；负责招商信息平台建设、项目编制、市场调研、招商信息处理、招商引资的对接服务，客商的咨询、接待、洽谈和跟踪服务；协助办理项目报批手续等</w:t>
            </w:r>
          </w:p>
        </w:tc>
        <w:tc>
          <w:tcPr>
            <w:tcW w:w="866" w:type="dxa"/>
            <w:vAlign w:val="center"/>
          </w:tcPr>
          <w:p>
            <w:pPr>
              <w:spacing w:line="300" w:lineRule="exact"/>
              <w:jc w:val="center"/>
              <w:rPr>
                <w:rFonts w:ascii="仿宋_GB2312" w:cs="仿宋_GB2312"/>
                <w:sz w:val="21"/>
                <w:szCs w:val="21"/>
              </w:rPr>
            </w:pP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hint="eastAsia" w:ascii="仿宋_GB2312" w:hAnsi="仿宋_GB2312" w:cs="仿宋_GB2312"/>
                <w:sz w:val="21"/>
                <w:szCs w:val="21"/>
                <w:lang w:val="en-US" w:eastAsia="zh-CN"/>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投资促进局</w:t>
            </w:r>
          </w:p>
          <w:p>
            <w:pPr>
              <w:spacing w:line="300" w:lineRule="exact"/>
              <w:jc w:val="center"/>
              <w:rPr>
                <w:rFonts w:ascii="仿宋_GB2312" w:cs="仿宋_GB2312"/>
                <w:sz w:val="21"/>
                <w:szCs w:val="21"/>
              </w:rPr>
            </w:pPr>
            <w:r>
              <w:rPr>
                <w:rFonts w:hint="eastAsia" w:ascii="仿宋_GB2312" w:hAnsi="仿宋_GB2312" w:cs="仿宋_GB2312"/>
                <w:sz w:val="21"/>
                <w:szCs w:val="21"/>
              </w:rPr>
              <w:t>招商服务中心</w:t>
            </w:r>
          </w:p>
        </w:tc>
        <w:tc>
          <w:tcPr>
            <w:tcW w:w="425" w:type="dxa"/>
            <w:vAlign w:val="center"/>
          </w:tcPr>
          <w:p>
            <w:pPr>
              <w:spacing w:line="300" w:lineRule="exact"/>
              <w:jc w:val="center"/>
              <w:rPr>
                <w:rFonts w:ascii="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504" w:type="dxa"/>
            <w:vAlign w:val="center"/>
          </w:tcPr>
          <w:p>
            <w:pPr>
              <w:spacing w:line="300" w:lineRule="exact"/>
              <w:jc w:val="center"/>
              <w:rPr>
                <w:rFonts w:ascii="仿宋_GB2312" w:cs="仿宋_GB2312"/>
                <w:sz w:val="21"/>
                <w:szCs w:val="21"/>
              </w:rPr>
            </w:pPr>
            <w:r>
              <w:rPr>
                <w:rFonts w:ascii="仿宋_GB2312" w:hAnsi="仿宋_GB2312" w:cs="仿宋_GB2312"/>
                <w:sz w:val="21"/>
                <w:szCs w:val="21"/>
              </w:rPr>
              <w:t>25</w:t>
            </w:r>
          </w:p>
        </w:tc>
        <w:tc>
          <w:tcPr>
            <w:tcW w:w="3941" w:type="dxa"/>
            <w:vAlign w:val="center"/>
          </w:tcPr>
          <w:p>
            <w:pPr>
              <w:spacing w:line="300" w:lineRule="exact"/>
              <w:jc w:val="both"/>
              <w:rPr>
                <w:rFonts w:ascii="仿宋_GB2312" w:cs="仿宋_GB2312"/>
                <w:sz w:val="21"/>
                <w:szCs w:val="21"/>
              </w:rPr>
            </w:pPr>
            <w:r>
              <w:rPr>
                <w:rFonts w:hint="eastAsia" w:ascii="仿宋_GB2312" w:hAnsi="仿宋_GB2312" w:cs="仿宋_GB2312"/>
                <w:sz w:val="21"/>
                <w:szCs w:val="21"/>
              </w:rPr>
              <w:t>负责市委、市政府交办的其他事项</w:t>
            </w:r>
          </w:p>
        </w:tc>
        <w:tc>
          <w:tcPr>
            <w:tcW w:w="866"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无</w:t>
            </w:r>
          </w:p>
        </w:tc>
        <w:tc>
          <w:tcPr>
            <w:tcW w:w="5070"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《中共三明市委机构编制委员会关于印发海西三明生态工贸区管理委员会职能配置、内设机构和人员编制规定的通知》（明委编〔</w:t>
            </w:r>
            <w:r>
              <w:rPr>
                <w:rFonts w:ascii="仿宋_GB2312" w:hAnsi="仿宋_GB2312" w:cs="仿宋_GB2312"/>
                <w:sz w:val="21"/>
                <w:szCs w:val="21"/>
              </w:rPr>
              <w:t>2020</w:t>
            </w:r>
            <w:r>
              <w:rPr>
                <w:rFonts w:hint="eastAsia" w:ascii="仿宋_GB2312" w:hAnsi="仿宋_GB2312" w:cs="仿宋_GB2312"/>
                <w:sz w:val="21"/>
                <w:szCs w:val="21"/>
              </w:rPr>
              <w:t>〕</w:t>
            </w:r>
            <w:r>
              <w:rPr>
                <w:rFonts w:hint="eastAsia" w:ascii="仿宋_GB2312" w:hAnsi="仿宋_GB2312" w:cs="仿宋_GB2312"/>
                <w:sz w:val="21"/>
                <w:szCs w:val="21"/>
                <w:lang w:val="en-US" w:eastAsia="zh-CN"/>
              </w:rPr>
              <w:t>28</w:t>
            </w:r>
            <w:r>
              <w:rPr>
                <w:rFonts w:hint="eastAsia" w:ascii="仿宋_GB2312" w:hAnsi="仿宋_GB2312" w:cs="仿宋_GB2312"/>
                <w:sz w:val="21"/>
                <w:szCs w:val="21"/>
              </w:rPr>
              <w:t>号）</w:t>
            </w:r>
          </w:p>
        </w:tc>
        <w:tc>
          <w:tcPr>
            <w:tcW w:w="2485" w:type="dxa"/>
            <w:vAlign w:val="center"/>
          </w:tcPr>
          <w:p>
            <w:pPr>
              <w:spacing w:line="300" w:lineRule="exact"/>
              <w:jc w:val="center"/>
              <w:rPr>
                <w:rFonts w:ascii="仿宋_GB2312" w:cs="仿宋_GB2312"/>
                <w:sz w:val="21"/>
                <w:szCs w:val="21"/>
              </w:rPr>
            </w:pPr>
            <w:r>
              <w:rPr>
                <w:rFonts w:hint="eastAsia" w:ascii="仿宋_GB2312" w:hAnsi="仿宋_GB2312" w:cs="仿宋_GB2312"/>
                <w:sz w:val="21"/>
                <w:szCs w:val="21"/>
              </w:rPr>
              <w:t>综合办公室</w:t>
            </w:r>
          </w:p>
          <w:p>
            <w:pPr>
              <w:spacing w:line="300" w:lineRule="exact"/>
              <w:jc w:val="center"/>
              <w:rPr>
                <w:rFonts w:ascii="仿宋_GB2312" w:cs="仿宋_GB2312"/>
                <w:sz w:val="21"/>
                <w:szCs w:val="21"/>
              </w:rPr>
            </w:pPr>
            <w:r>
              <w:rPr>
                <w:rFonts w:hint="eastAsia" w:ascii="仿宋_GB2312" w:hAnsi="仿宋_GB2312" w:cs="仿宋_GB2312"/>
                <w:sz w:val="21"/>
                <w:szCs w:val="21"/>
              </w:rPr>
              <w:t>（党工委办公室）</w:t>
            </w:r>
          </w:p>
        </w:tc>
        <w:tc>
          <w:tcPr>
            <w:tcW w:w="425" w:type="dxa"/>
            <w:vAlign w:val="center"/>
          </w:tcPr>
          <w:p>
            <w:pPr>
              <w:spacing w:line="300" w:lineRule="exact"/>
              <w:jc w:val="center"/>
              <w:rPr>
                <w:rFonts w:ascii="仿宋_GB2312" w:cs="仿宋_GB2312"/>
                <w:sz w:val="21"/>
                <w:szCs w:val="21"/>
              </w:rPr>
            </w:pPr>
          </w:p>
        </w:tc>
      </w:tr>
    </w:tbl>
    <w:p>
      <w:pPr>
        <w:spacing w:line="560" w:lineRule="exact"/>
        <w:rPr>
          <w:rFonts w:ascii="仿宋_GB2312" w:cs="仿宋_GB2312"/>
          <w:sz w:val="32"/>
          <w:szCs w:val="32"/>
        </w:rPr>
        <w:sectPr>
          <w:footerReference r:id="rId3" w:type="default"/>
          <w:pgSz w:w="16838" w:h="11906" w:orient="landscape"/>
          <w:pgMar w:top="1531" w:right="1985" w:bottom="1531" w:left="1871" w:header="851" w:footer="1588" w:gutter="0"/>
          <w:cols w:space="720" w:num="1"/>
          <w:docGrid w:type="lines" w:linePitch="590" w:charSpace="1199"/>
        </w:sectPr>
      </w:pPr>
    </w:p>
    <w:p>
      <w:pPr>
        <w:spacing w:line="560" w:lineRule="exact"/>
        <w:rPr>
          <w:rFonts w:ascii="仿宋_GB2312" w:cs="仿宋_GB2312"/>
          <w:sz w:val="32"/>
          <w:szCs w:val="32"/>
        </w:rPr>
      </w:pPr>
      <w:bookmarkStart w:id="0" w:name="_GoBack"/>
      <w:bookmarkEnd w:id="0"/>
    </w:p>
    <w:sectPr>
      <w:pgSz w:w="11906" w:h="16838"/>
      <w:pgMar w:top="1985" w:right="1531" w:bottom="1871" w:left="1531" w:header="851" w:footer="1588" w:gutter="0"/>
      <w:cols w:space="720" w:num="1"/>
      <w:docGrid w:type="linesAndChars" w:linePitch="590" w:charSpace="11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adjustRightInd w:val="0"/>
      <w:snapToGrid/>
      <w:ind w:left="310" w:leftChars="100" w:right="310" w:rightChars="100"/>
      <w:rPr>
        <w:rStyle w:val="11"/>
        <w:rFonts w:eastAsia="宋体" w:cs="宋体"/>
        <w:sz w:val="28"/>
        <w:szCs w:val="28"/>
      </w:rPr>
    </w:pPr>
    <w:r>
      <w:rPr>
        <w:rStyle w:val="11"/>
        <w:rFonts w:eastAsia="宋体" w:cs="宋体"/>
        <w:sz w:val="28"/>
        <w:szCs w:val="28"/>
      </w:rPr>
      <w:t xml:space="preserve">— </w:t>
    </w:r>
    <w:r>
      <w:rPr>
        <w:rStyle w:val="11"/>
        <w:rFonts w:eastAsia="宋体" w:cs="宋体"/>
        <w:sz w:val="28"/>
        <w:szCs w:val="28"/>
      </w:rPr>
      <w:fldChar w:fldCharType="begin"/>
    </w:r>
    <w:r>
      <w:rPr>
        <w:rStyle w:val="11"/>
        <w:rFonts w:eastAsia="宋体" w:cs="宋体"/>
        <w:sz w:val="28"/>
        <w:szCs w:val="28"/>
      </w:rPr>
      <w:instrText xml:space="preserve">PAGE  </w:instrText>
    </w:r>
    <w:r>
      <w:rPr>
        <w:rStyle w:val="11"/>
        <w:rFonts w:eastAsia="宋体" w:cs="宋体"/>
        <w:sz w:val="28"/>
        <w:szCs w:val="28"/>
      </w:rPr>
      <w:fldChar w:fldCharType="separate"/>
    </w:r>
    <w:r>
      <w:rPr>
        <w:rStyle w:val="11"/>
        <w:rFonts w:eastAsia="宋体" w:cs="宋体"/>
        <w:sz w:val="28"/>
        <w:szCs w:val="28"/>
      </w:rPr>
      <w:t>1</w:t>
    </w:r>
    <w:r>
      <w:rPr>
        <w:rStyle w:val="11"/>
        <w:rFonts w:eastAsia="宋体" w:cs="宋体"/>
        <w:sz w:val="28"/>
        <w:szCs w:val="28"/>
      </w:rPr>
      <w:fldChar w:fldCharType="end"/>
    </w:r>
    <w:r>
      <w:rPr>
        <w:rStyle w:val="11"/>
        <w:rFonts w:eastAsia="宋体" w:cs="宋体"/>
        <w:sz w:val="28"/>
        <w:szCs w:val="28"/>
      </w:rPr>
      <w:t xml:space="preserve"> —</w:t>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decimal"/>
      <w:suff w:val="space"/>
      <w:lvlText w:val="第 %1 条"/>
      <w:lvlJc w:val="left"/>
      <w:rPr>
        <w:rFonts w:hint="eastAsia" w:cs="Times New Roman"/>
        <w:b/>
        <w:bCs w:val="0"/>
        <w:i w:val="0"/>
        <w:iCs w:val="0"/>
        <w:caps w:val="0"/>
        <w:smallCaps w:val="0"/>
        <w:strike w:val="0"/>
        <w:dstrike w:val="0"/>
        <w:outline w:val="0"/>
        <w:shadow w:val="0"/>
        <w:spacing w:val="0"/>
        <w:kern w:val="0"/>
        <w:position w:val="0"/>
        <w:sz w:val="28"/>
        <w:szCs w:val="28"/>
        <w:u w:val="none"/>
      </w:rPr>
    </w:lvl>
    <w:lvl w:ilvl="1" w:tentative="0">
      <w:start w:val="1"/>
      <w:numFmt w:val="decimal"/>
      <w:pStyle w:val="2"/>
      <w:suff w:val="space"/>
      <w:lvlText w:val="%1.%2"/>
      <w:lvlJc w:val="left"/>
      <w:pPr>
        <w:ind w:left="298" w:hanging="576"/>
      </w:pPr>
      <w:rPr>
        <w:rFonts w:hint="eastAsia" w:cs="Times New Roman"/>
        <w:b/>
        <w:i w:val="0"/>
        <w:sz w:val="28"/>
        <w:szCs w:val="28"/>
      </w:rPr>
    </w:lvl>
    <w:lvl w:ilvl="2" w:tentative="0">
      <w:start w:val="1"/>
      <w:numFmt w:val="decimal"/>
      <w:suff w:val="space"/>
      <w:lvlText w:val="%1.%2.%3"/>
      <w:lvlJc w:val="left"/>
      <w:pPr>
        <w:ind w:left="2917" w:hanging="397"/>
      </w:pPr>
      <w:rPr>
        <w:rFonts w:hint="eastAsia" w:cs="Times New Roman"/>
        <w:b w:val="0"/>
        <w:bCs w:val="0"/>
        <w:i w:val="0"/>
        <w:iCs w:val="0"/>
        <w:caps w:val="0"/>
        <w:smallCaps w:val="0"/>
        <w:strike w:val="0"/>
        <w:dstrike w:val="0"/>
        <w:outline w:val="0"/>
        <w:shadow w:val="0"/>
        <w:color w:val="000000"/>
        <w:spacing w:val="0"/>
        <w:kern w:val="0"/>
        <w:position w:val="0"/>
        <w:u w:val="none"/>
      </w:rPr>
    </w:lvl>
    <w:lvl w:ilvl="3" w:tentative="0">
      <w:start w:val="1"/>
      <w:numFmt w:val="decimal"/>
      <w:suff w:val="nothing"/>
      <w:lvlText w:val="（%4）"/>
      <w:lvlJc w:val="left"/>
      <w:pPr>
        <w:ind w:left="1135" w:hanging="420"/>
      </w:pPr>
      <w:rPr>
        <w:rFonts w:hint="eastAsia" w:cs="Times New Roman"/>
        <w:color w:val="auto"/>
      </w:rPr>
    </w:lvl>
    <w:lvl w:ilvl="4" w:tentative="0">
      <w:start w:val="1"/>
      <w:numFmt w:val="decimal"/>
      <w:lvlText w:val="%1.%2.%3.%4.%5"/>
      <w:lvlJc w:val="left"/>
      <w:pPr>
        <w:tabs>
          <w:tab w:val="left" w:pos="730"/>
        </w:tabs>
        <w:ind w:left="730" w:hanging="1008"/>
      </w:pPr>
      <w:rPr>
        <w:rFonts w:hint="eastAsia" w:cs="Times New Roman"/>
      </w:rPr>
    </w:lvl>
    <w:lvl w:ilvl="5" w:tentative="0">
      <w:start w:val="1"/>
      <w:numFmt w:val="decimal"/>
      <w:lvlText w:val="%1.%2.%3.%4.%5.%6"/>
      <w:lvlJc w:val="left"/>
      <w:pPr>
        <w:tabs>
          <w:tab w:val="left" w:pos="874"/>
        </w:tabs>
        <w:ind w:left="874" w:hanging="1152"/>
      </w:pPr>
      <w:rPr>
        <w:rFonts w:hint="eastAsia" w:cs="Times New Roman"/>
      </w:rPr>
    </w:lvl>
    <w:lvl w:ilvl="6" w:tentative="0">
      <w:start w:val="1"/>
      <w:numFmt w:val="decimal"/>
      <w:lvlText w:val="%1.%2.%3.%4.%5.%6.%7"/>
      <w:lvlJc w:val="left"/>
      <w:pPr>
        <w:tabs>
          <w:tab w:val="left" w:pos="1018"/>
        </w:tabs>
        <w:ind w:left="1018" w:hanging="1296"/>
      </w:pPr>
      <w:rPr>
        <w:rFonts w:hint="eastAsia" w:cs="Times New Roman"/>
      </w:rPr>
    </w:lvl>
    <w:lvl w:ilvl="7" w:tentative="0">
      <w:start w:val="1"/>
      <w:numFmt w:val="decimal"/>
      <w:lvlText w:val="%1.%2.%3.%4.%5.%6.%7.%8"/>
      <w:lvlJc w:val="left"/>
      <w:pPr>
        <w:tabs>
          <w:tab w:val="left" w:pos="1162"/>
        </w:tabs>
        <w:ind w:left="1162" w:hanging="1440"/>
      </w:pPr>
      <w:rPr>
        <w:rFonts w:hint="eastAsia" w:cs="Times New Roman"/>
      </w:rPr>
    </w:lvl>
    <w:lvl w:ilvl="8" w:tentative="0">
      <w:start w:val="1"/>
      <w:numFmt w:val="decimal"/>
      <w:lvlText w:val="%1.%2.%3.%4.%5.%6.%7.%8.%9"/>
      <w:lvlJc w:val="left"/>
      <w:pPr>
        <w:tabs>
          <w:tab w:val="left" w:pos="1306"/>
        </w:tabs>
        <w:ind w:left="1306"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58"/>
  <w:drawingGridVerticalSpacing w:val="590"/>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849"/>
    <w:rsid w:val="00057EA0"/>
    <w:rsid w:val="000A6DEF"/>
    <w:rsid w:val="000C0849"/>
    <w:rsid w:val="000D2300"/>
    <w:rsid w:val="000E4732"/>
    <w:rsid w:val="00116B18"/>
    <w:rsid w:val="00187E8B"/>
    <w:rsid w:val="0020239C"/>
    <w:rsid w:val="00207837"/>
    <w:rsid w:val="00250CCE"/>
    <w:rsid w:val="002B1476"/>
    <w:rsid w:val="002D582A"/>
    <w:rsid w:val="00326D71"/>
    <w:rsid w:val="00345D1D"/>
    <w:rsid w:val="00380FFC"/>
    <w:rsid w:val="00426F93"/>
    <w:rsid w:val="0054038A"/>
    <w:rsid w:val="005468A6"/>
    <w:rsid w:val="006015CB"/>
    <w:rsid w:val="006046CB"/>
    <w:rsid w:val="00647843"/>
    <w:rsid w:val="0072086E"/>
    <w:rsid w:val="007946BB"/>
    <w:rsid w:val="0080265B"/>
    <w:rsid w:val="00811C11"/>
    <w:rsid w:val="00831710"/>
    <w:rsid w:val="008434A3"/>
    <w:rsid w:val="00887BDF"/>
    <w:rsid w:val="00897434"/>
    <w:rsid w:val="008B7E3F"/>
    <w:rsid w:val="008F087B"/>
    <w:rsid w:val="00950A89"/>
    <w:rsid w:val="00981EE1"/>
    <w:rsid w:val="009B6C0E"/>
    <w:rsid w:val="009C79FA"/>
    <w:rsid w:val="009F281D"/>
    <w:rsid w:val="009F6918"/>
    <w:rsid w:val="00A03D3E"/>
    <w:rsid w:val="00A34037"/>
    <w:rsid w:val="00A564A6"/>
    <w:rsid w:val="00A67A48"/>
    <w:rsid w:val="00AC074C"/>
    <w:rsid w:val="00AE4522"/>
    <w:rsid w:val="00B8581D"/>
    <w:rsid w:val="00BA4FC9"/>
    <w:rsid w:val="00BB717F"/>
    <w:rsid w:val="00C46B26"/>
    <w:rsid w:val="00C64E5B"/>
    <w:rsid w:val="00CB6DBA"/>
    <w:rsid w:val="00CC2CEF"/>
    <w:rsid w:val="00CD1942"/>
    <w:rsid w:val="00D4470E"/>
    <w:rsid w:val="00DA038C"/>
    <w:rsid w:val="00DC5AD6"/>
    <w:rsid w:val="00DE0807"/>
    <w:rsid w:val="00E4324B"/>
    <w:rsid w:val="00F177FB"/>
    <w:rsid w:val="06A7716C"/>
    <w:rsid w:val="302F1790"/>
    <w:rsid w:val="3C0A0845"/>
    <w:rsid w:val="3D6F2D2D"/>
    <w:rsid w:val="5E9E1B22"/>
    <w:rsid w:val="5F526FF1"/>
    <w:rsid w:val="683749B9"/>
    <w:rsid w:val="6A656CA0"/>
    <w:rsid w:val="7F8C5E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qFormat="1" w:unhideWhenUsed="0" w:uiPriority="99"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宋体"/>
      <w:kern w:val="2"/>
      <w:sz w:val="31"/>
      <w:szCs w:val="31"/>
      <w:lang w:val="en-US" w:eastAsia="zh-CN" w:bidi="ar-SA"/>
    </w:rPr>
  </w:style>
  <w:style w:type="paragraph" w:styleId="2">
    <w:name w:val="heading 2"/>
    <w:basedOn w:val="1"/>
    <w:next w:val="1"/>
    <w:link w:val="13"/>
    <w:qFormat/>
    <w:uiPriority w:val="99"/>
    <w:pPr>
      <w:widowControl/>
      <w:numPr>
        <w:ilvl w:val="1"/>
        <w:numId w:val="1"/>
      </w:numPr>
      <w:autoSpaceDE w:val="0"/>
      <w:autoSpaceDN w:val="0"/>
      <w:adjustRightInd w:val="0"/>
      <w:spacing w:beforeLines="50" w:afterLines="50" w:line="360" w:lineRule="auto"/>
      <w:ind w:firstLine="0"/>
      <w:jc w:val="left"/>
      <w:textAlignment w:val="baseline"/>
      <w:outlineLvl w:val="1"/>
    </w:pPr>
    <w:rPr>
      <w:rFonts w:eastAsia="宋体" w:cs="Arial"/>
      <w:b/>
      <w:sz w:val="28"/>
      <w:szCs w:val="28"/>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qFormat/>
    <w:uiPriority w:val="99"/>
    <w:pPr>
      <w:ind w:left="100" w:leftChars="2500"/>
    </w:p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kern w:val="0"/>
      <w:sz w:val="24"/>
    </w:rPr>
  </w:style>
  <w:style w:type="table" w:styleId="8">
    <w:name w:val="Table Grid"/>
    <w:basedOn w:val="7"/>
    <w:semiHidden/>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99"/>
    <w:rPr>
      <w:rFonts w:cs="Times New Roman"/>
      <w:b/>
      <w:bCs/>
    </w:rPr>
  </w:style>
  <w:style w:type="character" w:styleId="11">
    <w:name w:val="page number"/>
    <w:basedOn w:val="9"/>
    <w:qFormat/>
    <w:uiPriority w:val="99"/>
    <w:rPr>
      <w:rFonts w:cs="Times New Roman"/>
    </w:rPr>
  </w:style>
  <w:style w:type="character" w:styleId="12">
    <w:name w:val="Hyperlink"/>
    <w:basedOn w:val="9"/>
    <w:qFormat/>
    <w:uiPriority w:val="99"/>
    <w:rPr>
      <w:rFonts w:cs="Times New Roman"/>
      <w:color w:val="0000FF"/>
      <w:u w:val="single"/>
    </w:rPr>
  </w:style>
  <w:style w:type="character" w:customStyle="1" w:styleId="13">
    <w:name w:val="Heading 2 Char"/>
    <w:basedOn w:val="9"/>
    <w:link w:val="2"/>
    <w:semiHidden/>
    <w:qFormat/>
    <w:uiPriority w:val="9"/>
    <w:rPr>
      <w:rFonts w:asciiTheme="majorHAnsi" w:hAnsiTheme="majorHAnsi" w:eastAsiaTheme="majorEastAsia" w:cstheme="majorBidi"/>
      <w:b/>
      <w:bCs/>
      <w:sz w:val="32"/>
      <w:szCs w:val="32"/>
    </w:rPr>
  </w:style>
  <w:style w:type="character" w:customStyle="1" w:styleId="14">
    <w:name w:val="Date Char"/>
    <w:basedOn w:val="9"/>
    <w:link w:val="3"/>
    <w:qFormat/>
    <w:locked/>
    <w:uiPriority w:val="99"/>
    <w:rPr>
      <w:rFonts w:ascii="宋体" w:hAnsi="宋体" w:eastAsia="仿宋_GB2312" w:cs="宋体"/>
      <w:kern w:val="2"/>
      <w:sz w:val="31"/>
      <w:szCs w:val="31"/>
    </w:rPr>
  </w:style>
  <w:style w:type="character" w:customStyle="1" w:styleId="15">
    <w:name w:val="Footer Char"/>
    <w:basedOn w:val="9"/>
    <w:link w:val="4"/>
    <w:semiHidden/>
    <w:qFormat/>
    <w:uiPriority w:val="99"/>
    <w:rPr>
      <w:rFonts w:ascii="宋体" w:hAnsi="宋体" w:eastAsia="仿宋_GB2312" w:cs="宋体"/>
      <w:sz w:val="18"/>
      <w:szCs w:val="18"/>
    </w:rPr>
  </w:style>
  <w:style w:type="character" w:customStyle="1" w:styleId="16">
    <w:name w:val="Header Char"/>
    <w:basedOn w:val="9"/>
    <w:link w:val="5"/>
    <w:semiHidden/>
    <w:qFormat/>
    <w:uiPriority w:val="99"/>
    <w:rPr>
      <w:rFonts w:ascii="宋体" w:hAnsi="宋体" w:eastAsia="仿宋_GB2312" w:cs="宋体"/>
      <w:sz w:val="18"/>
      <w:szCs w:val="18"/>
    </w:rPr>
  </w:style>
  <w:style w:type="paragraph" w:customStyle="1" w:styleId="17">
    <w:name w:val="Char5"/>
    <w:basedOn w:val="1"/>
    <w:qFormat/>
    <w:uiPriority w:val="99"/>
    <w:rPr>
      <w:sz w:val="24"/>
    </w:rPr>
  </w:style>
  <w:style w:type="paragraph" w:customStyle="1" w:styleId="18">
    <w:name w:val="Default"/>
    <w:qFormat/>
    <w:uiPriority w:val="99"/>
    <w:pPr>
      <w:widowControl w:val="0"/>
      <w:autoSpaceDE w:val="0"/>
      <w:autoSpaceDN w:val="0"/>
      <w:adjustRightInd w:val="0"/>
    </w:pPr>
    <w:rPr>
      <w:rFonts w:ascii="楷体_GB2312" w:hAnsi="楷体_GB2312" w:eastAsia="宋体" w:cs="楷体_GB2312"/>
      <w:color w:val="000000"/>
      <w:kern w:val="0"/>
      <w:sz w:val="24"/>
      <w:szCs w:val="24"/>
      <w:lang w:val="en-US" w:eastAsia="zh-CN" w:bidi="ar-SA"/>
    </w:rPr>
  </w:style>
  <w:style w:type="paragraph" w:customStyle="1" w:styleId="19">
    <w:name w:val="样式 标题 1 + (西文) Times New Roman (中文) 仿宋_GB2312 小三 两端对齐"/>
    <w:basedOn w:val="2"/>
    <w:qFormat/>
    <w:uiPriority w:val="99"/>
    <w:pPr>
      <w:keepNext/>
      <w:keepLines/>
      <w:widowControl w:val="0"/>
      <w:numPr>
        <w:ilvl w:val="0"/>
        <w:numId w:val="0"/>
      </w:numPr>
      <w:autoSpaceDE/>
      <w:autoSpaceDN/>
      <w:adjustRightInd/>
      <w:spacing w:beforeLines="0" w:afterLines="0" w:line="415" w:lineRule="auto"/>
      <w:jc w:val="both"/>
      <w:textAlignment w:val="auto"/>
    </w:pPr>
    <w:rPr>
      <w:rFonts w:ascii="Times New Roman" w:hAnsi="Times New Roman" w:eastAsia="仿宋_GB2312" w:cs="宋体"/>
      <w:bCs/>
      <w:sz w:val="30"/>
      <w:szCs w:val="20"/>
    </w:rPr>
  </w:style>
  <w:style w:type="paragraph" w:customStyle="1" w:styleId="20">
    <w:name w:val="Char Char Char Char Char Char Char Char Char Char"/>
    <w:basedOn w:val="1"/>
    <w:qFormat/>
    <w:uiPriority w:val="99"/>
    <w:pPr>
      <w:tabs>
        <w:tab w:val="left" w:pos="360"/>
      </w:tabs>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Hewlett-Packard</Company>
  <Pages>8</Pages>
  <Words>663</Words>
  <Characters>3783</Characters>
  <Lines>0</Lines>
  <Paragraphs>0</Paragraphs>
  <TotalTime>47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2020-12-03T08:34:00Z</dcterms:created>
  <dc:creator>admin</dc:creator>
  <cp:lastModifiedBy>admin</cp:lastModifiedBy>
  <cp:lastPrinted>2020-12-30T02:55:00Z</cp:lastPrinted>
  <dcterms:modified xsi:type="dcterms:W3CDTF">2020-12-31T08:21:31Z</dcterms:modified>
  <dc:title>明政文〔2013〕号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