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第9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2024年4月15日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康佰家医药集团股份有限公司三明三元长青店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闽明食药监械经营备20190504号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康佰家大药房（三元长青店）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2024.4.7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（闽）网械销售第35041675号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康佰家大药房（三元长青店）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康佰家大药房（三元长青店）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康佰家大药房（三元长青店）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康佰家大药房（三元长青店）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泰宁县幸福人医药有限公司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张美金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闽明食药监械经营备20203005号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幸福人医药大药房旗舰店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京东商城（北京京东叁佰陆拾度电子商务有限公司）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清流县乐麦电子商务有限公司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黄灵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闽明食药监械经营备20215044号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入驻类(变更法定代表人)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乐麦旗舰店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浙江天猫网络有限公司（天猫）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（浙）网械平台备字[2018]第00002号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（闽）网械销售第35044735号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金力康医疗京东自营专区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上海三快好物科技有限公司（美团）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（沪）网械平台备字[2023]第00001号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乐麦医疗器械企业店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浙江淘宝网络有限公司（淘宝）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饷店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上海商量信息科技有限公司（爱库存）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（沪）网械平台备字[2021]第00006号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乐麦健康美护专营店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（京）网械平台备字（2018）第00003号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福建佰岁堂医药连锁有限公司建宁万安店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陈泓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闽明药监械经营备20229006号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佰岁堂医药连锁(建宁万安店)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 00004 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2024.4.9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佰岁堂医药连锁(建宁万安店)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福建宜又佳医药连锁有限公司三明列东分店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闽明食药监械经营备20160002号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宜又佳医药（列东店）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宜又佳医药(列东店)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宜又佳医药-三明列东店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宜又佳成人情趣(三明列东店)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高济宜又佳医药(三明列东分店)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福建宜又佳医药连锁有限公司三明列西分店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刘洪波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闽明食药监械经营备20160001号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宜又佳医药（列西店）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美团（北京三快科技有限公司）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2024.4.12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（闽）网械销售第35044179号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宜又佳医药(三明列西店)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饿了么（上海拉扎斯信息科技有限公司）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宜又佳医药-三明列西店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高济药急送（北京瓴科数创科技有限公司）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宜又佳医药(列西店)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抖音-抖音电商（上海格物致品网络科技有限公司）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ADD4584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090851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2024-04-12T05:59:48Z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