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0" w:leftChars="0" w:right="0" w:rightChars="0" w:firstLine="0" w:firstLineChars="0"/>
        <w:jc w:val="center"/>
        <w:rPr>
          <w:rFonts w:hint="eastAsia" w:ascii="宋体" w:hAnsi="宋体" w:cs="宋体"/>
          <w:b/>
          <w:bCs/>
          <w:color w:val="auto"/>
          <w:sz w:val="44"/>
          <w:szCs w:val="44"/>
        </w:rPr>
      </w:pPr>
    </w:p>
    <w:p>
      <w:pPr>
        <w:spacing w:line="520" w:lineRule="exact"/>
        <w:ind w:left="0" w:leftChars="0" w:right="0" w:rightChars="0" w:firstLine="0" w:firstLineChars="0"/>
        <w:jc w:val="center"/>
        <w:rPr>
          <w:rFonts w:ascii="宋体" w:cs="宋体"/>
          <w:b/>
          <w:bCs/>
          <w:color w:val="auto"/>
          <w:sz w:val="44"/>
          <w:szCs w:val="44"/>
        </w:rPr>
      </w:pPr>
      <w:r>
        <w:rPr>
          <w:rFonts w:hint="eastAsia" w:ascii="宋体" w:hAnsi="宋体" w:cs="宋体"/>
          <w:b/>
          <w:bCs/>
          <w:color w:val="auto"/>
          <w:sz w:val="44"/>
          <w:szCs w:val="44"/>
        </w:rPr>
        <w:t>福建省</w:t>
      </w:r>
      <w:r>
        <w:rPr>
          <w:rFonts w:ascii="宋体" w:hAnsi="宋体" w:cs="宋体"/>
          <w:b/>
          <w:bCs/>
          <w:color w:val="auto"/>
          <w:sz w:val="44"/>
          <w:szCs w:val="44"/>
        </w:rPr>
        <w:t>202</w:t>
      </w:r>
      <w:r>
        <w:rPr>
          <w:rFonts w:hint="eastAsia" w:ascii="宋体" w:hAnsi="宋体" w:cs="宋体"/>
          <w:b/>
          <w:bCs/>
          <w:color w:val="auto"/>
          <w:sz w:val="44"/>
          <w:szCs w:val="44"/>
          <w:lang w:val="en-US" w:eastAsia="zh-CN"/>
        </w:rPr>
        <w:t>1</w:t>
      </w:r>
      <w:r>
        <w:rPr>
          <w:rFonts w:hint="eastAsia" w:ascii="宋体" w:hAnsi="宋体" w:cs="宋体"/>
          <w:b/>
          <w:bCs/>
          <w:color w:val="auto"/>
          <w:sz w:val="44"/>
          <w:szCs w:val="44"/>
        </w:rPr>
        <w:t>年“三支一扶”计划省外高校福建生源高校毕业生审核办法</w:t>
      </w:r>
    </w:p>
    <w:p>
      <w:pPr>
        <w:spacing w:line="520" w:lineRule="exact"/>
        <w:jc w:val="center"/>
        <w:rPr>
          <w:rFonts w:ascii="宋体" w:cs="宋体"/>
          <w:b/>
          <w:bCs/>
          <w:color w:val="auto"/>
          <w:sz w:val="44"/>
          <w:szCs w:val="44"/>
        </w:rPr>
      </w:pPr>
    </w:p>
    <w:p>
      <w:pPr>
        <w:spacing w:line="52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年福建省“三支一扶”计划省外全日制普通高校福建生源高校毕业生报名审查考核工作，根据《福建省</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年高校毕业生“三支一扶”计划实施方案》，制定本办法。</w:t>
      </w:r>
    </w:p>
    <w:p>
      <w:pPr>
        <w:spacing w:line="52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rPr>
        <w:t>一、审核机构</w:t>
      </w:r>
    </w:p>
    <w:p>
      <w:pPr>
        <w:spacing w:line="52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年福建省“三支一扶”计划报名人员审核考核</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各有关</w:t>
      </w:r>
      <w:r>
        <w:rPr>
          <w:rFonts w:hint="eastAsia" w:ascii="仿宋_GB2312" w:hAnsi="仿宋_GB2312" w:eastAsia="仿宋_GB2312" w:cs="仿宋_GB2312"/>
          <w:color w:val="auto"/>
          <w:sz w:val="32"/>
          <w:szCs w:val="32"/>
        </w:rPr>
        <w:t>设区市“三支一扶”办</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毕业生所在院校</w:t>
      </w:r>
      <w:r>
        <w:rPr>
          <w:rFonts w:hint="eastAsia" w:ascii="仿宋_GB2312" w:hAnsi="仿宋_GB2312" w:eastAsia="仿宋_GB2312" w:cs="仿宋_GB2312"/>
          <w:color w:val="auto"/>
          <w:sz w:val="32"/>
          <w:szCs w:val="32"/>
          <w:lang w:eastAsia="zh-CN"/>
        </w:rPr>
        <w:t>共同</w:t>
      </w:r>
      <w:r>
        <w:rPr>
          <w:rFonts w:hint="eastAsia" w:ascii="仿宋_GB2312" w:hAnsi="仿宋_GB2312" w:eastAsia="仿宋_GB2312" w:cs="仿宋_GB2312"/>
          <w:color w:val="auto"/>
          <w:sz w:val="32"/>
          <w:szCs w:val="32"/>
        </w:rPr>
        <w:t>负责。</w:t>
      </w:r>
    </w:p>
    <w:p>
      <w:pPr>
        <w:spacing w:line="52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rPr>
        <w:t>二、审核对象</w:t>
      </w:r>
    </w:p>
    <w:p>
      <w:pPr>
        <w:spacing w:line="52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报名参加</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年福建省“三支一扶”计划的省外全日制普通高校福建生源高校毕业生。</w:t>
      </w:r>
    </w:p>
    <w:p>
      <w:pPr>
        <w:numPr>
          <w:ilvl w:val="0"/>
          <w:numId w:val="1"/>
        </w:numPr>
        <w:spacing w:line="52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rPr>
        <w:t>审查内容</w:t>
      </w:r>
    </w:p>
    <w:p>
      <w:pPr>
        <w:snapToGrid w:val="0"/>
        <w:spacing w:line="520" w:lineRule="exact"/>
        <w:ind w:left="0" w:leftChars="0"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（一）资格审核</w:t>
      </w:r>
    </w:p>
    <w:p>
      <w:pPr>
        <w:spacing w:line="520" w:lineRule="exact"/>
        <w:ind w:firstLine="627" w:firstLineChars="196"/>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审核报名人员《报名表》信息，包括</w:t>
      </w:r>
      <w:r>
        <w:rPr>
          <w:rFonts w:hint="default" w:ascii="仿宋_GB2312" w:hAnsi="仿宋_GB2312" w:eastAsia="仿宋_GB2312" w:cs="仿宋_GB2312"/>
          <w:b/>
          <w:bCs/>
          <w:color w:val="auto"/>
          <w:sz w:val="32"/>
          <w:szCs w:val="32"/>
        </w:rPr>
        <w:t>生源地、</w:t>
      </w:r>
      <w:r>
        <w:rPr>
          <w:rFonts w:hint="eastAsia" w:ascii="仿宋_GB2312" w:hAnsi="仿宋_GB2312" w:eastAsia="仿宋_GB2312" w:cs="仿宋_GB2312"/>
          <w:b/>
          <w:bCs/>
          <w:color w:val="auto"/>
          <w:sz w:val="32"/>
          <w:szCs w:val="32"/>
        </w:rPr>
        <w:t>民族、</w:t>
      </w:r>
      <w:r>
        <w:rPr>
          <w:rFonts w:hint="eastAsia" w:ascii="仿宋_GB2312" w:hAnsi="仿宋_GB2312" w:eastAsia="仿宋_GB2312" w:cs="仿宋_GB2312"/>
          <w:b/>
          <w:bCs/>
          <w:color w:val="auto"/>
          <w:sz w:val="32"/>
          <w:szCs w:val="32"/>
          <w:lang w:val="en-US" w:eastAsia="zh-CN"/>
        </w:rPr>
        <w:t>学历、</w:t>
      </w:r>
      <w:r>
        <w:rPr>
          <w:rFonts w:hint="eastAsia" w:ascii="仿宋_GB2312" w:hAnsi="仿宋_GB2312" w:eastAsia="仿宋_GB2312" w:cs="仿宋_GB2312"/>
          <w:b/>
          <w:bCs/>
          <w:color w:val="auto"/>
          <w:sz w:val="32"/>
          <w:szCs w:val="32"/>
        </w:rPr>
        <w:t>专业、政治面貌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包括群众、共青团员、入党积极分子、党员发展对象、中共预备党员、中共党员等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在校奖惩情况</w:t>
      </w:r>
      <w:r>
        <w:rPr>
          <w:rFonts w:hint="eastAsia" w:ascii="仿宋_GB2312" w:hAnsi="仿宋_GB2312" w:eastAsia="仿宋_GB2312" w:cs="仿宋_GB2312"/>
          <w:color w:val="auto"/>
          <w:sz w:val="32"/>
          <w:szCs w:val="32"/>
        </w:rPr>
        <w:t>等信息是否真实准确。</w:t>
      </w:r>
      <w:r>
        <w:rPr>
          <w:rFonts w:hint="eastAsia" w:ascii="仿宋_GB2312" w:hAnsi="仿宋_GB2312" w:eastAsia="仿宋_GB2312" w:cs="仿宋_GB2312"/>
          <w:color w:val="auto"/>
          <w:sz w:val="32"/>
          <w:szCs w:val="32"/>
          <w:lang w:val="en-US" w:eastAsia="zh-CN"/>
        </w:rPr>
        <w:t>报名人员</w:t>
      </w:r>
      <w:r>
        <w:rPr>
          <w:rFonts w:hint="eastAsia" w:ascii="仿宋_GB2312" w:hAnsi="仿宋_GB2312" w:eastAsia="仿宋_GB2312" w:cs="仿宋_GB2312"/>
          <w:b/>
          <w:bCs/>
          <w:color w:val="auto"/>
          <w:sz w:val="32"/>
          <w:szCs w:val="32"/>
          <w:lang w:val="en-US" w:eastAsia="zh-CN"/>
        </w:rPr>
        <w:t>困难状况</w:t>
      </w:r>
      <w:r>
        <w:rPr>
          <w:rFonts w:hint="eastAsia" w:ascii="仿宋_GB2312" w:hAnsi="仿宋_GB2312" w:eastAsia="仿宋_GB2312" w:cs="仿宋_GB2312"/>
          <w:b w:val="0"/>
          <w:bCs w:val="0"/>
          <w:color w:val="auto"/>
          <w:sz w:val="32"/>
          <w:szCs w:val="32"/>
          <w:lang w:val="en-US" w:eastAsia="zh-CN"/>
        </w:rPr>
        <w:t>（原</w:t>
      </w:r>
      <w:r>
        <w:rPr>
          <w:rFonts w:hint="eastAsia" w:ascii="仿宋_GB2312" w:hAnsi="仿宋_GB2312" w:eastAsia="仿宋_GB2312" w:cs="仿宋_GB2312"/>
          <w:b w:val="0"/>
          <w:bCs w:val="0"/>
          <w:color w:val="auto"/>
          <w:sz w:val="32"/>
          <w:szCs w:val="32"/>
        </w:rPr>
        <w:t>建档立卡贫困家庭高校毕业生、城乡低保家庭高校毕业生、特困人员高校毕业生</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由公共服务网通过大数据比对自动审核，系统显现</w:t>
      </w:r>
      <w:r>
        <w:rPr>
          <w:rFonts w:hint="eastAsia" w:ascii="仿宋_GB2312" w:hAnsi="仿宋_GB2312" w:eastAsia="仿宋_GB2312" w:cs="仿宋_GB2312"/>
          <w:b/>
          <w:bCs/>
          <w:color w:val="auto"/>
          <w:sz w:val="32"/>
          <w:szCs w:val="32"/>
        </w:rPr>
        <w:t>“校验通过”</w:t>
      </w:r>
      <w:r>
        <w:rPr>
          <w:rFonts w:hint="eastAsia" w:ascii="仿宋_GB2312" w:hAnsi="仿宋_GB2312" w:eastAsia="仿宋_GB2312" w:cs="仿宋_GB2312"/>
          <w:color w:val="auto"/>
          <w:sz w:val="32"/>
          <w:szCs w:val="32"/>
          <w:lang w:val="en-US" w:eastAsia="zh-CN"/>
        </w:rPr>
        <w:t>的，不需要上传材料，“校验不通过”但认为自己属于上述困难状况的报名人员，需自行上传佐证材料，由报考岗位所在设区市和平潭综合实验区“三支一扶”办人工审核，院校无需</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报名人员是否属于按照国家普通高等学校招生计划的全日制普通高校毕业生和国家统一下达招生计划，考试招生执行相同政策和标准</w:t>
      </w:r>
      <w:r>
        <w:rPr>
          <w:rFonts w:hint="eastAsia" w:ascii="仿宋_GB2312" w:hAnsi="仿宋_GB2312" w:eastAsia="仿宋_GB2312" w:cs="仿宋_GB2312"/>
          <w:color w:val="auto"/>
          <w:sz w:val="32"/>
          <w:szCs w:val="32"/>
          <w:lang w:val="en-US" w:eastAsia="zh-CN"/>
        </w:rPr>
        <w:t>的全日制、非全日制研究生</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学历</w:t>
      </w:r>
      <w:r>
        <w:rPr>
          <w:rFonts w:hint="eastAsia" w:ascii="仿宋_GB2312" w:hAnsi="仿宋_GB2312" w:eastAsia="仿宋_GB2312" w:cs="仿宋_GB2312"/>
          <w:b/>
          <w:bCs/>
          <w:color w:val="auto"/>
          <w:sz w:val="32"/>
          <w:szCs w:val="32"/>
          <w:lang w:val="en-US" w:eastAsia="zh-CN"/>
        </w:rPr>
        <w:t>应规范填报为专科生毕业、本科生毕业、硕士生毕业</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w:t>
      </w:r>
    </w:p>
    <w:p>
      <w:pPr>
        <w:spacing w:line="520" w:lineRule="exact"/>
        <w:ind w:firstLine="640" w:firstLineChars="200"/>
        <w:jc w:val="left"/>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报名人员是否能在</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日及之前（研究生放宽至</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日）取得毕业资格。应届毕业生统一认定为符合毕业时间条件</w:t>
      </w:r>
      <w:r>
        <w:rPr>
          <w:rFonts w:hint="eastAsia" w:ascii="仿宋_GB2312" w:hAnsi="仿宋_GB2312" w:eastAsia="仿宋_GB2312" w:cs="仿宋_GB2312"/>
          <w:color w:val="auto"/>
          <w:sz w:val="32"/>
          <w:szCs w:val="32"/>
          <w:lang w:eastAsia="zh-CN"/>
        </w:rPr>
        <w:t>。</w:t>
      </w:r>
    </w:p>
    <w:p>
      <w:pPr>
        <w:spacing w:line="52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报名人员在校期间是否</w:t>
      </w:r>
      <w:r>
        <w:rPr>
          <w:rFonts w:hint="eastAsia" w:ascii="仿宋_GB2312" w:hAnsi="仿宋_GB2312" w:eastAsia="仿宋_GB2312" w:cs="仿宋_GB2312"/>
          <w:color w:val="auto"/>
          <w:kern w:val="0"/>
          <w:sz w:val="32"/>
          <w:szCs w:val="32"/>
        </w:rPr>
        <w:t>有</w:t>
      </w:r>
      <w:r>
        <w:rPr>
          <w:rFonts w:hint="eastAsia" w:ascii="仿宋_GB2312" w:hAnsi="仿宋_GB2312" w:eastAsia="仿宋_GB2312" w:cs="仿宋_GB2312"/>
          <w:color w:val="auto"/>
          <w:sz w:val="32"/>
          <w:szCs w:val="32"/>
        </w:rPr>
        <w:t>违法违纪违规</w:t>
      </w:r>
      <w:r>
        <w:rPr>
          <w:rFonts w:hint="eastAsia" w:ascii="仿宋_GB2312" w:hAnsi="仿宋_GB2312" w:eastAsia="仿宋_GB2312" w:cs="仿宋_GB2312"/>
          <w:color w:val="auto"/>
          <w:kern w:val="0"/>
          <w:sz w:val="32"/>
          <w:szCs w:val="32"/>
        </w:rPr>
        <w:t>行为</w:t>
      </w:r>
      <w:r>
        <w:rPr>
          <w:rFonts w:hint="eastAsia" w:ascii="仿宋_GB2312" w:hAnsi="仿宋_GB2312" w:eastAsia="仿宋_GB2312" w:cs="仿宋_GB2312"/>
          <w:color w:val="auto"/>
          <w:sz w:val="32"/>
          <w:szCs w:val="32"/>
        </w:rPr>
        <w:t>，并受过严重警告及以上处分。</w:t>
      </w:r>
    </w:p>
    <w:p>
      <w:pPr>
        <w:spacing w:line="52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报名人员在读期间必修（主修）科目补考是否达到或超过</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门或</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次以上。</w:t>
      </w:r>
    </w:p>
    <w:p>
      <w:pPr>
        <w:snapToGrid w:val="0"/>
        <w:spacing w:line="520" w:lineRule="exact"/>
        <w:ind w:left="0" w:leftChars="0" w:firstLine="640" w:firstLineChars="200"/>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（二）考核评分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专业成绩排名情况（满分</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分）。按照报名人员所有学年学科总成绩在专业排名情况</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进行</w:t>
      </w:r>
      <w:r>
        <w:rPr>
          <w:rFonts w:hint="eastAsia" w:ascii="仿宋_GB2312" w:hAnsi="仿宋_GB2312" w:eastAsia="仿宋_GB2312" w:cs="仿宋_GB2312"/>
          <w:b/>
          <w:bCs/>
          <w:color w:val="auto"/>
          <w:sz w:val="32"/>
          <w:szCs w:val="32"/>
          <w:lang w:val="en-US" w:eastAsia="zh-CN"/>
        </w:rPr>
        <w:t>量化</w:t>
      </w:r>
      <w:r>
        <w:rPr>
          <w:rFonts w:hint="eastAsia" w:ascii="仿宋_GB2312" w:hAnsi="仿宋_GB2312" w:eastAsia="仿宋_GB2312" w:cs="仿宋_GB2312"/>
          <w:b/>
          <w:bCs/>
          <w:color w:val="auto"/>
          <w:sz w:val="32"/>
          <w:szCs w:val="32"/>
        </w:rPr>
        <w:t>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审核阶段，应届毕业生最后一学期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学年成绩未出的，按照已有学年学科总成绩排名评分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排名按照四舍五入取值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：专业成绩排名前</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分；专业成绩排名每增加1%，分数减少0.2分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14.8</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14.6</w:t>
      </w:r>
      <w:r>
        <w:rPr>
          <w:rFonts w:hint="eastAsia" w:ascii="仿宋_GB2312" w:hAnsi="仿宋_GB2312" w:eastAsia="仿宋_GB2312" w:cs="仿宋_GB2312"/>
          <w:color w:val="auto"/>
          <w:sz w:val="32"/>
          <w:szCs w:val="32"/>
        </w:rPr>
        <w:t>分，以此类推，</w:t>
      </w:r>
      <w:r>
        <w:rPr>
          <w:rFonts w:hint="eastAsia" w:ascii="仿宋_GB2312" w:hAnsi="仿宋_GB2312" w:eastAsia="仿宋_GB2312" w:cs="仿宋_GB2312"/>
          <w:color w:val="auto"/>
          <w:sz w:val="32"/>
          <w:szCs w:val="32"/>
          <w:lang w:val="en-US" w:eastAsia="zh-CN"/>
        </w:rPr>
        <w:t>59</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分，专业成绩排名</w:t>
      </w:r>
      <w:r>
        <w:rPr>
          <w:rFonts w:hint="eastAsia" w:ascii="仿宋_GB2312" w:hAnsi="仿宋_GB2312" w:eastAsia="仿宋_GB2312" w:cs="仿宋_GB2312"/>
          <w:color w:val="auto"/>
          <w:sz w:val="32"/>
          <w:szCs w:val="32"/>
          <w:lang w:val="en-US" w:eastAsia="zh-CN"/>
        </w:rPr>
        <w:t>61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（含）以外，不得分。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b w:val="0"/>
          <w:bCs w:val="0"/>
          <w:color w:val="auto"/>
          <w:sz w:val="32"/>
          <w:szCs w:val="32"/>
        </w:rPr>
      </w:pP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获得荣誉（奖学金）情况</w:t>
      </w:r>
      <w:r>
        <w:rPr>
          <w:rFonts w:hint="eastAsia" w:ascii="仿宋_GB2312" w:hAnsi="仿宋_GB2312" w:eastAsia="仿宋_GB2312" w:cs="仿宋_GB2312"/>
          <w:b/>
          <w:bCs/>
          <w:color w:val="auto"/>
          <w:sz w:val="32"/>
          <w:szCs w:val="32"/>
        </w:rPr>
        <w:t>（满分</w:t>
      </w:r>
      <w:r>
        <w:rPr>
          <w:rFonts w:ascii="仿宋_GB2312" w:hAnsi="仿宋_GB2312" w:eastAsia="仿宋_GB2312" w:cs="仿宋_GB2312"/>
          <w:b/>
          <w:bCs/>
          <w:color w:val="auto"/>
          <w:sz w:val="32"/>
          <w:szCs w:val="32"/>
        </w:rPr>
        <w:t>10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color w:val="auto"/>
          <w:sz w:val="32"/>
          <w:szCs w:val="32"/>
        </w:rPr>
        <w:t>根据报名人员在校</w:t>
      </w:r>
      <w:r>
        <w:rPr>
          <w:rFonts w:hint="eastAsia" w:ascii="仿宋_GB2312" w:hAnsi="仿宋_GB2312" w:eastAsia="仿宋_GB2312" w:cs="仿宋_GB2312"/>
          <w:b w:val="0"/>
          <w:bCs w:val="0"/>
          <w:color w:val="auto"/>
          <w:sz w:val="32"/>
          <w:szCs w:val="32"/>
        </w:rPr>
        <w:t>获得荣誉（奖学金）</w:t>
      </w:r>
      <w:r>
        <w:rPr>
          <w:rFonts w:hint="eastAsia" w:ascii="仿宋_GB2312" w:hAnsi="仿宋_GB2312" w:eastAsia="仿宋_GB2312" w:cs="仿宋_GB2312"/>
          <w:color w:val="auto"/>
          <w:sz w:val="32"/>
          <w:szCs w:val="32"/>
        </w:rPr>
        <w:t>情况，进行量化评分</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）获得省级及以上荣誉（奖学金）</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）获得市级荣誉（奖学金）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）获得校级荣誉（奖学金，含校级以上家庭经济困难学生奖学金）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得荣誉（奖学金）包括在校获省级及以上、市级、校级优秀学生（包含且不限于优秀学生干部、优秀学生、三好学生、优秀毕业生荣誉称号）、奖学金（不包括捐助类奖学金、助学金），国家励志奖学金等校级以上家庭经济困难类奖学金按照校级奖学金评分，</w:t>
      </w:r>
      <w:r>
        <w:rPr>
          <w:rFonts w:hint="eastAsia" w:ascii="仿宋_GB2312" w:hAnsi="仿宋_GB2312" w:eastAsia="仿宋_GB2312" w:cs="仿宋_GB2312"/>
          <w:b/>
          <w:bCs/>
          <w:color w:val="auto"/>
          <w:sz w:val="32"/>
          <w:szCs w:val="32"/>
        </w:rPr>
        <w:t>以提供的证书为准（校级以上荣誉、奖学金证书应有政府部门公章，校级证书应有学校公章，不包括院校部处、二级学院或院系所发证书）</w:t>
      </w:r>
      <w:r>
        <w:rPr>
          <w:rFonts w:hint="eastAsia" w:ascii="仿宋_GB2312" w:hAnsi="仿宋_GB2312" w:eastAsia="仿宋_GB2312" w:cs="仿宋_GB2312"/>
          <w:color w:val="auto"/>
          <w:sz w:val="32"/>
          <w:szCs w:val="32"/>
        </w:rPr>
        <w:t>。按照就高原则评分，不累计加分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获得家庭经济困难类奖学金报名人员已享受困难状况加分，</w:t>
      </w:r>
      <w:r>
        <w:rPr>
          <w:rFonts w:hint="eastAsia" w:ascii="仿宋_GB2312" w:hAnsi="仿宋_GB2312" w:eastAsia="仿宋_GB2312" w:cs="仿宋_GB2312"/>
          <w:color w:val="auto"/>
          <w:sz w:val="32"/>
          <w:szCs w:val="32"/>
          <w:lang w:val="en-US" w:eastAsia="zh-CN"/>
        </w:rPr>
        <w:t>也</w:t>
      </w:r>
      <w:r>
        <w:rPr>
          <w:rFonts w:hint="eastAsia" w:ascii="仿宋_GB2312" w:hAnsi="仿宋_GB2312" w:eastAsia="仿宋_GB2312" w:cs="仿宋_GB2312"/>
          <w:color w:val="auto"/>
          <w:sz w:val="32"/>
          <w:szCs w:val="32"/>
        </w:rPr>
        <w:t>不再重复加分。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报名人员</w:t>
      </w:r>
      <w:r>
        <w:rPr>
          <w:rFonts w:hint="eastAsia" w:ascii="仿宋_GB2312" w:hAnsi="仿宋_GB2312" w:eastAsia="仿宋_GB2312" w:cs="仿宋_GB2312"/>
          <w:color w:val="auto"/>
          <w:sz w:val="32"/>
          <w:szCs w:val="32"/>
        </w:rPr>
        <w:t>专业成绩</w:t>
      </w:r>
      <w:r>
        <w:rPr>
          <w:rFonts w:hint="eastAsia" w:ascii="仿宋_GB2312" w:hAnsi="仿宋_GB2312" w:eastAsia="仿宋_GB2312" w:cs="仿宋_GB2312"/>
          <w:color w:val="auto"/>
          <w:sz w:val="32"/>
          <w:szCs w:val="32"/>
          <w:lang w:val="en-US" w:eastAsia="zh-CN"/>
        </w:rPr>
        <w:t>排名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获得荣誉（奖学金）情况应是在</w:t>
      </w:r>
      <w:r>
        <w:rPr>
          <w:rFonts w:hint="eastAsia" w:ascii="仿宋_GB2312" w:hAnsi="仿宋_GB2312" w:eastAsia="仿宋_GB2312" w:cs="仿宋_GB2312"/>
          <w:b/>
          <w:bCs/>
          <w:color w:val="auto"/>
          <w:sz w:val="32"/>
          <w:szCs w:val="32"/>
          <w:lang w:val="en-US" w:eastAsia="zh-CN"/>
        </w:rPr>
        <w:t>报名</w:t>
      </w:r>
      <w:r>
        <w:rPr>
          <w:rFonts w:hint="eastAsia" w:ascii="仿宋_GB2312" w:hAnsi="仿宋_GB2312" w:eastAsia="仿宋_GB2312" w:cs="仿宋_GB2312"/>
          <w:b/>
          <w:bCs/>
          <w:color w:val="auto"/>
          <w:sz w:val="32"/>
          <w:szCs w:val="32"/>
        </w:rPr>
        <w:t>学历</w:t>
      </w:r>
      <w:r>
        <w:rPr>
          <w:rFonts w:hint="eastAsia" w:ascii="仿宋_GB2312" w:hAnsi="仿宋_GB2312" w:eastAsia="仿宋_GB2312" w:cs="仿宋_GB2312"/>
          <w:b/>
          <w:bCs/>
          <w:color w:val="auto"/>
          <w:sz w:val="32"/>
          <w:szCs w:val="32"/>
          <w:lang w:val="en-US" w:eastAsia="zh-CN"/>
        </w:rPr>
        <w:t>期间</w:t>
      </w:r>
      <w:r>
        <w:rPr>
          <w:rFonts w:hint="eastAsia" w:ascii="仿宋_GB2312" w:hAnsi="仿宋_GB2312" w:eastAsia="仿宋_GB2312" w:cs="仿宋_GB2312"/>
          <w:color w:val="auto"/>
          <w:sz w:val="32"/>
          <w:szCs w:val="32"/>
          <w:lang w:val="en-US" w:eastAsia="zh-CN"/>
        </w:rPr>
        <w:t>取得</w:t>
      </w:r>
      <w:r>
        <w:rPr>
          <w:rFonts w:hint="eastAsia" w:ascii="仿宋_GB2312" w:hAnsi="仿宋_GB2312" w:eastAsia="仿宋_GB2312" w:cs="仿宋_GB2312"/>
          <w:color w:val="auto"/>
          <w:sz w:val="32"/>
          <w:szCs w:val="32"/>
          <w:lang w:eastAsia="zh-CN"/>
        </w:rPr>
        <w:t>。</w:t>
      </w:r>
    </w:p>
    <w:p>
      <w:pPr>
        <w:snapToGrid w:val="0"/>
        <w:spacing w:line="52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四、审核方式</w:t>
      </w:r>
    </w:p>
    <w:p>
      <w:pPr>
        <w:spacing w:line="52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由报名人员下载打印本人《报名表》《福建省各级“三支一扶”办联系表》（详见</w:t>
      </w:r>
      <w:r>
        <w:rPr>
          <w:rFonts w:hint="eastAsia" w:ascii="仿宋_GB2312" w:hAnsi="仿宋_GB2312" w:eastAsia="仿宋_GB2312" w:cs="仿宋_GB2312"/>
          <w:b/>
          <w:bCs/>
          <w:color w:val="auto"/>
          <w:sz w:val="32"/>
          <w:szCs w:val="32"/>
          <w:lang w:val="en-US" w:eastAsia="zh-CN"/>
        </w:rPr>
        <w:t>招募</w:t>
      </w:r>
      <w:r>
        <w:rPr>
          <w:rFonts w:hint="eastAsia" w:ascii="仿宋_GB2312" w:hAnsi="仿宋_GB2312" w:eastAsia="仿宋_GB2312" w:cs="仿宋_GB2312"/>
          <w:b/>
          <w:bCs/>
          <w:color w:val="auto"/>
          <w:sz w:val="32"/>
          <w:szCs w:val="32"/>
        </w:rPr>
        <w:t>公告），连同本办法一起寄送所在学校院（系）审核。</w:t>
      </w:r>
      <w:r>
        <w:rPr>
          <w:rFonts w:hint="eastAsia" w:ascii="仿宋_GB2312" w:hAnsi="仿宋_GB2312" w:eastAsia="仿宋_GB2312" w:cs="仿宋_GB2312"/>
          <w:color w:val="auto"/>
          <w:sz w:val="32"/>
          <w:szCs w:val="32"/>
        </w:rPr>
        <w:t>毕业生所在学校院（系）按照本办法要求审核毕业生情况，如实填写《福建省</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年省级“三支一扶”计划省外高校福建生源毕业生报名人员考核汇总表》，</w:t>
      </w:r>
      <w:r>
        <w:rPr>
          <w:rFonts w:hint="eastAsia" w:ascii="仿宋_GB2312" w:hAnsi="仿宋_GB2312" w:eastAsia="仿宋_GB2312" w:cs="仿宋_GB2312"/>
          <w:color w:val="auto"/>
          <w:sz w:val="32"/>
          <w:szCs w:val="32"/>
          <w:lang w:val="en-US" w:eastAsia="zh-CN"/>
        </w:rPr>
        <w:t>加盖</w:t>
      </w:r>
      <w:r>
        <w:rPr>
          <w:rFonts w:hint="eastAsia" w:ascii="仿宋_GB2312" w:hAnsi="仿宋_GB2312" w:eastAsia="仿宋_GB2312" w:cs="仿宋_GB2312"/>
          <w:color w:val="auto"/>
          <w:sz w:val="32"/>
          <w:szCs w:val="32"/>
        </w:rPr>
        <w:t>院</w:t>
      </w:r>
      <w:r>
        <w:rPr>
          <w:rFonts w:hint="eastAsia" w:ascii="仿宋_GB2312" w:hAnsi="仿宋_GB2312" w:eastAsia="仿宋_GB2312" w:cs="仿宋_GB2312"/>
          <w:color w:val="auto"/>
          <w:sz w:val="32"/>
          <w:szCs w:val="32"/>
          <w:lang w:val="en-US" w:eastAsia="zh-CN"/>
        </w:rPr>
        <w:t>校或就业工作部门公章后</w:t>
      </w:r>
      <w:r>
        <w:rPr>
          <w:rFonts w:hint="eastAsia" w:ascii="仿宋_GB2312" w:hAnsi="仿宋_GB2312" w:eastAsia="仿宋_GB2312" w:cs="仿宋_GB2312"/>
          <w:color w:val="auto"/>
          <w:sz w:val="32"/>
          <w:szCs w:val="32"/>
        </w:rPr>
        <w:t>于</w:t>
      </w:r>
      <w:r>
        <w:rPr>
          <w:rFonts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rPr>
        <w:t>月</w:t>
      </w: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b w:val="0"/>
          <w:bCs w:val="0"/>
          <w:color w:val="auto"/>
          <w:sz w:val="32"/>
          <w:szCs w:val="32"/>
        </w:rPr>
        <w:t>前</w:t>
      </w:r>
      <w:r>
        <w:rPr>
          <w:rFonts w:hint="eastAsia" w:ascii="仿宋_GB2312" w:hAnsi="仿宋_GB2312" w:eastAsia="仿宋_GB2312" w:cs="仿宋_GB2312"/>
          <w:color w:val="auto"/>
          <w:sz w:val="32"/>
          <w:szCs w:val="32"/>
        </w:rPr>
        <w:t>寄送或传真至报名岗位所在设区市“三支一扶”办。</w:t>
      </w:r>
    </w:p>
    <w:p>
      <w:pPr>
        <w:snapToGrid w:val="0"/>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五、工作要求</w:t>
      </w:r>
    </w:p>
    <w:p>
      <w:pPr>
        <w:snapToGrid w:val="0"/>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谁审核、谁把关、谁负责”的原则，省“三支一扶”办负责报名人员审核工作的统筹指导，各院校负责报名人员审核工作的具体组织实施，各有关设区市“三支一扶”办负责复核并代院校进行网上录入。审核过程中，若出现徇私舞弊或失职渎职的，将依照相关规定追究有关人员责任。</w:t>
      </w:r>
    </w:p>
    <w:p>
      <w:pPr>
        <w:snapToGrid w:val="0"/>
        <w:spacing w:line="520" w:lineRule="exact"/>
        <w:ind w:left="960" w:leftChars="0" w:hanging="960" w:hangingChars="300"/>
        <w:rPr>
          <w:rFonts w:ascii="仿宋_GB2312" w:hAnsi="仿宋_GB2312" w:eastAsia="仿宋_GB2312" w:cs="仿宋_GB2312"/>
          <w:color w:val="auto"/>
          <w:sz w:val="32"/>
          <w:szCs w:val="32"/>
        </w:rPr>
      </w:pPr>
    </w:p>
    <w:p>
      <w:pPr>
        <w:snapToGrid w:val="0"/>
        <w:spacing w:line="520" w:lineRule="exact"/>
        <w:ind w:left="1598" w:leftChars="304" w:hanging="960" w:hanging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附件：福建省</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年省级“三支一扶”计划省外高校福建生源毕业生报名人员考核汇总表</w:t>
      </w:r>
    </w:p>
    <w:p>
      <w:pPr>
        <w:snapToGrid w:val="0"/>
        <w:spacing w:line="520" w:lineRule="exact"/>
        <w:ind w:firstLine="640" w:firstLineChars="200"/>
        <w:rPr>
          <w:rFonts w:ascii="仿宋_GB2312" w:hAnsi="仿宋_GB2312" w:eastAsia="仿宋_GB2312" w:cs="仿宋_GB2312"/>
          <w:color w:val="auto"/>
          <w:sz w:val="32"/>
          <w:szCs w:val="32"/>
        </w:rPr>
      </w:pPr>
    </w:p>
    <w:p>
      <w:pPr>
        <w:snapToGrid w:val="0"/>
        <w:spacing w:line="520" w:lineRule="exact"/>
        <w:rPr>
          <w:rFonts w:ascii="仿宋_GB2312" w:hAnsi="仿宋_GB2312" w:eastAsia="仿宋_GB2312" w:cs="仿宋_GB2312"/>
          <w:color w:val="auto"/>
          <w:sz w:val="32"/>
          <w:szCs w:val="32"/>
        </w:rPr>
      </w:pPr>
    </w:p>
    <w:p>
      <w:pPr>
        <w:snapToGrid w:val="0"/>
        <w:spacing w:line="520" w:lineRule="exact"/>
        <w:ind w:firstLine="560" w:firstLineChars="200"/>
        <w:jc w:val="right"/>
        <w:rPr>
          <w:rFonts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福建省高校毕业生“三支一扶”工作协调管理办公室</w:t>
      </w:r>
    </w:p>
    <w:p>
      <w:pPr>
        <w:snapToGrid w:val="0"/>
        <w:spacing w:line="520" w:lineRule="exact"/>
        <w:ind w:firstLine="4160" w:firstLineChars="13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bookmarkStart w:id="0" w:name="_GoBack"/>
      <w:bookmarkEnd w:id="0"/>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snapToGrid w:val="0"/>
        <w:spacing w:line="520" w:lineRule="exact"/>
        <w:rPr>
          <w:rFonts w:ascii="仿宋_GB2312" w:hAnsi="仿宋_GB2312" w:eastAsia="仿宋_GB2312" w:cs="仿宋_GB2312"/>
          <w:color w:val="auto"/>
          <w:sz w:val="32"/>
          <w:szCs w:val="32"/>
        </w:rPr>
        <w:sectPr>
          <w:headerReference r:id="rId3" w:type="default"/>
          <w:pgSz w:w="11906" w:h="16838"/>
          <w:pgMar w:top="1440" w:right="1797" w:bottom="1440" w:left="1797" w:header="851" w:footer="992" w:gutter="0"/>
          <w:cols w:space="720" w:num="1"/>
          <w:docGrid w:type="linesAndChars" w:linePitch="312" w:charSpace="0"/>
        </w:sectPr>
      </w:pPr>
    </w:p>
    <w:p>
      <w:pPr>
        <w:spacing w:line="520" w:lineRule="exact"/>
        <w:rPr>
          <w:rFonts w:ascii="仿宋_GB2312"/>
          <w:color w:val="auto"/>
          <w:kern w:val="0"/>
          <w:szCs w:val="32"/>
        </w:rPr>
      </w:pPr>
      <w:r>
        <w:rPr>
          <w:rFonts w:hint="eastAsia" w:ascii="黑体" w:eastAsia="黑体"/>
          <w:bCs/>
          <w:color w:val="auto"/>
          <w:kern w:val="0"/>
          <w:sz w:val="32"/>
          <w:szCs w:val="32"/>
        </w:rPr>
        <w:t>附件</w:t>
      </w:r>
    </w:p>
    <w:p>
      <w:pPr>
        <w:spacing w:line="520" w:lineRule="exact"/>
        <w:jc w:val="center"/>
        <w:rPr>
          <w:rFonts w:ascii="宋体"/>
          <w:b/>
          <w:color w:val="auto"/>
          <w:sz w:val="36"/>
          <w:szCs w:val="36"/>
        </w:rPr>
      </w:pPr>
      <w:r>
        <w:rPr>
          <w:rFonts w:hint="eastAsia" w:ascii="宋体"/>
          <w:b/>
          <w:color w:val="auto"/>
          <w:sz w:val="36"/>
          <w:szCs w:val="36"/>
        </w:rPr>
        <w:t>福建省</w:t>
      </w:r>
      <w:r>
        <w:rPr>
          <w:rFonts w:ascii="宋体"/>
          <w:b/>
          <w:color w:val="auto"/>
          <w:sz w:val="36"/>
          <w:szCs w:val="36"/>
        </w:rPr>
        <w:t>202</w:t>
      </w:r>
      <w:r>
        <w:rPr>
          <w:rFonts w:hint="eastAsia" w:ascii="宋体"/>
          <w:b/>
          <w:color w:val="auto"/>
          <w:sz w:val="36"/>
          <w:szCs w:val="36"/>
          <w:lang w:val="en-US" w:eastAsia="zh-CN"/>
        </w:rPr>
        <w:t>1</w:t>
      </w:r>
      <w:r>
        <w:rPr>
          <w:rFonts w:hint="eastAsia" w:ascii="宋体"/>
          <w:b/>
          <w:color w:val="auto"/>
          <w:sz w:val="36"/>
          <w:szCs w:val="36"/>
        </w:rPr>
        <w:t>年省级“三支一扶”计划省外高校福建生源毕业生报名人员考核汇总表</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学校：（盖章）</w:t>
      </w:r>
    </w:p>
    <w:tbl>
      <w:tblPr>
        <w:tblStyle w:val="4"/>
        <w:tblW w:w="141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70"/>
        <w:gridCol w:w="653"/>
        <w:gridCol w:w="724"/>
        <w:gridCol w:w="615"/>
        <w:gridCol w:w="793"/>
        <w:gridCol w:w="794"/>
        <w:gridCol w:w="593"/>
        <w:gridCol w:w="593"/>
        <w:gridCol w:w="630"/>
        <w:gridCol w:w="1075"/>
        <w:gridCol w:w="1001"/>
        <w:gridCol w:w="885"/>
        <w:gridCol w:w="1041"/>
        <w:gridCol w:w="926"/>
        <w:gridCol w:w="115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442"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570"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姓名</w:t>
            </w:r>
          </w:p>
        </w:tc>
        <w:tc>
          <w:tcPr>
            <w:tcW w:w="653" w:type="dxa"/>
            <w:vAlign w:val="center"/>
          </w:tcPr>
          <w:p>
            <w:pPr>
              <w:spacing w:line="400" w:lineRule="exact"/>
              <w:jc w:val="center"/>
              <w:rPr>
                <w:rFonts w:hint="default"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身份证号</w:t>
            </w:r>
          </w:p>
        </w:tc>
        <w:tc>
          <w:tcPr>
            <w:tcW w:w="724" w:type="dxa"/>
            <w:vAlign w:val="center"/>
          </w:tcPr>
          <w:p>
            <w:pPr>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生源地（精确到县）</w:t>
            </w:r>
          </w:p>
        </w:tc>
        <w:tc>
          <w:tcPr>
            <w:tcW w:w="615"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民族</w:t>
            </w:r>
          </w:p>
        </w:tc>
        <w:tc>
          <w:tcPr>
            <w:tcW w:w="793"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政治面貌</w:t>
            </w:r>
          </w:p>
        </w:tc>
        <w:tc>
          <w:tcPr>
            <w:tcW w:w="794"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是否属全日制毕业生</w:t>
            </w:r>
          </w:p>
        </w:tc>
        <w:tc>
          <w:tcPr>
            <w:tcW w:w="593" w:type="dxa"/>
            <w:vAlign w:val="center"/>
          </w:tcPr>
          <w:p>
            <w:pPr>
              <w:spacing w:line="400" w:lineRule="exact"/>
              <w:jc w:val="center"/>
              <w:rPr>
                <w:rFonts w:hint="eastAsia" w:ascii="仿宋_GB2312" w:hAnsi="仿宋_GB2312" w:eastAsia="仿宋_GB2312" w:cs="仿宋_GB2312"/>
                <w:b/>
                <w:bCs/>
                <w:color w:val="auto"/>
                <w:sz w:val="24"/>
              </w:rPr>
            </w:pPr>
            <w:r>
              <w:rPr>
                <w:rFonts w:hint="default" w:ascii="仿宋_GB2312" w:hAnsi="仿宋_GB2312" w:eastAsia="仿宋_GB2312" w:cs="仿宋_GB2312"/>
                <w:b/>
                <w:bCs/>
                <w:color w:val="auto"/>
                <w:sz w:val="24"/>
              </w:rPr>
              <w:t>毕业时间</w:t>
            </w:r>
          </w:p>
        </w:tc>
        <w:tc>
          <w:tcPr>
            <w:tcW w:w="593"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学历</w:t>
            </w:r>
          </w:p>
        </w:tc>
        <w:tc>
          <w:tcPr>
            <w:tcW w:w="630"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w:t>
            </w:r>
          </w:p>
        </w:tc>
        <w:tc>
          <w:tcPr>
            <w:tcW w:w="1075"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是否有违法违纪违规行为</w:t>
            </w:r>
          </w:p>
        </w:tc>
        <w:tc>
          <w:tcPr>
            <w:tcW w:w="1001"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必修（主修）科目是否达标</w:t>
            </w:r>
          </w:p>
        </w:tc>
        <w:tc>
          <w:tcPr>
            <w:tcW w:w="885" w:type="dxa"/>
            <w:vAlign w:val="center"/>
          </w:tcPr>
          <w:p>
            <w:pPr>
              <w:spacing w:line="400" w:lineRule="exact"/>
              <w:jc w:val="center"/>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报名单位</w:t>
            </w:r>
          </w:p>
        </w:tc>
        <w:tc>
          <w:tcPr>
            <w:tcW w:w="1041"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专业成绩排名得分</w:t>
            </w:r>
          </w:p>
        </w:tc>
        <w:tc>
          <w:tcPr>
            <w:tcW w:w="926"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专业成绩排名（</w:t>
            </w:r>
            <w:r>
              <w:rPr>
                <w:rFonts w:ascii="仿宋_GB2312" w:hAnsi="仿宋_GB2312" w:eastAsia="仿宋_GB2312" w:cs="仿宋_GB2312"/>
                <w:b/>
                <w:bCs/>
                <w:color w:val="auto"/>
                <w:sz w:val="24"/>
              </w:rPr>
              <w:t>%</w:t>
            </w:r>
            <w:r>
              <w:rPr>
                <w:rFonts w:hint="eastAsia" w:ascii="仿宋_GB2312" w:hAnsi="仿宋_GB2312" w:eastAsia="仿宋_GB2312" w:cs="仿宋_GB2312"/>
                <w:b/>
                <w:bCs/>
                <w:color w:val="auto"/>
                <w:sz w:val="24"/>
              </w:rPr>
              <w:t>）</w:t>
            </w:r>
          </w:p>
        </w:tc>
        <w:tc>
          <w:tcPr>
            <w:tcW w:w="1151"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获得荣誉（奖学金）</w:t>
            </w:r>
            <w:r>
              <w:rPr>
                <w:rFonts w:hint="eastAsia" w:ascii="仿宋_GB2312" w:hAnsi="仿宋_GB2312" w:eastAsia="仿宋_GB2312" w:cs="仿宋_GB2312"/>
                <w:b/>
                <w:bCs/>
                <w:color w:val="auto"/>
                <w:sz w:val="24"/>
              </w:rPr>
              <w:t>情况得分</w:t>
            </w:r>
          </w:p>
        </w:tc>
        <w:tc>
          <w:tcPr>
            <w:tcW w:w="1638"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获得荣誉（奖学金）</w:t>
            </w:r>
            <w:r>
              <w:rPr>
                <w:rFonts w:hint="eastAsia" w:ascii="仿宋_GB2312" w:hAnsi="仿宋_GB2312" w:eastAsia="仿宋_GB2312" w:cs="仿宋_GB2312"/>
                <w:b/>
                <w:bCs/>
                <w:color w:val="auto"/>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42" w:type="dxa"/>
            <w:vAlign w:val="center"/>
          </w:tcPr>
          <w:p>
            <w:pPr>
              <w:spacing w:line="520" w:lineRule="exact"/>
              <w:jc w:val="center"/>
              <w:rPr>
                <w:rFonts w:ascii="仿宋_GB2312"/>
                <w:color w:val="auto"/>
                <w:sz w:val="24"/>
              </w:rPr>
            </w:pPr>
          </w:p>
        </w:tc>
        <w:tc>
          <w:tcPr>
            <w:tcW w:w="570" w:type="dxa"/>
            <w:vAlign w:val="center"/>
          </w:tcPr>
          <w:p>
            <w:pPr>
              <w:spacing w:line="520" w:lineRule="exact"/>
              <w:jc w:val="center"/>
              <w:rPr>
                <w:rFonts w:ascii="仿宋_GB2312"/>
                <w:color w:val="auto"/>
                <w:sz w:val="24"/>
              </w:rPr>
            </w:pPr>
          </w:p>
        </w:tc>
        <w:tc>
          <w:tcPr>
            <w:tcW w:w="653" w:type="dxa"/>
            <w:vAlign w:val="center"/>
          </w:tcPr>
          <w:p>
            <w:pPr>
              <w:spacing w:line="520" w:lineRule="exact"/>
              <w:jc w:val="center"/>
              <w:rPr>
                <w:rFonts w:ascii="仿宋_GB2312"/>
                <w:color w:val="auto"/>
                <w:sz w:val="24"/>
              </w:rPr>
            </w:pPr>
          </w:p>
        </w:tc>
        <w:tc>
          <w:tcPr>
            <w:tcW w:w="724"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793" w:type="dxa"/>
            <w:vAlign w:val="center"/>
          </w:tcPr>
          <w:p>
            <w:pPr>
              <w:spacing w:line="520" w:lineRule="exact"/>
              <w:jc w:val="center"/>
              <w:rPr>
                <w:rFonts w:ascii="仿宋_GB2312"/>
                <w:color w:val="auto"/>
                <w:sz w:val="24"/>
              </w:rPr>
            </w:pPr>
          </w:p>
        </w:tc>
        <w:tc>
          <w:tcPr>
            <w:tcW w:w="794"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630" w:type="dxa"/>
            <w:vAlign w:val="center"/>
          </w:tcPr>
          <w:p>
            <w:pPr>
              <w:spacing w:line="520" w:lineRule="exact"/>
              <w:jc w:val="center"/>
              <w:rPr>
                <w:rFonts w:ascii="仿宋_GB2312"/>
                <w:color w:val="auto"/>
                <w:sz w:val="24"/>
              </w:rPr>
            </w:pPr>
          </w:p>
        </w:tc>
        <w:tc>
          <w:tcPr>
            <w:tcW w:w="1075" w:type="dxa"/>
            <w:vAlign w:val="center"/>
          </w:tcPr>
          <w:p>
            <w:pPr>
              <w:spacing w:line="520" w:lineRule="exact"/>
              <w:jc w:val="center"/>
              <w:rPr>
                <w:rFonts w:ascii="仿宋_GB2312"/>
                <w:color w:val="auto"/>
                <w:sz w:val="24"/>
              </w:rPr>
            </w:pPr>
          </w:p>
        </w:tc>
        <w:tc>
          <w:tcPr>
            <w:tcW w:w="1001" w:type="dxa"/>
            <w:vAlign w:val="center"/>
          </w:tcPr>
          <w:p>
            <w:pPr>
              <w:spacing w:line="520" w:lineRule="exact"/>
              <w:jc w:val="center"/>
              <w:rPr>
                <w:rFonts w:ascii="仿宋_GB2312"/>
                <w:color w:val="auto"/>
                <w:sz w:val="24"/>
              </w:rPr>
            </w:pPr>
          </w:p>
        </w:tc>
        <w:tc>
          <w:tcPr>
            <w:tcW w:w="885" w:type="dxa"/>
            <w:vAlign w:val="center"/>
          </w:tcPr>
          <w:p>
            <w:pPr>
              <w:spacing w:line="520" w:lineRule="exact"/>
              <w:jc w:val="center"/>
              <w:rPr>
                <w:rFonts w:ascii="仿宋_GB2312"/>
                <w:color w:val="auto"/>
                <w:sz w:val="24"/>
              </w:rPr>
            </w:pPr>
          </w:p>
        </w:tc>
        <w:tc>
          <w:tcPr>
            <w:tcW w:w="1041" w:type="dxa"/>
            <w:vAlign w:val="center"/>
          </w:tcPr>
          <w:p>
            <w:pPr>
              <w:spacing w:line="520" w:lineRule="exact"/>
              <w:jc w:val="center"/>
              <w:rPr>
                <w:rFonts w:ascii="仿宋_GB2312"/>
                <w:color w:val="auto"/>
                <w:sz w:val="24"/>
              </w:rPr>
            </w:pPr>
          </w:p>
        </w:tc>
        <w:tc>
          <w:tcPr>
            <w:tcW w:w="926" w:type="dxa"/>
            <w:vAlign w:val="center"/>
          </w:tcPr>
          <w:p>
            <w:pPr>
              <w:spacing w:line="520" w:lineRule="exact"/>
              <w:jc w:val="center"/>
              <w:rPr>
                <w:rFonts w:ascii="仿宋_GB2312"/>
                <w:color w:val="auto"/>
                <w:sz w:val="24"/>
              </w:rPr>
            </w:pPr>
          </w:p>
        </w:tc>
        <w:tc>
          <w:tcPr>
            <w:tcW w:w="1151" w:type="dxa"/>
            <w:vAlign w:val="center"/>
          </w:tcPr>
          <w:p>
            <w:pPr>
              <w:spacing w:line="520" w:lineRule="exact"/>
              <w:jc w:val="center"/>
              <w:rPr>
                <w:rFonts w:ascii="仿宋_GB2312"/>
                <w:color w:val="auto"/>
                <w:sz w:val="24"/>
              </w:rPr>
            </w:pPr>
          </w:p>
        </w:tc>
        <w:tc>
          <w:tcPr>
            <w:tcW w:w="1638"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42" w:type="dxa"/>
            <w:vAlign w:val="center"/>
          </w:tcPr>
          <w:p>
            <w:pPr>
              <w:spacing w:line="520" w:lineRule="exact"/>
              <w:jc w:val="center"/>
              <w:rPr>
                <w:rFonts w:ascii="仿宋_GB2312"/>
                <w:color w:val="auto"/>
                <w:sz w:val="24"/>
              </w:rPr>
            </w:pPr>
          </w:p>
        </w:tc>
        <w:tc>
          <w:tcPr>
            <w:tcW w:w="570" w:type="dxa"/>
            <w:vAlign w:val="center"/>
          </w:tcPr>
          <w:p>
            <w:pPr>
              <w:spacing w:line="520" w:lineRule="exact"/>
              <w:jc w:val="center"/>
              <w:rPr>
                <w:rFonts w:ascii="仿宋_GB2312"/>
                <w:color w:val="auto"/>
                <w:sz w:val="24"/>
              </w:rPr>
            </w:pPr>
          </w:p>
        </w:tc>
        <w:tc>
          <w:tcPr>
            <w:tcW w:w="653" w:type="dxa"/>
            <w:vAlign w:val="center"/>
          </w:tcPr>
          <w:p>
            <w:pPr>
              <w:spacing w:line="520" w:lineRule="exact"/>
              <w:jc w:val="center"/>
              <w:rPr>
                <w:rFonts w:ascii="仿宋_GB2312"/>
                <w:color w:val="auto"/>
                <w:sz w:val="24"/>
              </w:rPr>
            </w:pPr>
          </w:p>
        </w:tc>
        <w:tc>
          <w:tcPr>
            <w:tcW w:w="724"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793" w:type="dxa"/>
            <w:vAlign w:val="center"/>
          </w:tcPr>
          <w:p>
            <w:pPr>
              <w:spacing w:line="520" w:lineRule="exact"/>
              <w:jc w:val="center"/>
              <w:rPr>
                <w:rFonts w:ascii="仿宋_GB2312"/>
                <w:color w:val="auto"/>
                <w:sz w:val="24"/>
              </w:rPr>
            </w:pPr>
          </w:p>
        </w:tc>
        <w:tc>
          <w:tcPr>
            <w:tcW w:w="794"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630" w:type="dxa"/>
            <w:vAlign w:val="center"/>
          </w:tcPr>
          <w:p>
            <w:pPr>
              <w:spacing w:line="520" w:lineRule="exact"/>
              <w:jc w:val="center"/>
              <w:rPr>
                <w:rFonts w:ascii="仿宋_GB2312"/>
                <w:color w:val="auto"/>
                <w:sz w:val="24"/>
              </w:rPr>
            </w:pPr>
          </w:p>
        </w:tc>
        <w:tc>
          <w:tcPr>
            <w:tcW w:w="1075" w:type="dxa"/>
            <w:vAlign w:val="center"/>
          </w:tcPr>
          <w:p>
            <w:pPr>
              <w:spacing w:line="520" w:lineRule="exact"/>
              <w:jc w:val="center"/>
              <w:rPr>
                <w:rFonts w:ascii="仿宋_GB2312"/>
                <w:color w:val="auto"/>
                <w:sz w:val="24"/>
              </w:rPr>
            </w:pPr>
          </w:p>
        </w:tc>
        <w:tc>
          <w:tcPr>
            <w:tcW w:w="1001" w:type="dxa"/>
            <w:vAlign w:val="center"/>
          </w:tcPr>
          <w:p>
            <w:pPr>
              <w:spacing w:line="520" w:lineRule="exact"/>
              <w:jc w:val="center"/>
              <w:rPr>
                <w:rFonts w:ascii="仿宋_GB2312"/>
                <w:color w:val="auto"/>
                <w:sz w:val="24"/>
              </w:rPr>
            </w:pPr>
          </w:p>
        </w:tc>
        <w:tc>
          <w:tcPr>
            <w:tcW w:w="885" w:type="dxa"/>
            <w:vAlign w:val="center"/>
          </w:tcPr>
          <w:p>
            <w:pPr>
              <w:spacing w:line="520" w:lineRule="exact"/>
              <w:jc w:val="center"/>
              <w:rPr>
                <w:rFonts w:ascii="仿宋_GB2312"/>
                <w:color w:val="auto"/>
                <w:sz w:val="24"/>
              </w:rPr>
            </w:pPr>
          </w:p>
        </w:tc>
        <w:tc>
          <w:tcPr>
            <w:tcW w:w="1041" w:type="dxa"/>
            <w:vAlign w:val="center"/>
          </w:tcPr>
          <w:p>
            <w:pPr>
              <w:spacing w:line="520" w:lineRule="exact"/>
              <w:jc w:val="center"/>
              <w:rPr>
                <w:rFonts w:ascii="仿宋_GB2312"/>
                <w:color w:val="auto"/>
                <w:sz w:val="24"/>
              </w:rPr>
            </w:pPr>
          </w:p>
        </w:tc>
        <w:tc>
          <w:tcPr>
            <w:tcW w:w="926" w:type="dxa"/>
            <w:vAlign w:val="center"/>
          </w:tcPr>
          <w:p>
            <w:pPr>
              <w:spacing w:line="520" w:lineRule="exact"/>
              <w:jc w:val="center"/>
              <w:rPr>
                <w:rFonts w:ascii="仿宋_GB2312"/>
                <w:color w:val="auto"/>
                <w:sz w:val="24"/>
              </w:rPr>
            </w:pPr>
          </w:p>
        </w:tc>
        <w:tc>
          <w:tcPr>
            <w:tcW w:w="1151" w:type="dxa"/>
            <w:vAlign w:val="center"/>
          </w:tcPr>
          <w:p>
            <w:pPr>
              <w:spacing w:line="520" w:lineRule="exact"/>
              <w:jc w:val="center"/>
              <w:rPr>
                <w:rFonts w:ascii="仿宋_GB2312"/>
                <w:color w:val="auto"/>
                <w:sz w:val="24"/>
              </w:rPr>
            </w:pPr>
          </w:p>
        </w:tc>
        <w:tc>
          <w:tcPr>
            <w:tcW w:w="1638"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42" w:type="dxa"/>
            <w:vAlign w:val="center"/>
          </w:tcPr>
          <w:p>
            <w:pPr>
              <w:spacing w:line="520" w:lineRule="exact"/>
              <w:jc w:val="center"/>
              <w:rPr>
                <w:rFonts w:ascii="仿宋_GB2312"/>
                <w:color w:val="auto"/>
                <w:sz w:val="24"/>
              </w:rPr>
            </w:pPr>
          </w:p>
        </w:tc>
        <w:tc>
          <w:tcPr>
            <w:tcW w:w="570" w:type="dxa"/>
            <w:vAlign w:val="center"/>
          </w:tcPr>
          <w:p>
            <w:pPr>
              <w:spacing w:line="520" w:lineRule="exact"/>
              <w:jc w:val="center"/>
              <w:rPr>
                <w:rFonts w:ascii="仿宋_GB2312"/>
                <w:color w:val="auto"/>
                <w:sz w:val="24"/>
              </w:rPr>
            </w:pPr>
          </w:p>
        </w:tc>
        <w:tc>
          <w:tcPr>
            <w:tcW w:w="653" w:type="dxa"/>
            <w:vAlign w:val="center"/>
          </w:tcPr>
          <w:p>
            <w:pPr>
              <w:spacing w:line="520" w:lineRule="exact"/>
              <w:jc w:val="center"/>
              <w:rPr>
                <w:rFonts w:ascii="仿宋_GB2312"/>
                <w:color w:val="auto"/>
                <w:sz w:val="24"/>
              </w:rPr>
            </w:pPr>
          </w:p>
        </w:tc>
        <w:tc>
          <w:tcPr>
            <w:tcW w:w="724"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793" w:type="dxa"/>
            <w:vAlign w:val="center"/>
          </w:tcPr>
          <w:p>
            <w:pPr>
              <w:spacing w:line="520" w:lineRule="exact"/>
              <w:jc w:val="center"/>
              <w:rPr>
                <w:rFonts w:ascii="仿宋_GB2312"/>
                <w:color w:val="auto"/>
                <w:sz w:val="24"/>
              </w:rPr>
            </w:pPr>
          </w:p>
        </w:tc>
        <w:tc>
          <w:tcPr>
            <w:tcW w:w="794"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630" w:type="dxa"/>
            <w:vAlign w:val="center"/>
          </w:tcPr>
          <w:p>
            <w:pPr>
              <w:spacing w:line="520" w:lineRule="exact"/>
              <w:jc w:val="center"/>
              <w:rPr>
                <w:rFonts w:ascii="仿宋_GB2312"/>
                <w:color w:val="auto"/>
                <w:sz w:val="24"/>
              </w:rPr>
            </w:pPr>
          </w:p>
        </w:tc>
        <w:tc>
          <w:tcPr>
            <w:tcW w:w="1075" w:type="dxa"/>
            <w:vAlign w:val="center"/>
          </w:tcPr>
          <w:p>
            <w:pPr>
              <w:spacing w:line="520" w:lineRule="exact"/>
              <w:jc w:val="center"/>
              <w:rPr>
                <w:rFonts w:ascii="仿宋_GB2312"/>
                <w:color w:val="auto"/>
                <w:sz w:val="24"/>
              </w:rPr>
            </w:pPr>
          </w:p>
        </w:tc>
        <w:tc>
          <w:tcPr>
            <w:tcW w:w="1001" w:type="dxa"/>
            <w:vAlign w:val="center"/>
          </w:tcPr>
          <w:p>
            <w:pPr>
              <w:spacing w:line="520" w:lineRule="exact"/>
              <w:jc w:val="center"/>
              <w:rPr>
                <w:rFonts w:ascii="仿宋_GB2312"/>
                <w:color w:val="auto"/>
                <w:sz w:val="24"/>
              </w:rPr>
            </w:pPr>
          </w:p>
        </w:tc>
        <w:tc>
          <w:tcPr>
            <w:tcW w:w="885" w:type="dxa"/>
            <w:vAlign w:val="center"/>
          </w:tcPr>
          <w:p>
            <w:pPr>
              <w:spacing w:line="520" w:lineRule="exact"/>
              <w:jc w:val="center"/>
              <w:rPr>
                <w:rFonts w:ascii="仿宋_GB2312"/>
                <w:color w:val="auto"/>
                <w:sz w:val="24"/>
              </w:rPr>
            </w:pPr>
          </w:p>
        </w:tc>
        <w:tc>
          <w:tcPr>
            <w:tcW w:w="1041" w:type="dxa"/>
            <w:vAlign w:val="center"/>
          </w:tcPr>
          <w:p>
            <w:pPr>
              <w:spacing w:line="520" w:lineRule="exact"/>
              <w:jc w:val="center"/>
              <w:rPr>
                <w:rFonts w:ascii="仿宋_GB2312"/>
                <w:color w:val="auto"/>
                <w:sz w:val="24"/>
              </w:rPr>
            </w:pPr>
          </w:p>
        </w:tc>
        <w:tc>
          <w:tcPr>
            <w:tcW w:w="926" w:type="dxa"/>
            <w:vAlign w:val="center"/>
          </w:tcPr>
          <w:p>
            <w:pPr>
              <w:spacing w:line="520" w:lineRule="exact"/>
              <w:jc w:val="center"/>
              <w:rPr>
                <w:rFonts w:ascii="仿宋_GB2312"/>
                <w:color w:val="auto"/>
                <w:sz w:val="24"/>
              </w:rPr>
            </w:pPr>
          </w:p>
        </w:tc>
        <w:tc>
          <w:tcPr>
            <w:tcW w:w="1151" w:type="dxa"/>
            <w:vAlign w:val="center"/>
          </w:tcPr>
          <w:p>
            <w:pPr>
              <w:spacing w:line="520" w:lineRule="exact"/>
              <w:jc w:val="center"/>
              <w:rPr>
                <w:rFonts w:ascii="仿宋_GB2312"/>
                <w:color w:val="auto"/>
                <w:sz w:val="24"/>
              </w:rPr>
            </w:pPr>
          </w:p>
        </w:tc>
        <w:tc>
          <w:tcPr>
            <w:tcW w:w="1638" w:type="dxa"/>
            <w:vAlign w:val="center"/>
          </w:tcPr>
          <w:p>
            <w:pPr>
              <w:spacing w:line="520" w:lineRule="exact"/>
              <w:jc w:val="center"/>
              <w:rPr>
                <w:rFonts w:ascii="仿宋_GB2312"/>
                <w:color w:val="auto"/>
                <w:sz w:val="24"/>
              </w:rPr>
            </w:pPr>
          </w:p>
        </w:tc>
      </w:tr>
    </w:tbl>
    <w:p>
      <w:pPr>
        <w:spacing w:line="480" w:lineRule="exact"/>
        <w:rPr>
          <w:rFonts w:hint="eastAsia"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bCs/>
          <w:color w:val="auto"/>
          <w:sz w:val="21"/>
          <w:szCs w:val="21"/>
        </w:rPr>
        <w:t>1.报名人员在校期间有</w:t>
      </w:r>
      <w:r>
        <w:rPr>
          <w:rFonts w:hint="eastAsia" w:ascii="宋体" w:hAnsi="宋体" w:eastAsia="宋体" w:cs="宋体"/>
          <w:color w:val="auto"/>
          <w:sz w:val="21"/>
          <w:szCs w:val="21"/>
        </w:rPr>
        <w:t>违法违纪违规行为并受过严重警告及以上处分的填“是”；</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bCs/>
          <w:color w:val="auto"/>
          <w:sz w:val="21"/>
          <w:szCs w:val="21"/>
        </w:rPr>
        <w:t>报名人员</w:t>
      </w:r>
      <w:r>
        <w:rPr>
          <w:rFonts w:hint="eastAsia" w:ascii="宋体" w:hAnsi="宋体" w:eastAsia="宋体" w:cs="宋体"/>
          <w:color w:val="auto"/>
          <w:sz w:val="21"/>
          <w:szCs w:val="21"/>
        </w:rPr>
        <w:t>在读期间必修（主修）科目补考3门或3次（含3门或3次）以上为不达标，填“否”。各院校在6月</w:t>
      </w:r>
      <w:r>
        <w:rPr>
          <w:rFonts w:hint="eastAsia" w:ascii="宋体" w:hAnsi="宋体" w:cs="宋体"/>
          <w:color w:val="auto"/>
          <w:sz w:val="21"/>
          <w:szCs w:val="21"/>
          <w:lang w:val="en-US" w:eastAsia="zh-CN"/>
        </w:rPr>
        <w:t>17</w:t>
      </w:r>
      <w:r>
        <w:rPr>
          <w:rFonts w:hint="eastAsia" w:ascii="宋体" w:hAnsi="宋体" w:eastAsia="宋体" w:cs="宋体"/>
          <w:color w:val="auto"/>
          <w:sz w:val="21"/>
          <w:szCs w:val="21"/>
        </w:rPr>
        <w:t>日前将本表分别寄送</w:t>
      </w:r>
      <w:r>
        <w:rPr>
          <w:rFonts w:hint="eastAsia" w:ascii="宋体" w:hAnsi="宋体" w:eastAsia="宋体" w:cs="宋体"/>
          <w:color w:val="auto"/>
          <w:sz w:val="21"/>
          <w:szCs w:val="21"/>
          <w:lang w:eastAsia="zh-CN"/>
        </w:rPr>
        <w:t>（或传真）</w:t>
      </w:r>
      <w:r>
        <w:rPr>
          <w:rFonts w:hint="eastAsia" w:ascii="宋体" w:hAnsi="宋体" w:eastAsia="宋体" w:cs="宋体"/>
          <w:color w:val="auto"/>
          <w:sz w:val="21"/>
          <w:szCs w:val="21"/>
        </w:rPr>
        <w:t>至</w:t>
      </w:r>
      <w:r>
        <w:rPr>
          <w:rFonts w:hint="eastAsia" w:ascii="宋体" w:hAnsi="宋体" w:eastAsia="宋体" w:cs="宋体"/>
          <w:b w:val="0"/>
          <w:bCs w:val="0"/>
          <w:color w:val="auto"/>
          <w:sz w:val="21"/>
          <w:szCs w:val="21"/>
        </w:rPr>
        <w:t>毕业生</w:t>
      </w:r>
      <w:r>
        <w:rPr>
          <w:rFonts w:hint="eastAsia" w:ascii="宋体" w:hAnsi="宋体" w:eastAsia="宋体" w:cs="宋体"/>
          <w:b/>
          <w:bCs/>
          <w:color w:val="auto"/>
          <w:sz w:val="21"/>
          <w:szCs w:val="21"/>
        </w:rPr>
        <w:t>报名岗位所在设区市“三支一扶”办</w:t>
      </w:r>
      <w:r>
        <w:rPr>
          <w:rFonts w:hint="eastAsia" w:ascii="宋体" w:hAnsi="宋体" w:eastAsia="宋体" w:cs="宋体"/>
          <w:color w:val="auto"/>
          <w:sz w:val="21"/>
          <w:szCs w:val="21"/>
        </w:rPr>
        <w:t>。</w:t>
      </w:r>
    </w:p>
    <w:p>
      <w:pPr>
        <w:spacing w:line="520" w:lineRule="exact"/>
        <w:rPr>
          <w:color w:val="auto"/>
        </w:rPr>
      </w:pPr>
      <w:r>
        <w:rPr>
          <w:rFonts w:hint="eastAsia"/>
          <w:b w:val="0"/>
          <w:bCs w:val="0"/>
          <w:color w:val="auto"/>
        </w:rPr>
        <w:t>填表人：</w:t>
      </w:r>
      <w:r>
        <w:rPr>
          <w:rFonts w:hint="default"/>
          <w:b w:val="0"/>
          <w:bCs w:val="0"/>
          <w:color w:val="auto"/>
        </w:rPr>
        <w:t>（必填）</w:t>
      </w:r>
      <w:r>
        <w:rPr>
          <w:rFonts w:hint="eastAsia"/>
          <w:b w:val="0"/>
          <w:bCs w:val="0"/>
          <w:color w:val="auto"/>
        </w:rPr>
        <w:t xml:space="preserve">                           </w:t>
      </w:r>
      <w:r>
        <w:rPr>
          <w:rFonts w:hint="eastAsia"/>
          <w:b w:val="0"/>
          <w:bCs w:val="0"/>
          <w:color w:val="auto"/>
          <w:lang w:val="en-US" w:eastAsia="zh-CN"/>
        </w:rPr>
        <w:t xml:space="preserve">                                                           </w:t>
      </w:r>
      <w:r>
        <w:rPr>
          <w:rFonts w:hint="eastAsia"/>
          <w:b w:val="0"/>
          <w:bCs w:val="0"/>
          <w:color w:val="auto"/>
        </w:rPr>
        <w:t xml:space="preserve"> 联系电话：</w:t>
      </w:r>
      <w:r>
        <w:rPr>
          <w:rFonts w:hint="default"/>
          <w:b w:val="0"/>
          <w:bCs w:val="0"/>
          <w:color w:val="auto"/>
        </w:rPr>
        <w:t>（必填）</w:t>
      </w:r>
    </w:p>
    <w:sectPr>
      <w:headerReference r:id="rId4"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EDF66"/>
    <w:multiLevelType w:val="singleLevel"/>
    <w:tmpl w:val="E9CEDF66"/>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A4BE1"/>
    <w:rsid w:val="09AC59BE"/>
    <w:rsid w:val="09C90A11"/>
    <w:rsid w:val="0DA06EC3"/>
    <w:rsid w:val="0E8068AE"/>
    <w:rsid w:val="156E7435"/>
    <w:rsid w:val="1BBC31BE"/>
    <w:rsid w:val="1FD47AE4"/>
    <w:rsid w:val="204E47DF"/>
    <w:rsid w:val="247F0FBB"/>
    <w:rsid w:val="259373DC"/>
    <w:rsid w:val="285324E2"/>
    <w:rsid w:val="2AAD630A"/>
    <w:rsid w:val="2EAF4835"/>
    <w:rsid w:val="37BA266A"/>
    <w:rsid w:val="385C2155"/>
    <w:rsid w:val="3EE7556C"/>
    <w:rsid w:val="411D43D9"/>
    <w:rsid w:val="4270465F"/>
    <w:rsid w:val="435B362E"/>
    <w:rsid w:val="448A2002"/>
    <w:rsid w:val="479F34B9"/>
    <w:rsid w:val="491079F1"/>
    <w:rsid w:val="4AD871E1"/>
    <w:rsid w:val="4DF36910"/>
    <w:rsid w:val="4E801E54"/>
    <w:rsid w:val="515810F8"/>
    <w:rsid w:val="57320722"/>
    <w:rsid w:val="57577A0E"/>
    <w:rsid w:val="5BDF4B73"/>
    <w:rsid w:val="5D6B4585"/>
    <w:rsid w:val="5F3A6317"/>
    <w:rsid w:val="61B94386"/>
    <w:rsid w:val="63FA3BEB"/>
    <w:rsid w:val="64104CBA"/>
    <w:rsid w:val="65F1E2E9"/>
    <w:rsid w:val="684607D7"/>
    <w:rsid w:val="6BDA2A08"/>
    <w:rsid w:val="72837FEF"/>
    <w:rsid w:val="735FE376"/>
    <w:rsid w:val="7551395C"/>
    <w:rsid w:val="795F14B7"/>
    <w:rsid w:val="7A6470F4"/>
    <w:rsid w:val="7E3A4BE1"/>
    <w:rsid w:val="7F274426"/>
    <w:rsid w:val="7FB84136"/>
    <w:rsid w:val="7FD9E245"/>
    <w:rsid w:val="BBAFFD35"/>
    <w:rsid w:val="D6DDC81B"/>
    <w:rsid w:val="D7FF0273"/>
    <w:rsid w:val="DBEF1E3A"/>
    <w:rsid w:val="F4D773FC"/>
    <w:rsid w:val="FC9EB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2019-04-21T01:02:00Z</dcterms:created>
  <dc:creator>Administrator</dc:creator>
  <cp:lastModifiedBy>游风</cp:lastModifiedBy>
  <dcterms:modified xsi:type="dcterms:W3CDTF">2021-04-30T03:34:21Z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