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2024年度省属国有林场林价款市级分成款（一）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2024年度省属国有林场林价款市级分成款，用于松材线虫病防治项目，国有林场森林资源质量提升，省属国有林场困难职工及劳动模范慰问等支出。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森林质量精准提升完成面积9305亩，完成“松材线虫病防治”面积8257亩。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96.73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1)"松材线虫病防治"单个林场补助标准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万元/个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2)森林质量精准提升单个林场补助标准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万元/个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1)森林质量精准提升完成数量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4900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5359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2)"松材线虫病防治”补助林场数量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4.23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1)"松材线虫病防治"建设项目验收通过率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2)森林质量精准提升项目验收通过率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1)森林抚育年度任务完成率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2)"松材线虫病防治"共建项目完成率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1)森林生态系统生态效益发挥作用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 xml:space="preserve"> 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明显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明显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1)"松材线虫病防治“共建村村民满意度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2)林场职工满意度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松材线虫病危害大，除治面积大，点多面广，任务重，除治成本很大，林场资金不足，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建议上级加大松材线虫病防治项目资金拨入，强化资金保障，以加快清理进度，提高松材线虫病防治成效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