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2024年度第二批市级林业专项资金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2024年度第二批市级林业专项资金，用于森林资源保护管理建设项目、林业科研和科技推广建设项目、森林防火建设及林业有害生物防治、集体林权制度配套改革项目、专项设备购置、林业综合工作经费支出。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深入贯彻习近平总书记来闽来明重要讲话重要指示精神，以全国林业改革发展综合试点市建设为契机，推进三明林改再出发，加快三明林业高质量发展。全市造林绿化面积23.58万亩，林业产业总产值达1377.19亿元.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1)森林资源保护管理建设项目经费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2)林业科研和科技推广建设项目经费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42.8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3)森林防火建设及林业有害生物防控项目经费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4)集体林权制度配套改革项目经费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161.2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161.2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5)专项设备购置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6)林业综合工作专项业务费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1)全市造林绿化面积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2)食用林产品质量安全监测次数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3)规模经营推动林权流转面积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1)松材线虫病等林业有害生物监测普查率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2)造林绿化合格率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1)全市造林绿化当期任务完成率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1)林业产业总产值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1377.19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1)林业有害生物成灾率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