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仙人谷国家森林公园基础设施完善和运营费用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仙人谷国家森林公园基础设施完善和运营费用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2024年，森林公园扎实落实旅游安全和运营管理，全年接待游客18.22万人次，实现安全有序运营。免费开放政策广受社会好评，充分发挥生态效益和社会效益，为市民提供优质休闲游憩场所，为生态文明建设作出积极贡献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1)仙人谷国家森林公园基础设施完善和营运费用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1)年接待客流量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18.22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1)卫生保洁完成率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2)旅游安全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好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好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1)财政支出项目完成率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1)仙人谷国家森林公园免费开放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好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好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1)生态公益林保护面积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公顷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1)服务对象满意度指标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1.存在预算资金不足，森林公园管护公益林面积大，资金缺口大，国有林场服务社会负担重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2.卫生压力大，森林公园管护公益林面积大，人员配备不足，配备足又导致资金压力大的矛盾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1.需要政府和社会统筹支持，增加拨补资金，更好地落实政府将森林公园对社会免费开放的惠民利民的举措。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做好预案，加派人力，加强节假日卫生清扫力度，配备设施修缮队伍，确保旅游配套设施正常运转。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