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张弦等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14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位同志水利水电专业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高级工程师职务任职资格人员名单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.三明市水利水电工程有限公司：张弦、廖伟浩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.三明市明兴水利水电勘察设计有限公司：林启逵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.福建省明兴工程建设有限公司：朱光华、陈金象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.福建宏涛工程咨询有限公司：伍海生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.永安市政府投资审计中心：郑小燕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.永安市水利水电工程质量技术站：江爱民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.福建省中禹水利水电工程有限公司：刘桂棠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.将乐县黄潭镇综合执法大队：连炎平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.泰宁县杉城镇经济发展综合服务中心：张庆芳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.建宁县水利水电工作站：谢国样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>.明溪县水利工程服务站：许俊红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>.福建省红日水利水电工程有限公司：姜忠庆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A671B16"/>
    <w:rsid w:val="0A67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2024-01-19T06:57:00Z</dcterms:created>
  <dc:creator>WPS_1644971829</dc:creator>
  <cp:lastModifiedBy>WPS_1644971829</cp:lastModifiedBy>
  <dcterms:modified xsi:type="dcterms:W3CDTF">2024-01-19T06:57:55Z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FB687CDEFD904CC5B355F437AFE07179_11</vt:lpwstr>
  </property>
</Properties>
</file>