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黑体" w:hAnsi="黑体" w:eastAsia="黑体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highlight w:val="none"/>
        </w:rPr>
        <w:t>附件3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highlight w:val="none"/>
        </w:rPr>
        <w:t>年度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highlight w:val="none"/>
          <w:lang w:eastAsia="zh-CN"/>
        </w:rPr>
        <w:t>三明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highlight w:val="none"/>
        </w:rPr>
        <w:t>市本级“三公”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highlight w:val="none"/>
        </w:rPr>
        <w:t>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三明市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本级使用一般公共预算拨款安排的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“三公”经费预算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额度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2394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zh-CN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0.04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主要是继续坚持党政机关习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 w:eastAsia="zh-CN"/>
        </w:rPr>
        <w:t>惯过紧日子，严格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落实“三公”经费财政拨款预算“只减不增”要求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。其中：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一、因公出国（境）经费预算额度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二、公务接待费预算额度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805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0.12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主要是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贯彻落实进一步厉行节约坚持过紧日子有关要求，从严从紧安排公务接待费预算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三、公务用车购置及运行费预算额度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106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。其中，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公务用车购置费预算额度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392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；公务用车运行费预算额度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1063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2384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7C"/>
    <w:rsid w:val="0017505E"/>
    <w:rsid w:val="002D5132"/>
    <w:rsid w:val="003D40EF"/>
    <w:rsid w:val="0046426A"/>
    <w:rsid w:val="0048789E"/>
    <w:rsid w:val="00552CF4"/>
    <w:rsid w:val="00584491"/>
    <w:rsid w:val="00792BF0"/>
    <w:rsid w:val="0082107C"/>
    <w:rsid w:val="00831CD2"/>
    <w:rsid w:val="008A235D"/>
    <w:rsid w:val="00A037EE"/>
    <w:rsid w:val="00E34DC2"/>
    <w:rsid w:val="00ED0DCB"/>
    <w:rsid w:val="48AF27E6"/>
    <w:rsid w:val="53E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2023-02-01T06:25:00Z</dcterms:created>
  <dc:creator>null</dc:creator>
  <cp:lastModifiedBy>陈康</cp:lastModifiedBy>
  <cp:lastPrinted>2024-03-27T03:03:00Z</cp:lastPrinted>
  <dcterms:modified xsi:type="dcterms:W3CDTF">2025-01-14T09:50:40Z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